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odyText"/>
        <w:spacing w:before="8"/>
        <w:rPr>
          <w:rFonts w:ascii="Times New Roman"/>
          <w:sz w:val="25"/>
        </w:rPr>
      </w:pPr>
    </w:p>
    <w:p>
      <w:pPr>
        <w:pStyle w:val="Title"/>
      </w:pPr>
      <w:r>
        <w:drawing>
          <wp:anchor distT="0" distB="0" distL="0" distR="0" simplePos="0" relativeHeight="251658240" behindDoc="0" locked="0" layoutInCell="1" allowOverlap="1">
            <wp:simplePos x="0" y="0"/>
            <wp:positionH relativeFrom="page">
              <wp:posOffset>4870577</wp:posOffset>
            </wp:positionH>
            <wp:positionV relativeFrom="paragraph">
              <wp:posOffset>208565</wp:posOffset>
            </wp:positionV>
            <wp:extent cx="796201" cy="39750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xmlns:r="http://schemas.openxmlformats.org/officeDocument/2006/relationships" r:embed="rId4" cstate="print"/>
                    <a:stretch>
                      <a:fillRect/>
                    </a:stretch>
                  </pic:blipFill>
                  <pic:spPr>
                    <a:xfrm>
                      <a:off x="0" y="0"/>
                      <a:ext cx="796201" cy="397509"/>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025" type="#_x0000_t202" style="width:92.85pt;height:27.7pt;margin-top:-14.3pt;margin-left:58.54pt;mso-position-horizontal-relative:page;position:absolute;z-index:251659264" filled="f" stroked="f">
            <v:textbox inset="0,0,0,0">
              <w:txbxContent>
                <w:tbl>
                  <w:tblPr>
                    <w:tblStyle w:val="TableNormal"/>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3"/>
                    <w:gridCol w:w="1203"/>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76"/>
                      <w:jc w:val="left"/>
                    </w:trPr>
                    <w:tc>
                      <w:tcPr>
                        <w:tcW w:w="653" w:type="dxa"/>
                      </w:tcPr>
                      <w:p>
                        <w:pPr>
                          <w:pStyle w:val="TableParagraph"/>
                          <w:spacing w:line="234" w:lineRule="exact"/>
                          <w:ind w:left="200"/>
                          <w:rPr>
                            <w:rFonts w:ascii="Times New Roman"/>
                            <w:sz w:val="21"/>
                          </w:rPr>
                        </w:pPr>
                        <w:r>
                          <w:rPr>
                            <w:rFonts w:ascii="Times New Roman"/>
                            <w:sz w:val="21"/>
                          </w:rPr>
                          <w:t>ICS</w:t>
                        </w:r>
                      </w:p>
                    </w:tc>
                    <w:tc>
                      <w:tcPr>
                        <w:tcW w:w="1203" w:type="dxa"/>
                      </w:tcPr>
                      <w:p>
                        <w:pPr>
                          <w:pStyle w:val="TableParagraph"/>
                          <w:spacing w:line="257" w:lineRule="exact"/>
                          <w:ind w:left="55"/>
                          <w:rPr>
                            <w:rFonts w:ascii="黑体"/>
                            <w:sz w:val="21"/>
                          </w:rPr>
                        </w:pPr>
                        <w:r>
                          <w:rPr>
                            <w:rFonts w:ascii="黑体"/>
                            <w:sz w:val="21"/>
                          </w:rPr>
                          <w:t>13.040.99</w:t>
                        </w:r>
                      </w:p>
                    </w:tc>
                  </w:tr>
                  <w:tr>
                    <w:tblPrEx>
                      <w:tblW w:w="0" w:type="auto"/>
                      <w:jc w:val="left"/>
                      <w:tblInd w:w="7" w:type="dxa"/>
                      <w:tblLayout w:type="fixed"/>
                      <w:tblCellMar>
                        <w:top w:w="0" w:type="dxa"/>
                        <w:left w:w="0" w:type="dxa"/>
                        <w:bottom w:w="0" w:type="dxa"/>
                        <w:right w:w="0" w:type="dxa"/>
                      </w:tblCellMar>
                      <w:tblLook w:val="01E0"/>
                    </w:tblPrEx>
                    <w:trPr>
                      <w:trHeight w:val="276"/>
                      <w:jc w:val="left"/>
                    </w:trPr>
                    <w:tc>
                      <w:tcPr>
                        <w:tcW w:w="653" w:type="dxa"/>
                      </w:tcPr>
                      <w:p>
                        <w:pPr>
                          <w:pStyle w:val="TableParagraph"/>
                          <w:spacing w:before="29" w:line="227" w:lineRule="exact"/>
                          <w:ind w:left="200"/>
                          <w:rPr>
                            <w:rFonts w:ascii="Times New Roman"/>
                            <w:sz w:val="21"/>
                          </w:rPr>
                        </w:pPr>
                        <w:r>
                          <w:rPr>
                            <w:rFonts w:ascii="Times New Roman"/>
                            <w:sz w:val="21"/>
                          </w:rPr>
                          <w:t>CCS</w:t>
                        </w:r>
                      </w:p>
                    </w:tc>
                    <w:tc>
                      <w:tcPr>
                        <w:tcW w:w="1203" w:type="dxa"/>
                      </w:tcPr>
                      <w:p>
                        <w:pPr>
                          <w:pStyle w:val="TableParagraph"/>
                          <w:spacing w:before="37" w:line="220" w:lineRule="exact"/>
                          <w:ind w:left="55"/>
                          <w:rPr>
                            <w:rFonts w:ascii="黑体"/>
                            <w:sz w:val="21"/>
                          </w:rPr>
                        </w:pPr>
                        <w:r>
                          <w:rPr>
                            <w:rFonts w:ascii="黑体"/>
                            <w:sz w:val="21"/>
                          </w:rPr>
                          <w:t>Z 01</w:t>
                        </w:r>
                      </w:p>
                    </w:tc>
                  </w:tr>
                </w:tbl>
                <w:p>
                  <w:pPr>
                    <w:pStyle w:val="BodyText"/>
                  </w:pPr>
                </w:p>
              </w:txbxContent>
            </v:textbox>
          </v:shape>
        </w:pict>
      </w:r>
      <w:r>
        <w:rPr>
          <w:w w:val="130"/>
        </w:rPr>
        <w:t>14</w:t>
      </w:r>
    </w:p>
    <w:p>
      <w:pPr>
        <w:tabs>
          <w:tab w:val="left" w:pos="1588"/>
          <w:tab w:val="left" w:pos="3114"/>
          <w:tab w:val="left" w:pos="4641"/>
          <w:tab w:val="left" w:pos="6168"/>
          <w:tab w:val="left" w:pos="7695"/>
          <w:tab w:val="left" w:pos="9221"/>
        </w:tabs>
        <w:spacing w:before="253"/>
        <w:ind w:left="61" w:right="0" w:firstLine="0"/>
        <w:jc w:val="center"/>
        <w:rPr>
          <w:rFonts w:ascii="黑体" w:eastAsia="黑体" w:hint="eastAsia"/>
          <w:sz w:val="48"/>
        </w:rPr>
      </w:pPr>
      <w:r>
        <w:rPr>
          <w:rFonts w:ascii="黑体" w:eastAsia="黑体" w:hint="eastAsia"/>
          <w:sz w:val="48"/>
        </w:rPr>
        <w:t>山</w:t>
        <w:tab/>
        <w:t>西</w:t>
        <w:tab/>
        <w:t>省</w:t>
        <w:tab/>
        <w:t>地</w:t>
        <w:tab/>
        <w:t>方</w:t>
        <w:tab/>
        <w:t>标</w:t>
        <w:tab/>
        <w:t>准</w:t>
      </w:r>
    </w:p>
    <w:p>
      <w:pPr>
        <w:spacing w:before="341"/>
        <w:ind w:left="6985" w:right="0" w:firstLine="0"/>
        <w:jc w:val="center"/>
        <w:rPr>
          <w:rFonts w:ascii="黑体" w:hAnsi="黑体"/>
          <w:sz w:val="28"/>
        </w:rPr>
      </w:pPr>
      <w:r>
        <w:rPr>
          <w:rFonts w:ascii="黑体" w:hAnsi="黑体"/>
          <w:sz w:val="28"/>
        </w:rPr>
        <w:t>DB14/T</w:t>
      </w:r>
      <w:r>
        <w:rPr>
          <w:rFonts w:ascii="黑体" w:hAnsi="黑体"/>
          <w:spacing w:val="-7"/>
          <w:sz w:val="28"/>
        </w:rPr>
        <w:t xml:space="preserve"> </w:t>
      </w:r>
      <w:r>
        <w:rPr>
          <w:rFonts w:ascii="黑体" w:hAnsi="黑体"/>
          <w:sz w:val="28"/>
        </w:rPr>
        <w:t>2966—2024</w:t>
      </w:r>
    </w:p>
    <w:p>
      <w:pPr>
        <w:pStyle w:val="BodyText"/>
        <w:rPr>
          <w:rFonts w:ascii="黑体"/>
          <w:sz w:val="20"/>
        </w:rPr>
      </w:pPr>
    </w:p>
    <w:p>
      <w:pPr>
        <w:pStyle w:val="BodyText"/>
        <w:spacing w:before="5"/>
        <w:rPr>
          <w:rFonts w:ascii="黑体"/>
          <w:sz w:val="28"/>
        </w:rPr>
      </w:pPr>
      <w:r>
        <w:pict>
          <v:shape id="_x0000_s1026" style="width:481.9pt;height:0.1pt;margin-top:20.56pt;margin-left:70.9pt;mso-position-horizontal-relative:page;mso-wrap-distance-left:0;mso-wrap-distance-right:0;position:absolute;z-index:-251656192" coordorigin="1418,411" coordsize="9638,0" path="m1418,411l11056,411e" filled="f" stroked="t" strokecolor="black" strokeweight="0.75pt">
            <v:stroke dashstyle="solid"/>
            <v:path arrowok="t"/>
            <w10:wrap type="topAndBottom"/>
          </v:shape>
        </w:pict>
      </w: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spacing w:before="5"/>
        <w:rPr>
          <w:rFonts w:ascii="黑体"/>
          <w:sz w:val="28"/>
        </w:rPr>
      </w:pPr>
    </w:p>
    <w:p>
      <w:pPr>
        <w:spacing w:before="0" w:line="252" w:lineRule="auto"/>
        <w:ind w:left="555" w:right="264" w:firstLine="0"/>
        <w:jc w:val="center"/>
        <w:rPr>
          <w:rFonts w:ascii="黑体" w:eastAsia="黑体" w:hint="eastAsia"/>
          <w:sz w:val="52"/>
        </w:rPr>
      </w:pPr>
      <w:r>
        <w:rPr>
          <w:rFonts w:ascii="黑体" w:eastAsia="黑体" w:hint="eastAsia"/>
          <w:sz w:val="52"/>
        </w:rPr>
        <w:t>固定污染源废气非甲烷总烃排放连续监测系统运行维护技术规范</w:t>
      </w: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tabs>
          <w:tab w:val="left" w:pos="7673"/>
        </w:tabs>
        <w:spacing w:before="336"/>
        <w:ind w:left="318" w:right="0" w:firstLine="0"/>
        <w:jc w:val="center"/>
        <w:rPr>
          <w:rFonts w:ascii="黑体" w:eastAsia="黑体" w:hint="eastAsia"/>
          <w:sz w:val="28"/>
        </w:rPr>
      </w:pPr>
      <w:r>
        <w:pict>
          <v:shape id="_x0000_s1027" style="width:481.9pt;height:0.1pt;margin-top:36.42pt;margin-left:70.85pt;mso-position-horizontal-relative:page;mso-wrap-distance-left:0;mso-wrap-distance-right:0;position:absolute;z-index:-251655168" coordorigin="1417,728" coordsize="9638,0" path="m1417,728l11055,728e" filled="f" stroked="t" strokecolor="black" strokeweight="0.75pt">
            <v:stroke dashstyle="solid"/>
            <v:path arrowok="t"/>
            <w10:wrap type="topAndBottom"/>
          </v:shape>
        </w:pict>
      </w:r>
      <w:r>
        <w:rPr>
          <w:rFonts w:ascii="黑体" w:eastAsia="黑体" w:hint="eastAsia"/>
          <w:sz w:val="28"/>
        </w:rPr>
        <w:t>2024</w:t>
      </w:r>
      <w:r>
        <w:rPr>
          <w:rFonts w:ascii="黑体" w:eastAsia="黑体" w:hint="eastAsia"/>
          <w:spacing w:val="-70"/>
          <w:sz w:val="28"/>
        </w:rPr>
        <w:t xml:space="preserve"> </w:t>
      </w:r>
      <w:r>
        <w:rPr>
          <w:rFonts w:ascii="黑体" w:eastAsia="黑体" w:hint="eastAsia"/>
          <w:sz w:val="28"/>
        </w:rPr>
        <w:t>-</w:t>
      </w:r>
      <w:r>
        <w:rPr>
          <w:rFonts w:ascii="黑体" w:eastAsia="黑体" w:hint="eastAsia"/>
          <w:spacing w:val="-72"/>
          <w:sz w:val="28"/>
        </w:rPr>
        <w:t xml:space="preserve"> </w:t>
      </w:r>
      <w:r>
        <w:rPr>
          <w:rFonts w:ascii="黑体" w:eastAsia="黑体" w:hint="eastAsia"/>
          <w:sz w:val="28"/>
        </w:rPr>
        <w:t>01</w:t>
      </w:r>
      <w:r>
        <w:rPr>
          <w:rFonts w:ascii="黑体" w:eastAsia="黑体" w:hint="eastAsia"/>
          <w:spacing w:val="-72"/>
          <w:sz w:val="28"/>
        </w:rPr>
        <w:t xml:space="preserve"> </w:t>
      </w:r>
      <w:r>
        <w:rPr>
          <w:rFonts w:ascii="黑体" w:eastAsia="黑体" w:hint="eastAsia"/>
          <w:sz w:val="28"/>
        </w:rPr>
        <w:t>-</w:t>
      </w:r>
      <w:r>
        <w:rPr>
          <w:rFonts w:ascii="黑体" w:eastAsia="黑体" w:hint="eastAsia"/>
          <w:spacing w:val="-70"/>
          <w:sz w:val="28"/>
        </w:rPr>
        <w:t xml:space="preserve"> </w:t>
      </w:r>
      <w:r>
        <w:rPr>
          <w:rFonts w:ascii="黑体" w:eastAsia="黑体" w:hint="eastAsia"/>
          <w:sz w:val="28"/>
        </w:rPr>
        <w:t>03</w:t>
      </w:r>
      <w:r>
        <w:rPr>
          <w:rFonts w:ascii="黑体" w:eastAsia="黑体" w:hint="eastAsia"/>
          <w:spacing w:val="-71"/>
          <w:sz w:val="28"/>
        </w:rPr>
        <w:t xml:space="preserve"> </w:t>
      </w:r>
      <w:r>
        <w:rPr>
          <w:rFonts w:ascii="黑体" w:eastAsia="黑体" w:hint="eastAsia"/>
          <w:sz w:val="28"/>
        </w:rPr>
        <w:t>发布</w:t>
        <w:tab/>
        <w:t>2024</w:t>
      </w:r>
      <w:r>
        <w:rPr>
          <w:rFonts w:ascii="黑体" w:eastAsia="黑体" w:hint="eastAsia"/>
          <w:spacing w:val="-70"/>
          <w:sz w:val="28"/>
        </w:rPr>
        <w:t xml:space="preserve"> </w:t>
      </w:r>
      <w:r>
        <w:rPr>
          <w:rFonts w:ascii="黑体" w:eastAsia="黑体" w:hint="eastAsia"/>
          <w:sz w:val="28"/>
        </w:rPr>
        <w:t>-</w:t>
      </w:r>
      <w:r>
        <w:rPr>
          <w:rFonts w:ascii="黑体" w:eastAsia="黑体" w:hint="eastAsia"/>
          <w:spacing w:val="-72"/>
          <w:sz w:val="28"/>
        </w:rPr>
        <w:t xml:space="preserve"> </w:t>
      </w:r>
      <w:r>
        <w:rPr>
          <w:rFonts w:ascii="黑体" w:eastAsia="黑体" w:hint="eastAsia"/>
          <w:sz w:val="28"/>
        </w:rPr>
        <w:t>04</w:t>
      </w:r>
      <w:r>
        <w:rPr>
          <w:rFonts w:ascii="黑体" w:eastAsia="黑体" w:hint="eastAsia"/>
          <w:spacing w:val="-72"/>
          <w:sz w:val="28"/>
        </w:rPr>
        <w:t xml:space="preserve"> </w:t>
      </w:r>
      <w:r>
        <w:rPr>
          <w:rFonts w:ascii="黑体" w:eastAsia="黑体" w:hint="eastAsia"/>
          <w:sz w:val="28"/>
        </w:rPr>
        <w:t>-</w:t>
      </w:r>
      <w:r>
        <w:rPr>
          <w:rFonts w:ascii="黑体" w:eastAsia="黑体" w:hint="eastAsia"/>
          <w:spacing w:val="-69"/>
          <w:sz w:val="28"/>
        </w:rPr>
        <w:t xml:space="preserve"> </w:t>
      </w:r>
      <w:r>
        <w:rPr>
          <w:rFonts w:ascii="黑体" w:eastAsia="黑体" w:hint="eastAsia"/>
          <w:sz w:val="28"/>
        </w:rPr>
        <w:t>03</w:t>
      </w:r>
      <w:r>
        <w:rPr>
          <w:rFonts w:ascii="黑体" w:eastAsia="黑体" w:hint="eastAsia"/>
          <w:spacing w:val="-72"/>
          <w:sz w:val="28"/>
        </w:rPr>
        <w:t xml:space="preserve"> </w:t>
      </w:r>
      <w:r>
        <w:rPr>
          <w:rFonts w:ascii="黑体" w:eastAsia="黑体" w:hint="eastAsia"/>
          <w:sz w:val="28"/>
        </w:rPr>
        <w:t>实施</w:t>
      </w:r>
    </w:p>
    <w:p>
      <w:pPr>
        <w:pStyle w:val="BodyText"/>
        <w:rPr>
          <w:rFonts w:ascii="黑体"/>
          <w:sz w:val="28"/>
        </w:rPr>
      </w:pPr>
    </w:p>
    <w:p>
      <w:pPr>
        <w:pStyle w:val="BodyText"/>
        <w:spacing w:before="7"/>
        <w:rPr>
          <w:rFonts w:ascii="黑体"/>
          <w:sz w:val="31"/>
        </w:rPr>
      </w:pPr>
    </w:p>
    <w:p>
      <w:pPr>
        <w:tabs>
          <w:tab w:val="left" w:pos="3364"/>
        </w:tabs>
        <w:spacing w:before="1"/>
        <w:ind w:left="3" w:right="0" w:firstLine="0"/>
        <w:jc w:val="center"/>
        <w:rPr>
          <w:rFonts w:ascii="黑体" w:eastAsia="黑体" w:hint="eastAsia"/>
          <w:sz w:val="28"/>
        </w:rPr>
      </w:pPr>
      <w:r>
        <w:rPr>
          <w:rFonts w:ascii="黑体" w:eastAsia="黑体" w:hint="eastAsia"/>
          <w:sz w:val="28"/>
        </w:rPr>
        <w:t>山西省</w:t>
      </w:r>
      <w:r>
        <w:rPr>
          <w:rFonts w:ascii="黑体" w:eastAsia="黑体" w:hint="eastAsia"/>
          <w:spacing w:val="-3"/>
          <w:sz w:val="28"/>
        </w:rPr>
        <w:t>市</w:t>
      </w:r>
      <w:r>
        <w:rPr>
          <w:rFonts w:ascii="黑体" w:eastAsia="黑体" w:hint="eastAsia"/>
          <w:sz w:val="28"/>
        </w:rPr>
        <w:t>场监</w:t>
      </w:r>
      <w:r>
        <w:rPr>
          <w:rFonts w:ascii="黑体" w:eastAsia="黑体" w:hint="eastAsia"/>
          <w:spacing w:val="-3"/>
          <w:sz w:val="28"/>
        </w:rPr>
        <w:t>督管</w:t>
      </w:r>
      <w:r>
        <w:rPr>
          <w:rFonts w:ascii="黑体" w:eastAsia="黑体" w:hint="eastAsia"/>
          <w:sz w:val="28"/>
        </w:rPr>
        <w:t>理局</w:t>
        <w:tab/>
        <w:t>发</w:t>
      </w:r>
      <w:r>
        <w:rPr>
          <w:rFonts w:ascii="黑体" w:eastAsia="黑体" w:hint="eastAsia"/>
          <w:spacing w:val="28"/>
          <w:sz w:val="28"/>
        </w:rPr>
        <w:t xml:space="preserve"> </w:t>
      </w:r>
      <w:r>
        <w:rPr>
          <w:rFonts w:ascii="黑体" w:eastAsia="黑体" w:hint="eastAsia"/>
          <w:sz w:val="28"/>
        </w:rPr>
        <w:t>布</w:t>
      </w:r>
    </w:p>
    <w:p>
      <w:pPr>
        <w:spacing w:after="0"/>
        <w:jc w:val="center"/>
        <w:rPr>
          <w:rFonts w:ascii="黑体" w:eastAsia="黑体" w:hint="eastAsia"/>
          <w:sz w:val="28"/>
        </w:rPr>
        <w:sectPr>
          <w:type w:val="continuous"/>
          <w:pgSz w:w="11910" w:h="16840"/>
          <w:pgMar w:top="540" w:right="720" w:bottom="280" w:left="1000" w:header="708" w:footer="708"/>
          <w:cols w:space="708"/>
        </w:sectPr>
      </w:pPr>
    </w:p>
    <w:p>
      <w:pPr>
        <w:pStyle w:val="BodyText"/>
        <w:spacing w:before="7"/>
        <w:rPr>
          <w:rFonts w:ascii="黑体"/>
          <w:sz w:val="15"/>
        </w:rPr>
      </w:pPr>
    </w:p>
    <w:p>
      <w:pPr>
        <w:spacing w:after="0"/>
        <w:rPr>
          <w:rFonts w:ascii="黑体"/>
          <w:sz w:val="15"/>
        </w:rPr>
        <w:sectPr>
          <w:pgSz w:w="11910" w:h="16840"/>
          <w:pgMar w:top="1580" w:right="720" w:bottom="280" w:left="1000" w:header="708" w:footer="708"/>
          <w:pgNumType w:start="2"/>
          <w:cols w:space="708"/>
        </w:sectPr>
      </w:pPr>
    </w:p>
    <w:p>
      <w:pPr>
        <w:pStyle w:val="BodyText"/>
        <w:rPr>
          <w:rFonts w:ascii="黑体"/>
          <w:sz w:val="20"/>
        </w:rPr>
      </w:pPr>
    </w:p>
    <w:p>
      <w:pPr>
        <w:pStyle w:val="BodyText"/>
        <w:rPr>
          <w:rFonts w:ascii="黑体"/>
          <w:sz w:val="20"/>
        </w:rPr>
      </w:pPr>
    </w:p>
    <w:p>
      <w:pPr>
        <w:pStyle w:val="BodyText"/>
        <w:spacing w:before="4"/>
        <w:rPr>
          <w:rFonts w:ascii="黑体"/>
          <w:sz w:val="22"/>
        </w:rPr>
      </w:pPr>
    </w:p>
    <w:p>
      <w:pPr>
        <w:pStyle w:val="Heading1"/>
        <w:tabs>
          <w:tab w:val="left" w:pos="965"/>
        </w:tabs>
        <w:ind w:left="5"/>
      </w:pPr>
      <w:r>
        <w:t>目</w:t>
        <w:tab/>
        <w:t>次</w:t>
      </w:r>
    </w:p>
    <w:p>
      <w:pPr>
        <w:pStyle w:val="BodyText"/>
        <w:tabs>
          <w:tab w:val="right" w:leader="dot" w:pos="9763"/>
        </w:tabs>
        <w:spacing w:before="687"/>
        <w:ind w:left="418"/>
      </w:pPr>
      <w:hyperlink w:anchor="_bookmark0" w:history="1">
        <w:r>
          <w:t>前言</w:t>
          <w:tab/>
          <w:t>II</w:t>
        </w:r>
      </w:hyperlink>
    </w:p>
    <w:p>
      <w:pPr>
        <w:pStyle w:val="ListParagraph"/>
        <w:numPr>
          <w:ilvl w:val="0"/>
          <w:numId w:val="8"/>
        </w:numPr>
        <w:tabs>
          <w:tab w:val="left" w:pos="735"/>
          <w:tab w:val="left" w:pos="736"/>
          <w:tab w:val="right" w:leader="dot" w:pos="9763"/>
        </w:tabs>
        <w:spacing w:before="132" w:after="0" w:line="240" w:lineRule="auto"/>
        <w:ind w:left="735" w:right="0" w:hanging="318"/>
        <w:jc w:val="left"/>
        <w:rPr>
          <w:sz w:val="21"/>
        </w:rPr>
      </w:pPr>
      <w:hyperlink w:anchor="_bookmark1" w:history="1">
        <w:r>
          <w:rPr>
            <w:spacing w:val="-3"/>
            <w:sz w:val="21"/>
          </w:rPr>
          <w:t>范围</w:t>
          <w:tab/>
        </w:r>
        <w:r>
          <w:rPr>
            <w:sz w:val="21"/>
          </w:rPr>
          <w:t>1</w:t>
        </w:r>
      </w:hyperlink>
    </w:p>
    <w:p>
      <w:pPr>
        <w:pStyle w:val="ListParagraph"/>
        <w:numPr>
          <w:ilvl w:val="0"/>
          <w:numId w:val="8"/>
        </w:numPr>
        <w:tabs>
          <w:tab w:val="left" w:pos="735"/>
          <w:tab w:val="left" w:pos="736"/>
          <w:tab w:val="right" w:leader="dot" w:pos="9763"/>
        </w:tabs>
        <w:spacing w:before="131" w:after="0" w:line="240" w:lineRule="auto"/>
        <w:ind w:left="735" w:right="0" w:hanging="318"/>
        <w:jc w:val="left"/>
        <w:rPr>
          <w:sz w:val="21"/>
        </w:rPr>
      </w:pPr>
      <w:hyperlink w:anchor="_bookmark2" w:history="1">
        <w:r>
          <w:rPr>
            <w:spacing w:val="-3"/>
            <w:sz w:val="21"/>
          </w:rPr>
          <w:t>规</w:t>
        </w:r>
        <w:r>
          <w:rPr>
            <w:sz w:val="21"/>
          </w:rPr>
          <w:t>范</w:t>
        </w:r>
        <w:r>
          <w:rPr>
            <w:spacing w:val="-3"/>
            <w:sz w:val="21"/>
          </w:rPr>
          <w:t>性</w:t>
        </w:r>
        <w:r>
          <w:rPr>
            <w:sz w:val="21"/>
          </w:rPr>
          <w:t>引</w:t>
        </w:r>
        <w:r>
          <w:rPr>
            <w:spacing w:val="-3"/>
            <w:sz w:val="21"/>
          </w:rPr>
          <w:t>用</w:t>
        </w:r>
        <w:r>
          <w:rPr>
            <w:sz w:val="21"/>
          </w:rPr>
          <w:t>文件</w:t>
          <w:tab/>
          <w:t>1</w:t>
        </w:r>
      </w:hyperlink>
    </w:p>
    <w:p>
      <w:pPr>
        <w:pStyle w:val="ListParagraph"/>
        <w:numPr>
          <w:ilvl w:val="0"/>
          <w:numId w:val="8"/>
        </w:numPr>
        <w:tabs>
          <w:tab w:val="left" w:pos="735"/>
          <w:tab w:val="left" w:pos="736"/>
          <w:tab w:val="right" w:leader="dot" w:pos="9763"/>
        </w:tabs>
        <w:spacing w:before="130" w:after="0" w:line="240" w:lineRule="auto"/>
        <w:ind w:left="735" w:right="0" w:hanging="318"/>
        <w:jc w:val="left"/>
        <w:rPr>
          <w:sz w:val="21"/>
        </w:rPr>
      </w:pPr>
      <w:hyperlink w:anchor="_bookmark3" w:history="1">
        <w:r>
          <w:rPr>
            <w:spacing w:val="-3"/>
            <w:sz w:val="21"/>
          </w:rPr>
          <w:t>术</w:t>
        </w:r>
        <w:r>
          <w:rPr>
            <w:sz w:val="21"/>
          </w:rPr>
          <w:t>语</w:t>
        </w:r>
        <w:r>
          <w:rPr>
            <w:spacing w:val="-3"/>
            <w:sz w:val="21"/>
          </w:rPr>
          <w:t>和</w:t>
        </w:r>
        <w:r>
          <w:rPr>
            <w:sz w:val="21"/>
          </w:rPr>
          <w:t>定义</w:t>
          <w:tab/>
          <w:t>1</w:t>
        </w:r>
      </w:hyperlink>
    </w:p>
    <w:p>
      <w:pPr>
        <w:pStyle w:val="ListParagraph"/>
        <w:numPr>
          <w:ilvl w:val="0"/>
          <w:numId w:val="8"/>
        </w:numPr>
        <w:tabs>
          <w:tab w:val="left" w:pos="735"/>
          <w:tab w:val="left" w:pos="736"/>
          <w:tab w:val="right" w:leader="dot" w:pos="9763"/>
        </w:tabs>
        <w:spacing w:before="132" w:after="0" w:line="240" w:lineRule="auto"/>
        <w:ind w:left="735" w:right="0" w:hanging="318"/>
        <w:jc w:val="left"/>
        <w:rPr>
          <w:sz w:val="21"/>
        </w:rPr>
      </w:pPr>
      <w:hyperlink w:anchor="_bookmark4" w:history="1">
        <w:r>
          <w:rPr>
            <w:spacing w:val="-3"/>
            <w:sz w:val="21"/>
          </w:rPr>
          <w:t>总</w:t>
        </w:r>
        <w:r>
          <w:rPr>
            <w:sz w:val="21"/>
          </w:rPr>
          <w:t>体</w:t>
        </w:r>
        <w:r>
          <w:rPr>
            <w:spacing w:val="-3"/>
            <w:sz w:val="21"/>
          </w:rPr>
          <w:t>要</w:t>
        </w:r>
        <w:r>
          <w:rPr>
            <w:sz w:val="21"/>
          </w:rPr>
          <w:t>求</w:t>
          <w:tab/>
          <w:t>2</w:t>
        </w:r>
      </w:hyperlink>
    </w:p>
    <w:p>
      <w:pPr>
        <w:pStyle w:val="ListParagraph"/>
        <w:numPr>
          <w:ilvl w:val="0"/>
          <w:numId w:val="8"/>
        </w:numPr>
        <w:tabs>
          <w:tab w:val="left" w:pos="735"/>
          <w:tab w:val="left" w:pos="736"/>
          <w:tab w:val="right" w:leader="dot" w:pos="9763"/>
        </w:tabs>
        <w:spacing w:before="132" w:after="0" w:line="240" w:lineRule="auto"/>
        <w:ind w:left="735" w:right="0" w:hanging="318"/>
        <w:jc w:val="left"/>
        <w:rPr>
          <w:sz w:val="21"/>
        </w:rPr>
      </w:pPr>
      <w:hyperlink w:anchor="_bookmark5" w:history="1">
        <w:r>
          <w:rPr>
            <w:spacing w:val="-3"/>
            <w:sz w:val="21"/>
          </w:rPr>
          <w:t>运</w:t>
        </w:r>
        <w:r>
          <w:rPr>
            <w:sz w:val="21"/>
          </w:rPr>
          <w:t>行</w:t>
        </w:r>
        <w:r>
          <w:rPr>
            <w:spacing w:val="-3"/>
            <w:sz w:val="21"/>
          </w:rPr>
          <w:t>维</w:t>
        </w:r>
        <w:r>
          <w:rPr>
            <w:sz w:val="21"/>
          </w:rPr>
          <w:t>护</w:t>
        </w:r>
        <w:r>
          <w:rPr>
            <w:spacing w:val="-3"/>
            <w:sz w:val="21"/>
          </w:rPr>
          <w:t>技</w:t>
        </w:r>
        <w:r>
          <w:rPr>
            <w:sz w:val="21"/>
          </w:rPr>
          <w:t>术</w:t>
        </w:r>
        <w:r>
          <w:rPr>
            <w:spacing w:val="-3"/>
            <w:sz w:val="21"/>
          </w:rPr>
          <w:t>要</w:t>
        </w:r>
        <w:r>
          <w:rPr>
            <w:sz w:val="21"/>
          </w:rPr>
          <w:t>求</w:t>
          <w:tab/>
          <w:t>3</w:t>
        </w:r>
      </w:hyperlink>
    </w:p>
    <w:p>
      <w:pPr>
        <w:pStyle w:val="ListParagraph"/>
        <w:numPr>
          <w:ilvl w:val="0"/>
          <w:numId w:val="8"/>
        </w:numPr>
        <w:tabs>
          <w:tab w:val="left" w:pos="735"/>
          <w:tab w:val="left" w:pos="736"/>
          <w:tab w:val="right" w:leader="dot" w:pos="9763"/>
        </w:tabs>
        <w:spacing w:before="129" w:after="0" w:line="240" w:lineRule="auto"/>
        <w:ind w:left="735" w:right="0" w:hanging="318"/>
        <w:jc w:val="left"/>
        <w:rPr>
          <w:sz w:val="21"/>
        </w:rPr>
      </w:pPr>
      <w:hyperlink w:anchor="_bookmark6" w:history="1">
        <w:r>
          <w:rPr>
            <w:spacing w:val="-3"/>
            <w:sz w:val="21"/>
          </w:rPr>
          <w:t>质</w:t>
        </w:r>
        <w:r>
          <w:rPr>
            <w:sz w:val="21"/>
          </w:rPr>
          <w:t>量</w:t>
        </w:r>
        <w:r>
          <w:rPr>
            <w:spacing w:val="-3"/>
            <w:sz w:val="21"/>
          </w:rPr>
          <w:t>保</w:t>
        </w:r>
        <w:r>
          <w:rPr>
            <w:sz w:val="21"/>
          </w:rPr>
          <w:t>证</w:t>
        </w:r>
        <w:r>
          <w:rPr>
            <w:spacing w:val="-3"/>
            <w:sz w:val="21"/>
          </w:rPr>
          <w:t>和</w:t>
        </w:r>
        <w:r>
          <w:rPr>
            <w:sz w:val="21"/>
          </w:rPr>
          <w:t>质</w:t>
        </w:r>
        <w:r>
          <w:rPr>
            <w:spacing w:val="-3"/>
            <w:sz w:val="21"/>
          </w:rPr>
          <w:t>量</w:t>
        </w:r>
        <w:r>
          <w:rPr>
            <w:sz w:val="21"/>
          </w:rPr>
          <w:t>控</w:t>
        </w:r>
        <w:r>
          <w:rPr>
            <w:spacing w:val="-3"/>
            <w:sz w:val="21"/>
          </w:rPr>
          <w:t>制要</w:t>
        </w:r>
        <w:r>
          <w:rPr>
            <w:sz w:val="21"/>
          </w:rPr>
          <w:t>求</w:t>
          <w:tab/>
          <w:t>5</w:t>
        </w:r>
      </w:hyperlink>
    </w:p>
    <w:p>
      <w:pPr>
        <w:pStyle w:val="ListParagraph"/>
        <w:numPr>
          <w:ilvl w:val="0"/>
          <w:numId w:val="8"/>
        </w:numPr>
        <w:tabs>
          <w:tab w:val="left" w:pos="735"/>
          <w:tab w:val="left" w:pos="736"/>
          <w:tab w:val="right" w:leader="dot" w:pos="9763"/>
        </w:tabs>
        <w:spacing w:before="132" w:after="0" w:line="240" w:lineRule="auto"/>
        <w:ind w:left="735" w:right="0" w:hanging="318"/>
        <w:jc w:val="left"/>
        <w:rPr>
          <w:sz w:val="21"/>
        </w:rPr>
      </w:pPr>
      <w:hyperlink w:anchor="_bookmark7" w:history="1">
        <w:r>
          <w:rPr>
            <w:spacing w:val="-3"/>
            <w:sz w:val="21"/>
          </w:rPr>
          <w:t>数</w:t>
        </w:r>
        <w:r>
          <w:rPr>
            <w:sz w:val="21"/>
          </w:rPr>
          <w:t>据</w:t>
        </w:r>
        <w:r>
          <w:rPr>
            <w:spacing w:val="-3"/>
            <w:sz w:val="21"/>
          </w:rPr>
          <w:t>审</w:t>
        </w:r>
        <w:r>
          <w:rPr>
            <w:sz w:val="21"/>
          </w:rPr>
          <w:t>核</w:t>
        </w:r>
        <w:r>
          <w:rPr>
            <w:spacing w:val="-3"/>
            <w:sz w:val="21"/>
          </w:rPr>
          <w:t>和</w:t>
        </w:r>
        <w:r>
          <w:rPr>
            <w:sz w:val="21"/>
          </w:rPr>
          <w:t>处</w:t>
        </w:r>
        <w:r>
          <w:rPr>
            <w:spacing w:val="-3"/>
            <w:sz w:val="21"/>
          </w:rPr>
          <w:t>理</w:t>
        </w:r>
        <w:r>
          <w:rPr>
            <w:sz w:val="21"/>
          </w:rPr>
          <w:t>要求</w:t>
          <w:tab/>
          <w:t>7</w:t>
        </w:r>
      </w:hyperlink>
    </w:p>
    <w:p>
      <w:pPr>
        <w:pStyle w:val="BodyText"/>
        <w:tabs>
          <w:tab w:val="left" w:pos="2257"/>
          <w:tab w:val="right" w:leader="dot" w:pos="9763"/>
        </w:tabs>
        <w:spacing w:before="132"/>
        <w:ind w:left="418"/>
      </w:pPr>
      <w:hyperlink w:anchor="_bookmark8" w:history="1">
        <w:r>
          <w:t>附录</w:t>
        </w:r>
        <w:r>
          <w:rPr>
            <w:spacing w:val="-52"/>
          </w:rPr>
          <w:t xml:space="preserve"> </w:t>
        </w:r>
        <w:r>
          <w:t>A（</w:t>
        </w:r>
        <w:r>
          <w:rPr>
            <w:spacing w:val="-3"/>
          </w:rPr>
          <w:t>资</w:t>
        </w:r>
        <w:r>
          <w:t>料</w:t>
        </w:r>
        <w:r>
          <w:rPr>
            <w:spacing w:val="-3"/>
          </w:rPr>
          <w:t>性</w:t>
        </w:r>
        <w:r>
          <w:t>）</w:t>
          <w:tab/>
          <w:t>NMHC-CEMS</w:t>
        </w:r>
        <w:r>
          <w:rPr>
            <w:spacing w:val="-1"/>
          </w:rPr>
          <w:t xml:space="preserve"> </w:t>
        </w:r>
        <w:r>
          <w:t>日</w:t>
        </w:r>
        <w:r>
          <w:rPr>
            <w:spacing w:val="-3"/>
          </w:rPr>
          <w:t>常</w:t>
        </w:r>
        <w:r>
          <w:t>巡</w:t>
        </w:r>
        <w:r>
          <w:rPr>
            <w:spacing w:val="-3"/>
          </w:rPr>
          <w:t>检</w:t>
        </w:r>
        <w:r>
          <w:t>、</w:t>
        </w:r>
        <w:r>
          <w:rPr>
            <w:spacing w:val="-3"/>
          </w:rPr>
          <w:t>校</w:t>
        </w:r>
        <w:r>
          <w:t>准</w:t>
        </w:r>
        <w:r>
          <w:rPr>
            <w:spacing w:val="-3"/>
          </w:rPr>
          <w:t>和维</w:t>
        </w:r>
        <w:r>
          <w:t>护原</w:t>
        </w:r>
        <w:r>
          <w:rPr>
            <w:spacing w:val="-3"/>
          </w:rPr>
          <w:t>始</w:t>
        </w:r>
        <w:r>
          <w:t>记</w:t>
        </w:r>
        <w:r>
          <w:rPr>
            <w:spacing w:val="-3"/>
          </w:rPr>
          <w:t>录</w:t>
        </w:r>
        <w:r>
          <w:t>表</w:t>
          <w:tab/>
          <w:t>9</w:t>
        </w:r>
      </w:hyperlink>
    </w:p>
    <w:p>
      <w:pPr>
        <w:pStyle w:val="BodyText"/>
        <w:tabs>
          <w:tab w:val="right" w:leader="dot" w:pos="9763"/>
        </w:tabs>
        <w:spacing w:before="129"/>
        <w:ind w:left="418"/>
      </w:pPr>
      <w:hyperlink w:anchor="_bookmark9" w:history="1">
        <w:r>
          <w:t>参考</w:t>
        </w:r>
        <w:r>
          <w:rPr>
            <w:spacing w:val="-3"/>
          </w:rPr>
          <w:t>文</w:t>
        </w:r>
        <w:r>
          <w:t>献</w:t>
          <w:tab/>
          <w:t>22</w:t>
        </w:r>
      </w:hyperlink>
    </w:p>
    <w:p>
      <w:pPr>
        <w:spacing w:after="0"/>
        <w:sectPr>
          <w:headerReference w:type="even" r:id="rId5"/>
          <w:headerReference w:type="default" r:id="rId6"/>
          <w:footerReference w:type="even" r:id="rId7"/>
          <w:footerReference w:type="default" r:id="rId8"/>
          <w:pgSz w:w="11910" w:h="16840"/>
          <w:pgMar w:top="1640" w:right="720" w:bottom="1340" w:left="1000" w:header="1448" w:footer="1140"/>
          <w:pgNumType w:start="3"/>
          <w:cols w:space="708"/>
        </w:sectPr>
      </w:pPr>
    </w:p>
    <w:p>
      <w:pPr>
        <w:pStyle w:val="BodyText"/>
        <w:rPr>
          <w:sz w:val="32"/>
        </w:rPr>
      </w:pPr>
    </w:p>
    <w:p>
      <w:pPr>
        <w:pStyle w:val="BodyText"/>
        <w:spacing w:before="10"/>
        <w:rPr>
          <w:sz w:val="30"/>
        </w:rPr>
      </w:pPr>
    </w:p>
    <w:p>
      <w:pPr>
        <w:tabs>
          <w:tab w:val="left" w:pos="960"/>
        </w:tabs>
        <w:spacing w:before="0"/>
        <w:ind w:left="0" w:right="141" w:firstLine="0"/>
        <w:jc w:val="center"/>
        <w:rPr>
          <w:rFonts w:ascii="黑体" w:eastAsia="黑体" w:hint="eastAsia"/>
          <w:sz w:val="32"/>
        </w:rPr>
      </w:pPr>
      <w:bookmarkStart w:id="0" w:name="_bookmark0"/>
      <w:bookmarkEnd w:id="0"/>
      <w:r>
        <w:rPr>
          <w:rFonts w:ascii="黑体" w:eastAsia="黑体" w:hint="eastAsia"/>
          <w:sz w:val="32"/>
        </w:rPr>
        <w:t>前</w:t>
        <w:tab/>
        <w:t>言</w:t>
      </w:r>
    </w:p>
    <w:p>
      <w:pPr>
        <w:pStyle w:val="BodyText"/>
        <w:spacing w:before="11"/>
        <w:rPr>
          <w:rFonts w:ascii="黑体"/>
          <w:sz w:val="46"/>
        </w:rPr>
      </w:pPr>
    </w:p>
    <w:p>
      <w:pPr>
        <w:pStyle w:val="BodyText"/>
        <w:tabs>
          <w:tab w:val="left" w:pos="4970"/>
        </w:tabs>
        <w:spacing w:line="278" w:lineRule="auto"/>
        <w:ind w:left="133" w:right="692" w:firstLine="420"/>
      </w:pPr>
      <w:r>
        <w:t>本文</w:t>
      </w:r>
      <w:r>
        <w:rPr>
          <w:spacing w:val="-3"/>
        </w:rPr>
        <w:t>件</w:t>
      </w:r>
      <w:r>
        <w:t>按照GB/T</w:t>
      </w:r>
      <w:r>
        <w:rPr>
          <w:spacing w:val="4"/>
        </w:rPr>
        <w:t xml:space="preserve"> </w:t>
      </w:r>
      <w:r>
        <w:t>1.1—2020《标</w:t>
      </w:r>
      <w:r>
        <w:rPr>
          <w:spacing w:val="-3"/>
        </w:rPr>
        <w:t>准</w:t>
      </w:r>
      <w:r>
        <w:t>化</w:t>
      </w:r>
      <w:r>
        <w:rPr>
          <w:spacing w:val="-3"/>
        </w:rPr>
        <w:t>工</w:t>
      </w:r>
      <w:r>
        <w:t>作导则</w:t>
        <w:tab/>
        <w:t>第</w:t>
      </w:r>
      <w:r>
        <w:rPr>
          <w:spacing w:val="-3"/>
        </w:rPr>
        <w:t>1</w:t>
      </w:r>
      <w:r>
        <w:t>部分</w:t>
      </w:r>
      <w:r>
        <w:rPr>
          <w:spacing w:val="-3"/>
        </w:rPr>
        <w:t>：</w:t>
      </w:r>
      <w:r>
        <w:t>标准</w:t>
      </w:r>
      <w:r>
        <w:rPr>
          <w:spacing w:val="-3"/>
        </w:rPr>
        <w:t>化</w:t>
      </w:r>
      <w:r>
        <w:t>文</w:t>
      </w:r>
      <w:r>
        <w:rPr>
          <w:spacing w:val="-3"/>
        </w:rPr>
        <w:t>件</w:t>
      </w:r>
      <w:r>
        <w:t>的结</w:t>
      </w:r>
      <w:r>
        <w:rPr>
          <w:spacing w:val="-3"/>
        </w:rPr>
        <w:t>构</w:t>
      </w:r>
      <w:r>
        <w:t>和起</w:t>
      </w:r>
      <w:r>
        <w:rPr>
          <w:spacing w:val="-3"/>
        </w:rPr>
        <w:t>草</w:t>
      </w:r>
      <w:r>
        <w:t>规则</w:t>
      </w:r>
      <w:r>
        <w:rPr>
          <w:spacing w:val="-3"/>
        </w:rPr>
        <w:t>》</w:t>
      </w:r>
      <w:r>
        <w:t>的</w:t>
      </w:r>
      <w:r>
        <w:rPr>
          <w:spacing w:val="-3"/>
        </w:rPr>
        <w:t>规</w:t>
      </w:r>
      <w:r>
        <w:rPr>
          <w:spacing w:val="-13"/>
        </w:rPr>
        <w:t>定</w:t>
      </w:r>
      <w:r>
        <w:t>起草。</w:t>
      </w:r>
    </w:p>
    <w:p>
      <w:pPr>
        <w:pStyle w:val="BodyText"/>
        <w:spacing w:line="269" w:lineRule="exact"/>
        <w:ind w:left="553"/>
      </w:pPr>
      <w:r>
        <w:t>本文件由山西省生态环境厅提出、组织实施和监督检查。</w:t>
      </w:r>
    </w:p>
    <w:p>
      <w:pPr>
        <w:pStyle w:val="BodyText"/>
        <w:spacing w:before="43" w:line="278" w:lineRule="auto"/>
        <w:ind w:left="553" w:right="3954"/>
      </w:pPr>
      <w:r>
        <w:drawing>
          <wp:anchor distT="0" distB="0" distL="0" distR="0" simplePos="0" relativeHeight="251662336" behindDoc="0" locked="0" layoutInCell="1" allowOverlap="1">
            <wp:simplePos x="0" y="0"/>
            <wp:positionH relativeFrom="page">
              <wp:posOffset>1512112</wp:posOffset>
            </wp:positionH>
            <wp:positionV relativeFrom="paragraph">
              <wp:posOffset>304741</wp:posOffset>
            </wp:positionV>
            <wp:extent cx="4536320" cy="45363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rPr>
          <w:spacing w:val="-3"/>
        </w:rPr>
        <w:t>山西省市场监督管理局对标准的组织实施情况进行监督检查。本文件由山西省生态环境标准化技术委员会归口。</w:t>
      </w:r>
    </w:p>
    <w:p>
      <w:pPr>
        <w:pStyle w:val="BodyText"/>
        <w:spacing w:line="278" w:lineRule="auto"/>
        <w:ind w:left="133" w:right="695" w:firstLine="420"/>
        <w:jc w:val="both"/>
      </w:pPr>
      <w:r>
        <w:rPr>
          <w:spacing w:val="-7"/>
        </w:rPr>
        <w:t>本文件起草单位：山西省生态环境监测和应急保障中心</w:t>
      </w:r>
      <w:r>
        <w:rPr>
          <w:spacing w:val="-3"/>
        </w:rPr>
        <w:t>（山西省生态环境科学研究院</w:t>
      </w:r>
      <w:r>
        <w:rPr>
          <w:spacing w:val="-27"/>
        </w:rPr>
        <w:t>）</w:t>
      </w:r>
      <w:r>
        <w:rPr>
          <w:spacing w:val="-8"/>
        </w:rPr>
        <w:t>、临汾市环</w:t>
      </w:r>
      <w:r>
        <w:rPr>
          <w:spacing w:val="-6"/>
        </w:rPr>
        <w:t>境监控中心、山西省检验检测中心</w:t>
      </w:r>
      <w:r>
        <w:rPr>
          <w:spacing w:val="-3"/>
        </w:rPr>
        <w:t>（山西省标准计量技术研究院</w:t>
      </w:r>
      <w:r>
        <w:rPr>
          <w:spacing w:val="-22"/>
        </w:rPr>
        <w:t>）</w:t>
      </w:r>
      <w:r>
        <w:rPr>
          <w:spacing w:val="-7"/>
        </w:rPr>
        <w:t>、北京雪迪龙科技股份有限公司、山</w:t>
      </w:r>
      <w:r>
        <w:rPr>
          <w:spacing w:val="-5"/>
        </w:rPr>
        <w:t>西鑫华翔科技发展有限公司、太原海纳辰科有限公司。</w:t>
      </w:r>
    </w:p>
    <w:p>
      <w:pPr>
        <w:pStyle w:val="BodyText"/>
        <w:spacing w:line="278" w:lineRule="auto"/>
        <w:ind w:left="133" w:right="588" w:firstLine="420"/>
      </w:pPr>
      <w:r>
        <w:t>本文件主要起草人：赵钱垒、李晓锋、王亮、贾午耀、贺红官、宋福胜、路志军、薛梦莹、朱伟、谢明、刘建晖、张利琴、郑亮、杨青、刘承伟、李波、刘强、徐伟利、杨帅、高建华。</w:t>
      </w:r>
    </w:p>
    <w:p>
      <w:pPr>
        <w:spacing w:after="0" w:line="278" w:lineRule="auto"/>
        <w:sectPr>
          <w:headerReference w:type="even" r:id="rId10"/>
          <w:headerReference w:type="default" r:id="rId11"/>
          <w:footerReference w:type="even" r:id="rId12"/>
          <w:footerReference w:type="default" r:id="rId13"/>
          <w:pgSz w:w="11910" w:h="16840"/>
          <w:pgMar w:top="1640" w:right="720" w:bottom="1340" w:left="1000" w:header="1448" w:footer="1140"/>
          <w:pgNumType w:start="4"/>
          <w:cols w:space="708"/>
        </w:sectPr>
      </w:pPr>
    </w:p>
    <w:p>
      <w:pPr>
        <w:pStyle w:val="BodyText"/>
        <w:rPr>
          <w:sz w:val="20"/>
        </w:rPr>
      </w:pPr>
    </w:p>
    <w:p>
      <w:pPr>
        <w:pStyle w:val="BodyText"/>
        <w:spacing w:before="2"/>
        <w:rPr>
          <w:sz w:val="24"/>
        </w:rPr>
      </w:pPr>
    </w:p>
    <w:p>
      <w:pPr>
        <w:pStyle w:val="Heading1"/>
        <w:ind w:left="615"/>
        <w:jc w:val="left"/>
      </w:pPr>
      <w:r>
        <w:t>固定污染源废气非甲烷总烃排放连续监测系统运行维护技术规范</w:t>
      </w:r>
    </w:p>
    <w:p>
      <w:pPr>
        <w:pStyle w:val="BodyText"/>
        <w:rPr>
          <w:rFonts w:ascii="黑体"/>
          <w:sz w:val="32"/>
        </w:rPr>
      </w:pPr>
    </w:p>
    <w:p>
      <w:pPr>
        <w:pStyle w:val="BodyText"/>
        <w:spacing w:before="9"/>
        <w:rPr>
          <w:rFonts w:ascii="黑体"/>
          <w:sz w:val="22"/>
        </w:rPr>
      </w:pPr>
    </w:p>
    <w:p>
      <w:pPr>
        <w:pStyle w:val="ListParagraph"/>
        <w:numPr>
          <w:ilvl w:val="0"/>
          <w:numId w:val="7"/>
        </w:numPr>
        <w:tabs>
          <w:tab w:val="left" w:pos="733"/>
          <w:tab w:val="left" w:pos="734"/>
        </w:tabs>
        <w:spacing w:before="0" w:after="0" w:line="240" w:lineRule="auto"/>
        <w:ind w:left="733" w:right="0" w:hanging="316"/>
        <w:jc w:val="left"/>
        <w:rPr>
          <w:rFonts w:ascii="黑体" w:eastAsia="黑体" w:hint="eastAsia"/>
          <w:sz w:val="21"/>
        </w:rPr>
      </w:pPr>
      <w:bookmarkStart w:id="1" w:name="_bookmark1"/>
      <w:bookmarkEnd w:id="1"/>
      <w:r>
        <w:rPr>
          <w:rFonts w:ascii="黑体" w:eastAsia="黑体" w:hint="eastAsia"/>
          <w:sz w:val="21"/>
        </w:rPr>
        <w:t>范围</w:t>
      </w:r>
    </w:p>
    <w:p>
      <w:pPr>
        <w:pStyle w:val="BodyText"/>
        <w:spacing w:before="9"/>
        <w:rPr>
          <w:rFonts w:ascii="黑体"/>
          <w:sz w:val="27"/>
        </w:rPr>
      </w:pPr>
    </w:p>
    <w:p>
      <w:pPr>
        <w:pStyle w:val="BodyText"/>
        <w:spacing w:line="276" w:lineRule="auto"/>
        <w:ind w:left="418" w:right="406" w:firstLine="420"/>
      </w:pPr>
      <w:r>
        <w:rPr>
          <w:spacing w:val="-7"/>
        </w:rPr>
        <w:t>本文件规定了固定污染源废气非甲烷总烃排放连续监测系统运行维护的总体要求、技术要求、质量</w:t>
      </w:r>
      <w:r>
        <w:rPr>
          <w:spacing w:val="-5"/>
        </w:rPr>
        <w:t>保证和质量控制要求以及数据审核和处理要求。</w:t>
      </w:r>
    </w:p>
    <w:p>
      <w:pPr>
        <w:pStyle w:val="BodyText"/>
        <w:spacing w:before="3"/>
        <w:ind w:left="838"/>
      </w:pPr>
      <w:r>
        <w:drawing>
          <wp:anchor distT="0" distB="0" distL="0" distR="0" simplePos="0" relativeHeight="251663360" behindDoc="0" locked="0" layoutInCell="1" allowOverlap="1">
            <wp:simplePos x="0" y="0"/>
            <wp:positionH relativeFrom="page">
              <wp:posOffset>1512112</wp:posOffset>
            </wp:positionH>
            <wp:positionV relativeFrom="paragraph">
              <wp:posOffset>136085</wp:posOffset>
            </wp:positionV>
            <wp:extent cx="4536320" cy="453632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t>本文件适用于山西省境内固定污染源废气非甲烷总烃排放连续监测系统运行维护。</w:t>
      </w:r>
    </w:p>
    <w:p>
      <w:pPr>
        <w:pStyle w:val="BodyText"/>
        <w:spacing w:before="12"/>
        <w:rPr>
          <w:sz w:val="27"/>
        </w:rPr>
      </w:pPr>
    </w:p>
    <w:p>
      <w:pPr>
        <w:pStyle w:val="ListParagraph"/>
        <w:numPr>
          <w:ilvl w:val="0"/>
          <w:numId w:val="7"/>
        </w:numPr>
        <w:tabs>
          <w:tab w:val="left" w:pos="733"/>
          <w:tab w:val="left" w:pos="734"/>
        </w:tabs>
        <w:spacing w:before="0" w:after="0" w:line="240" w:lineRule="auto"/>
        <w:ind w:left="733" w:right="0" w:hanging="316"/>
        <w:jc w:val="left"/>
        <w:rPr>
          <w:rFonts w:ascii="黑体" w:eastAsia="黑体" w:hint="eastAsia"/>
          <w:sz w:val="21"/>
        </w:rPr>
      </w:pPr>
      <w:bookmarkStart w:id="2" w:name="_bookmark2"/>
      <w:bookmarkEnd w:id="2"/>
      <w:r>
        <w:rPr>
          <w:rFonts w:ascii="黑体" w:eastAsia="黑体" w:hint="eastAsia"/>
          <w:spacing w:val="-2"/>
          <w:sz w:val="21"/>
        </w:rPr>
        <w:t>规范性引用文件</w:t>
      </w:r>
    </w:p>
    <w:p>
      <w:pPr>
        <w:pStyle w:val="BodyText"/>
        <w:spacing w:before="6"/>
        <w:rPr>
          <w:rFonts w:ascii="黑体"/>
          <w:sz w:val="27"/>
        </w:rPr>
      </w:pPr>
    </w:p>
    <w:p>
      <w:pPr>
        <w:pStyle w:val="BodyText"/>
        <w:spacing w:before="1" w:line="278" w:lineRule="auto"/>
        <w:ind w:left="418" w:right="300" w:firstLine="420"/>
      </w:pPr>
      <w:r>
        <w:rPr>
          <w:spacing w:val="-10"/>
        </w:rPr>
        <w:t xml:space="preserve">下列文件中的内容通过文中的规范性引用而构成本文件必不可少的条款。其中，注日期的引用文件， </w:t>
      </w:r>
      <w:r>
        <w:rPr>
          <w:spacing w:val="-9"/>
        </w:rPr>
        <w:t>仅该日期对应的版本适用于本文件；不注日期的引用文件，其最新版本</w:t>
      </w:r>
      <w:r>
        <w:t>（</w:t>
      </w:r>
      <w:r>
        <w:rPr>
          <w:spacing w:val="-3"/>
        </w:rPr>
        <w:t>包括所有的修改单</w:t>
      </w:r>
      <w:r>
        <w:rPr>
          <w:spacing w:val="-27"/>
        </w:rPr>
        <w:t>）</w:t>
      </w:r>
      <w:r>
        <w:rPr>
          <w:spacing w:val="-3"/>
        </w:rPr>
        <w:t>适用于本文件。</w:t>
      </w:r>
    </w:p>
    <w:p>
      <w:pPr>
        <w:pStyle w:val="BodyText"/>
        <w:tabs>
          <w:tab w:val="left" w:pos="2105"/>
        </w:tabs>
        <w:spacing w:line="269" w:lineRule="exact"/>
        <w:ind w:left="838"/>
      </w:pPr>
      <w:r>
        <w:rPr>
          <w:rFonts w:ascii="Times New Roman" w:eastAsia="Times New Roman"/>
        </w:rPr>
        <w:t>GB/T</w:t>
      </w:r>
      <w:r>
        <w:rPr>
          <w:rFonts w:ascii="Times New Roman" w:eastAsia="Times New Roman"/>
          <w:spacing w:val="-1"/>
        </w:rPr>
        <w:t xml:space="preserve"> </w:t>
      </w:r>
      <w:r>
        <w:rPr>
          <w:rFonts w:ascii="Times New Roman" w:eastAsia="Times New Roman"/>
        </w:rPr>
        <w:t>16157</w:t>
        <w:tab/>
      </w:r>
      <w:r>
        <w:rPr>
          <w:spacing w:val="-3"/>
        </w:rPr>
        <w:t>固定污染源排气中颗粒物测定与气态污染物采样方法</w:t>
      </w:r>
    </w:p>
    <w:p>
      <w:pPr>
        <w:pStyle w:val="BodyText"/>
        <w:tabs>
          <w:tab w:val="left" w:pos="1546"/>
        </w:tabs>
        <w:spacing w:before="42"/>
        <w:ind w:left="838"/>
      </w:pPr>
      <w:r>
        <w:rPr>
          <w:rFonts w:ascii="Times New Roman" w:eastAsia="Times New Roman"/>
        </w:rPr>
        <w:t>HJ</w:t>
      </w:r>
      <w:r>
        <w:rPr>
          <w:rFonts w:ascii="Times New Roman" w:eastAsia="Times New Roman"/>
          <w:spacing w:val="1"/>
        </w:rPr>
        <w:t xml:space="preserve"> </w:t>
      </w:r>
      <w:r>
        <w:rPr>
          <w:rFonts w:ascii="Times New Roman" w:eastAsia="Times New Roman"/>
        </w:rPr>
        <w:t>38</w:t>
        <w:tab/>
      </w:r>
      <w:r>
        <w:rPr>
          <w:spacing w:val="-3"/>
        </w:rPr>
        <w:t>固定污染源废气 总烃、甲烷和非甲烷总烃的测定 气相色谱法</w:t>
      </w:r>
    </w:p>
    <w:p>
      <w:pPr>
        <w:pStyle w:val="BodyText"/>
        <w:tabs>
          <w:tab w:val="left" w:pos="2036"/>
        </w:tabs>
        <w:spacing w:before="43"/>
        <w:ind w:left="838"/>
      </w:pPr>
      <w:r>
        <w:rPr>
          <w:rFonts w:ascii="Times New Roman" w:eastAsia="Times New Roman"/>
          <w:position w:val="2"/>
        </w:rPr>
        <w:t>HJ 75-2017</w:t>
        <w:tab/>
      </w:r>
      <w:r>
        <w:rPr>
          <w:spacing w:val="-3"/>
          <w:position w:val="2"/>
        </w:rPr>
        <w:t>固定污染源烟气</w:t>
      </w:r>
      <w:r>
        <w:rPr>
          <w:position w:val="2"/>
        </w:rPr>
        <w:t>（</w:t>
      </w:r>
      <w:r>
        <w:rPr>
          <w:rFonts w:ascii="Times New Roman" w:eastAsia="Times New Roman"/>
          <w:position w:val="2"/>
        </w:rPr>
        <w:t>SO</w:t>
      </w:r>
      <w:r>
        <w:rPr>
          <w:rFonts w:ascii="Times New Roman" w:eastAsia="Times New Roman"/>
          <w:sz w:val="14"/>
        </w:rPr>
        <w:t>2</w:t>
      </w:r>
      <w:r>
        <w:rPr>
          <w:spacing w:val="-3"/>
          <w:position w:val="2"/>
        </w:rPr>
        <w:t>、</w:t>
      </w:r>
      <w:r>
        <w:rPr>
          <w:rFonts w:ascii="Times New Roman" w:eastAsia="Times New Roman"/>
          <w:position w:val="2"/>
        </w:rPr>
        <w:t>NO</w:t>
      </w:r>
      <w:r>
        <w:rPr>
          <w:rFonts w:ascii="Times New Roman" w:eastAsia="Times New Roman"/>
          <w:sz w:val="14"/>
        </w:rPr>
        <w:t>x</w:t>
      </w:r>
      <w:r>
        <w:rPr>
          <w:spacing w:val="-1"/>
          <w:position w:val="2"/>
        </w:rPr>
        <w:t>、颗粒物</w:t>
      </w:r>
      <w:r>
        <w:rPr>
          <w:spacing w:val="-3"/>
          <w:position w:val="2"/>
        </w:rPr>
        <w:t>）排放连续监测技术规范</w:t>
      </w:r>
    </w:p>
    <w:p>
      <w:pPr>
        <w:pStyle w:val="BodyText"/>
        <w:tabs>
          <w:tab w:val="left" w:pos="1546"/>
        </w:tabs>
        <w:spacing w:before="43"/>
        <w:ind w:left="838"/>
      </w:pPr>
      <w:r>
        <w:rPr>
          <w:rFonts w:ascii="Times New Roman" w:eastAsia="Times New Roman"/>
          <w:position w:val="2"/>
        </w:rPr>
        <w:t>HJ</w:t>
      </w:r>
      <w:r>
        <w:rPr>
          <w:rFonts w:ascii="Times New Roman" w:eastAsia="Times New Roman"/>
          <w:spacing w:val="1"/>
          <w:position w:val="2"/>
        </w:rPr>
        <w:t xml:space="preserve"> </w:t>
      </w:r>
      <w:r>
        <w:rPr>
          <w:rFonts w:ascii="Times New Roman" w:eastAsia="Times New Roman"/>
          <w:position w:val="2"/>
        </w:rPr>
        <w:t>76</w:t>
        <w:tab/>
      </w:r>
      <w:r>
        <w:rPr>
          <w:spacing w:val="-3"/>
          <w:position w:val="2"/>
        </w:rPr>
        <w:t>固定污染源烟气</w:t>
      </w:r>
      <w:r>
        <w:rPr>
          <w:position w:val="2"/>
        </w:rPr>
        <w:t>（</w:t>
      </w:r>
      <w:r>
        <w:rPr>
          <w:rFonts w:ascii="Times New Roman" w:eastAsia="Times New Roman"/>
          <w:position w:val="2"/>
        </w:rPr>
        <w:t>SO</w:t>
      </w:r>
      <w:r>
        <w:rPr>
          <w:rFonts w:ascii="Times New Roman" w:eastAsia="Times New Roman"/>
          <w:sz w:val="14"/>
        </w:rPr>
        <w:t>2</w:t>
      </w:r>
      <w:r>
        <w:rPr>
          <w:spacing w:val="-3"/>
          <w:position w:val="2"/>
        </w:rPr>
        <w:t>、</w:t>
      </w:r>
      <w:r>
        <w:rPr>
          <w:rFonts w:ascii="Times New Roman" w:eastAsia="Times New Roman"/>
          <w:position w:val="2"/>
        </w:rPr>
        <w:t>NO</w:t>
      </w:r>
      <w:r>
        <w:rPr>
          <w:rFonts w:ascii="Times New Roman" w:eastAsia="Times New Roman"/>
          <w:sz w:val="14"/>
        </w:rPr>
        <w:t>x</w:t>
      </w:r>
      <w:r>
        <w:rPr>
          <w:spacing w:val="-1"/>
          <w:position w:val="2"/>
        </w:rPr>
        <w:t>、颗粒物</w:t>
      </w:r>
      <w:r>
        <w:rPr>
          <w:spacing w:val="-3"/>
          <w:position w:val="2"/>
        </w:rPr>
        <w:t>）排放连续监测系统技术要求及检测方法</w:t>
      </w:r>
    </w:p>
    <w:p>
      <w:pPr>
        <w:pStyle w:val="BodyText"/>
        <w:tabs>
          <w:tab w:val="left" w:pos="1649"/>
        </w:tabs>
        <w:spacing w:before="43"/>
        <w:ind w:left="838"/>
      </w:pPr>
      <w:r>
        <w:rPr>
          <w:rFonts w:ascii="Times New Roman" w:eastAsia="Times New Roman"/>
        </w:rPr>
        <w:t>HJ 212</w:t>
        <w:tab/>
      </w:r>
      <w:r>
        <w:rPr>
          <w:spacing w:val="-3"/>
        </w:rPr>
        <w:t>污染物在线监控</w:t>
      </w:r>
      <w:r>
        <w:t>（</w:t>
      </w:r>
      <w:r>
        <w:rPr>
          <w:spacing w:val="-2"/>
        </w:rPr>
        <w:t>监测</w:t>
      </w:r>
      <w:r>
        <w:t>）</w:t>
      </w:r>
      <w:r>
        <w:rPr>
          <w:spacing w:val="-3"/>
        </w:rPr>
        <w:t>系统数据传输标准</w:t>
      </w:r>
    </w:p>
    <w:p>
      <w:pPr>
        <w:pStyle w:val="BodyText"/>
        <w:tabs>
          <w:tab w:val="left" w:pos="1837"/>
        </w:tabs>
        <w:spacing w:before="43"/>
        <w:ind w:left="838"/>
      </w:pPr>
      <w:r>
        <w:rPr>
          <w:rFonts w:ascii="Times New Roman" w:eastAsia="Times New Roman"/>
        </w:rPr>
        <w:t>HJ/T</w:t>
      </w:r>
      <w:r>
        <w:rPr>
          <w:rFonts w:ascii="Times New Roman" w:eastAsia="Times New Roman"/>
          <w:spacing w:val="-1"/>
        </w:rPr>
        <w:t xml:space="preserve"> </w:t>
      </w:r>
      <w:r>
        <w:rPr>
          <w:rFonts w:ascii="Times New Roman" w:eastAsia="Times New Roman"/>
        </w:rPr>
        <w:t>397</w:t>
        <w:tab/>
      </w:r>
      <w:r>
        <w:rPr>
          <w:spacing w:val="-3"/>
        </w:rPr>
        <w:t>固定源废气监测技术规范</w:t>
      </w:r>
    </w:p>
    <w:p>
      <w:pPr>
        <w:pStyle w:val="BodyText"/>
        <w:tabs>
          <w:tab w:val="left" w:pos="1649"/>
        </w:tabs>
        <w:spacing w:before="44"/>
        <w:ind w:left="838"/>
      </w:pPr>
      <w:r>
        <w:rPr>
          <w:rFonts w:ascii="Times New Roman" w:eastAsia="Times New Roman"/>
        </w:rPr>
        <w:t>HJ 732</w:t>
        <w:tab/>
      </w:r>
      <w:r>
        <w:rPr>
          <w:spacing w:val="-3"/>
        </w:rPr>
        <w:t>固定污染源废气 挥发性有机物的采样 气袋法</w:t>
      </w:r>
    </w:p>
    <w:p>
      <w:pPr>
        <w:pStyle w:val="BodyText"/>
        <w:tabs>
          <w:tab w:val="left" w:pos="1755"/>
        </w:tabs>
        <w:spacing w:before="42"/>
        <w:ind w:left="838"/>
      </w:pPr>
      <w:r>
        <w:rPr>
          <w:rFonts w:ascii="Times New Roman" w:eastAsia="Times New Roman"/>
        </w:rPr>
        <w:t>HJ 1013</w:t>
        <w:tab/>
      </w:r>
      <w:r>
        <w:rPr>
          <w:spacing w:val="-3"/>
        </w:rPr>
        <w:t>固定污染源废气非甲烷总烃连续监测系统技术要求及检测方法</w:t>
      </w:r>
    </w:p>
    <w:p>
      <w:pPr>
        <w:pStyle w:val="BodyText"/>
        <w:tabs>
          <w:tab w:val="left" w:pos="1755"/>
        </w:tabs>
        <w:spacing w:before="43"/>
        <w:ind w:left="838"/>
      </w:pPr>
      <w:r>
        <w:rPr>
          <w:rFonts w:ascii="Times New Roman" w:eastAsia="Times New Roman"/>
        </w:rPr>
        <w:t>HJ 1286</w:t>
        <w:tab/>
      </w:r>
      <w:r>
        <w:rPr>
          <w:spacing w:val="-3"/>
        </w:rPr>
        <w:t>固定污染源废气 非甲烷总烃连续监测技术规范</w:t>
      </w:r>
    </w:p>
    <w:p>
      <w:pPr>
        <w:pStyle w:val="BodyText"/>
        <w:tabs>
          <w:tab w:val="left" w:pos="2211"/>
        </w:tabs>
        <w:spacing w:before="43"/>
        <w:ind w:left="838"/>
      </w:pPr>
      <w:r>
        <w:rPr>
          <w:rFonts w:ascii="Times New Roman" w:eastAsia="Times New Roman"/>
        </w:rPr>
        <w:t>DB14/T</w:t>
      </w:r>
      <w:r>
        <w:rPr>
          <w:rFonts w:ascii="Times New Roman" w:eastAsia="Times New Roman"/>
          <w:spacing w:val="-2"/>
        </w:rPr>
        <w:t xml:space="preserve"> </w:t>
      </w:r>
      <w:r>
        <w:rPr>
          <w:rFonts w:ascii="Times New Roman" w:eastAsia="Times New Roman"/>
        </w:rPr>
        <w:t>2051</w:t>
        <w:tab/>
      </w:r>
      <w:r>
        <w:rPr>
          <w:spacing w:val="-3"/>
        </w:rPr>
        <w:t>固定污染源烟气排放连续监测系统运行维护质量控制技术规范</w:t>
      </w:r>
    </w:p>
    <w:p>
      <w:pPr>
        <w:pStyle w:val="BodyText"/>
        <w:spacing w:before="12"/>
        <w:rPr>
          <w:sz w:val="27"/>
        </w:rPr>
      </w:pPr>
    </w:p>
    <w:p>
      <w:pPr>
        <w:pStyle w:val="ListParagraph"/>
        <w:numPr>
          <w:ilvl w:val="0"/>
          <w:numId w:val="7"/>
        </w:numPr>
        <w:tabs>
          <w:tab w:val="left" w:pos="733"/>
          <w:tab w:val="left" w:pos="734"/>
        </w:tabs>
        <w:spacing w:before="0" w:after="0" w:line="240" w:lineRule="auto"/>
        <w:ind w:left="733" w:right="0" w:hanging="316"/>
        <w:jc w:val="left"/>
        <w:rPr>
          <w:rFonts w:ascii="黑体" w:eastAsia="黑体" w:hint="eastAsia"/>
          <w:sz w:val="21"/>
        </w:rPr>
      </w:pPr>
      <w:bookmarkStart w:id="3" w:name="_bookmark3"/>
      <w:bookmarkEnd w:id="3"/>
      <w:r>
        <w:rPr>
          <w:rFonts w:ascii="黑体" w:eastAsia="黑体" w:hint="eastAsia"/>
          <w:spacing w:val="-1"/>
          <w:sz w:val="21"/>
        </w:rPr>
        <w:t>术语和定义</w:t>
      </w:r>
    </w:p>
    <w:p>
      <w:pPr>
        <w:pStyle w:val="BodyText"/>
        <w:spacing w:before="12"/>
        <w:rPr>
          <w:rFonts w:ascii="黑体"/>
        </w:rPr>
      </w:pPr>
    </w:p>
    <w:p>
      <w:pPr>
        <w:pStyle w:val="BodyText"/>
        <w:spacing w:before="71"/>
        <w:ind w:left="838"/>
      </w:pPr>
      <w:r>
        <w:t>下列术语和定义适用于本文件。</w:t>
      </w:r>
    </w:p>
    <w:p>
      <w:pPr>
        <w:pStyle w:val="ListParagraph"/>
        <w:numPr>
          <w:ilvl w:val="1"/>
          <w:numId w:val="7"/>
        </w:numPr>
        <w:tabs>
          <w:tab w:val="left" w:pos="737"/>
        </w:tabs>
        <w:spacing w:before="43" w:after="0" w:line="240" w:lineRule="auto"/>
        <w:ind w:left="736" w:right="0" w:hanging="319"/>
        <w:jc w:val="left"/>
        <w:rPr>
          <w:rFonts w:ascii="黑体"/>
          <w:sz w:val="21"/>
        </w:rPr>
      </w:pPr>
      <w:r>
        <w:rPr>
          <w:rFonts w:ascii="黑体"/>
          <w:sz w:val="21"/>
        </w:rPr>
        <w:t>3.1</w:t>
      </w:r>
    </w:p>
    <w:p>
      <w:pPr>
        <w:pStyle w:val="BodyText"/>
        <w:spacing w:before="43"/>
        <w:ind w:left="838"/>
        <w:rPr>
          <w:rFonts w:ascii="黑体" w:eastAsia="黑体" w:hint="eastAsia"/>
        </w:rPr>
      </w:pPr>
      <w:r>
        <w:rPr>
          <w:rFonts w:ascii="黑体" w:eastAsia="黑体" w:hint="eastAsia"/>
        </w:rPr>
        <w:t>非甲烷总烃</w:t>
      </w:r>
    </w:p>
    <w:p>
      <w:pPr>
        <w:pStyle w:val="BodyText"/>
        <w:spacing w:before="43"/>
        <w:ind w:left="838"/>
      </w:pPr>
      <w:r>
        <w:t>采用规定的监测方法，在氢火焰离子化检测器（</w:t>
      </w:r>
      <w:r>
        <w:rPr>
          <w:rFonts w:ascii="Times New Roman" w:eastAsia="Times New Roman"/>
        </w:rPr>
        <w:t>FID</w:t>
      </w:r>
      <w:r>
        <w:t>）上有响应的除甲烷以外的其他气态有机化合</w:t>
      </w:r>
    </w:p>
    <w:p>
      <w:pPr>
        <w:pStyle w:val="BodyText"/>
        <w:spacing w:before="44"/>
        <w:ind w:left="418"/>
      </w:pPr>
      <w:r>
        <w:t xml:space="preserve">物的总和（除另有说明，结果以碳计），简称 </w:t>
      </w:r>
      <w:r>
        <w:rPr>
          <w:rFonts w:ascii="Times New Roman" w:eastAsia="Times New Roman"/>
        </w:rPr>
        <w:t>NMHC</w:t>
      </w:r>
      <w:r>
        <w:t>。</w:t>
      </w:r>
    </w:p>
    <w:p>
      <w:pPr>
        <w:pStyle w:val="ListParagraph"/>
        <w:numPr>
          <w:ilvl w:val="1"/>
          <w:numId w:val="7"/>
        </w:numPr>
        <w:tabs>
          <w:tab w:val="left" w:pos="737"/>
        </w:tabs>
        <w:spacing w:before="43" w:after="0" w:line="240" w:lineRule="auto"/>
        <w:ind w:left="736" w:right="0" w:hanging="319"/>
        <w:jc w:val="left"/>
        <w:rPr>
          <w:rFonts w:ascii="黑体"/>
          <w:sz w:val="21"/>
        </w:rPr>
      </w:pPr>
      <w:r>
        <w:rPr>
          <w:rFonts w:ascii="黑体"/>
          <w:sz w:val="21"/>
        </w:rPr>
        <w:t>3.2</w:t>
      </w:r>
    </w:p>
    <w:p>
      <w:pPr>
        <w:pStyle w:val="BodyText"/>
        <w:spacing w:before="42"/>
        <w:ind w:left="838"/>
        <w:rPr>
          <w:rFonts w:ascii="黑体" w:eastAsia="黑体" w:hint="eastAsia"/>
        </w:rPr>
      </w:pPr>
      <w:r>
        <w:rPr>
          <w:rFonts w:ascii="黑体" w:eastAsia="黑体" w:hint="eastAsia"/>
        </w:rPr>
        <w:t>非甲烷总烃排放连续监测系统</w:t>
      </w:r>
    </w:p>
    <w:p>
      <w:pPr>
        <w:pStyle w:val="BodyText"/>
        <w:spacing w:before="43" w:line="278" w:lineRule="auto"/>
        <w:ind w:left="418" w:right="406" w:firstLine="420"/>
        <w:jc w:val="both"/>
      </w:pPr>
      <w:r>
        <w:rPr>
          <w:spacing w:val="-4"/>
        </w:rPr>
        <w:t>连续监测固定污染源废气中非甲烷总烃排放浓度和条件参数</w:t>
      </w:r>
      <w:r>
        <w:rPr>
          <w:spacing w:val="-3"/>
        </w:rPr>
        <w:t>（</w:t>
      </w:r>
      <w:r>
        <w:rPr>
          <w:spacing w:val="-11"/>
        </w:rPr>
        <w:t>温度、压力、流速或流量、湿度以及</w:t>
      </w:r>
      <w:r>
        <w:rPr>
          <w:spacing w:val="-7"/>
        </w:rPr>
        <w:t>含氧量等</w:t>
      </w:r>
      <w:r>
        <w:rPr>
          <w:spacing w:val="-15"/>
        </w:rPr>
        <w:t>）</w:t>
      </w:r>
      <w:r>
        <w:t>所需的全部设备，简称</w:t>
      </w:r>
      <w:r>
        <w:rPr>
          <w:rFonts w:ascii="Times New Roman" w:eastAsia="Times New Roman"/>
          <w:spacing w:val="-3"/>
        </w:rPr>
        <w:t>NMHC-CEMS</w:t>
      </w:r>
      <w:r>
        <w:rPr>
          <w:spacing w:val="-12"/>
        </w:rPr>
        <w:t xml:space="preserve">，由 </w:t>
      </w:r>
      <w:r>
        <w:rPr>
          <w:rFonts w:ascii="Times New Roman" w:eastAsia="Times New Roman"/>
        </w:rPr>
        <w:t xml:space="preserve">NMHC </w:t>
      </w:r>
      <w:r>
        <w:rPr>
          <w:spacing w:val="-6"/>
        </w:rPr>
        <w:t>监测单元、废气条件参数监测单元、数据</w:t>
      </w:r>
      <w:r>
        <w:rPr>
          <w:spacing w:val="-4"/>
        </w:rPr>
        <w:t>采集与处理单元以及其他辅助设备等组成。</w:t>
      </w:r>
    </w:p>
    <w:p>
      <w:pPr>
        <w:pStyle w:val="ListParagraph"/>
        <w:numPr>
          <w:ilvl w:val="1"/>
          <w:numId w:val="7"/>
        </w:numPr>
        <w:tabs>
          <w:tab w:val="left" w:pos="737"/>
        </w:tabs>
        <w:spacing w:before="0" w:after="0" w:line="269" w:lineRule="exact"/>
        <w:ind w:left="736" w:right="0" w:hanging="319"/>
        <w:jc w:val="left"/>
        <w:rPr>
          <w:rFonts w:ascii="黑体"/>
          <w:sz w:val="21"/>
        </w:rPr>
      </w:pPr>
      <w:r>
        <w:rPr>
          <w:rFonts w:ascii="黑体"/>
          <w:sz w:val="21"/>
        </w:rPr>
        <w:t>3.3</w:t>
      </w:r>
    </w:p>
    <w:p>
      <w:pPr>
        <w:pStyle w:val="BodyText"/>
        <w:spacing w:before="43"/>
        <w:ind w:left="838"/>
        <w:rPr>
          <w:rFonts w:ascii="黑体" w:eastAsia="黑体" w:hint="eastAsia"/>
        </w:rPr>
      </w:pPr>
      <w:r>
        <w:rPr>
          <w:rFonts w:ascii="黑体" w:eastAsia="黑体" w:hint="eastAsia"/>
        </w:rPr>
        <w:t>运行维护</w:t>
      </w:r>
    </w:p>
    <w:p>
      <w:pPr>
        <w:pStyle w:val="BodyText"/>
        <w:spacing w:before="43" w:line="278" w:lineRule="auto"/>
        <w:ind w:left="418" w:right="408" w:firstLine="420"/>
      </w:pPr>
      <w:r>
        <w:rPr>
          <w:spacing w:val="-7"/>
        </w:rPr>
        <w:t>按照本文件要求对非甲烷总烃排放连续监测系统开展日常巡检、维修保养、异常处理、数据审核等</w:t>
      </w:r>
      <w:r>
        <w:rPr>
          <w:spacing w:val="-5"/>
        </w:rPr>
        <w:t>工作的活动，简称运维。</w:t>
      </w:r>
    </w:p>
    <w:p>
      <w:pPr>
        <w:spacing w:after="0" w:line="278" w:lineRule="auto"/>
        <w:sectPr>
          <w:headerReference w:type="even" r:id="rId14"/>
          <w:headerReference w:type="default" r:id="rId15"/>
          <w:footerReference w:type="even" r:id="rId16"/>
          <w:footerReference w:type="default" r:id="rId17"/>
          <w:pgSz w:w="11910" w:h="16840"/>
          <w:pgMar w:top="1640" w:right="720" w:bottom="1340" w:left="1000" w:header="1448" w:footer="1140"/>
          <w:pgNumType w:start="1"/>
          <w:cols w:space="708"/>
        </w:sectPr>
      </w:pPr>
    </w:p>
    <w:p>
      <w:pPr>
        <w:pStyle w:val="BodyText"/>
        <w:spacing w:before="1"/>
        <w:rPr>
          <w:sz w:val="17"/>
        </w:rPr>
      </w:pPr>
    </w:p>
    <w:p>
      <w:pPr>
        <w:pStyle w:val="ListParagraph"/>
        <w:numPr>
          <w:ilvl w:val="1"/>
          <w:numId w:val="7"/>
        </w:numPr>
        <w:tabs>
          <w:tab w:val="left" w:pos="452"/>
        </w:tabs>
        <w:spacing w:before="72" w:after="0" w:line="240" w:lineRule="auto"/>
        <w:ind w:left="451" w:right="0" w:hanging="319"/>
        <w:jc w:val="left"/>
        <w:rPr>
          <w:rFonts w:ascii="黑体"/>
          <w:sz w:val="21"/>
        </w:rPr>
      </w:pPr>
      <w:r>
        <w:rPr>
          <w:rFonts w:ascii="黑体"/>
          <w:sz w:val="21"/>
        </w:rPr>
        <w:t>3.4</w:t>
      </w:r>
    </w:p>
    <w:p>
      <w:pPr>
        <w:pStyle w:val="BodyText"/>
        <w:spacing w:before="43"/>
        <w:ind w:left="553"/>
        <w:rPr>
          <w:rFonts w:ascii="黑体" w:eastAsia="黑体" w:hint="eastAsia"/>
        </w:rPr>
      </w:pPr>
      <w:r>
        <w:rPr>
          <w:rFonts w:ascii="黑体" w:eastAsia="黑体" w:hint="eastAsia"/>
        </w:rPr>
        <w:t>运行维护单位</w:t>
      </w:r>
    </w:p>
    <w:p>
      <w:pPr>
        <w:pStyle w:val="BodyText"/>
        <w:spacing w:before="43"/>
        <w:ind w:left="553"/>
      </w:pPr>
      <w:r>
        <w:t>对固定污染源废气非甲烷总烃排放连续监测系统开展运行维护的组织，包括自行开展运行维护的</w:t>
      </w:r>
    </w:p>
    <w:p>
      <w:pPr>
        <w:pStyle w:val="BodyText"/>
        <w:spacing w:before="43"/>
        <w:ind w:left="133"/>
      </w:pPr>
      <w:r>
        <w:t>排污单位和排污单位委托的第三方运行维护单位。</w:t>
      </w:r>
    </w:p>
    <w:p>
      <w:pPr>
        <w:pStyle w:val="ListParagraph"/>
        <w:numPr>
          <w:ilvl w:val="1"/>
          <w:numId w:val="7"/>
        </w:numPr>
        <w:tabs>
          <w:tab w:val="left" w:pos="452"/>
        </w:tabs>
        <w:spacing w:before="43" w:after="0" w:line="240" w:lineRule="auto"/>
        <w:ind w:left="451" w:right="0" w:hanging="319"/>
        <w:jc w:val="left"/>
        <w:rPr>
          <w:rFonts w:ascii="黑体"/>
          <w:sz w:val="21"/>
        </w:rPr>
      </w:pPr>
      <w:r>
        <w:rPr>
          <w:rFonts w:ascii="黑体"/>
          <w:sz w:val="21"/>
        </w:rPr>
        <w:t>3.5</w:t>
      </w:r>
    </w:p>
    <w:p>
      <w:pPr>
        <w:pStyle w:val="BodyText"/>
        <w:spacing w:before="43"/>
        <w:ind w:left="553"/>
        <w:rPr>
          <w:rFonts w:ascii="黑体" w:eastAsia="黑体" w:hint="eastAsia"/>
        </w:rPr>
      </w:pPr>
      <w:r>
        <w:rPr>
          <w:rFonts w:ascii="黑体" w:eastAsia="黑体" w:hint="eastAsia"/>
        </w:rPr>
        <w:t>参比方法</w:t>
      </w:r>
    </w:p>
    <w:p>
      <w:pPr>
        <w:pStyle w:val="BodyText"/>
        <w:spacing w:before="43"/>
        <w:ind w:left="553"/>
      </w:pPr>
      <w:r>
        <w:t xml:space="preserve">用于与 </w:t>
      </w:r>
      <w:r>
        <w:rPr>
          <w:rFonts w:ascii="Times New Roman" w:eastAsia="Times New Roman"/>
        </w:rPr>
        <w:t xml:space="preserve">NMHC-CEMS </w:t>
      </w:r>
      <w:r>
        <w:t>测量结果相比较的国家标准方法或行业标准方法。</w:t>
      </w:r>
    </w:p>
    <w:p>
      <w:pPr>
        <w:pStyle w:val="ListParagraph"/>
        <w:numPr>
          <w:ilvl w:val="1"/>
          <w:numId w:val="7"/>
        </w:numPr>
        <w:tabs>
          <w:tab w:val="left" w:pos="452"/>
        </w:tabs>
        <w:spacing w:before="43" w:after="0" w:line="240" w:lineRule="auto"/>
        <w:ind w:left="451" w:right="0" w:hanging="319"/>
        <w:jc w:val="left"/>
        <w:rPr>
          <w:rFonts w:ascii="黑体"/>
          <w:sz w:val="21"/>
        </w:rPr>
      </w:pPr>
      <w:r>
        <w:rPr>
          <w:rFonts w:ascii="黑体"/>
          <w:sz w:val="21"/>
        </w:rPr>
        <w:t>3.6</w:t>
      </w:r>
    </w:p>
    <w:p>
      <w:pPr>
        <w:pStyle w:val="BodyText"/>
        <w:spacing w:before="42"/>
        <w:ind w:left="553"/>
        <w:rPr>
          <w:rFonts w:ascii="黑体" w:eastAsia="黑体" w:hint="eastAsia"/>
        </w:rPr>
      </w:pPr>
      <w:r>
        <w:rPr>
          <w:rFonts w:ascii="黑体" w:eastAsia="黑体" w:hint="eastAsia"/>
        </w:rPr>
        <w:t>校准</w:t>
      </w:r>
    </w:p>
    <w:p>
      <w:pPr>
        <w:pStyle w:val="BodyText"/>
        <w:spacing w:before="43"/>
        <w:ind w:left="553"/>
      </w:pPr>
      <w:r>
        <w:t>用标准装置或标准物质对</w:t>
      </w:r>
      <w:r>
        <w:rPr>
          <w:rFonts w:ascii="Times New Roman" w:eastAsia="Times New Roman"/>
        </w:rPr>
        <w:t xml:space="preserve">NMHC-CEMS </w:t>
      </w:r>
      <w:r>
        <w:t>进行校零、校跨、示值误差和系统响应时间等的检测。</w:t>
      </w:r>
    </w:p>
    <w:p>
      <w:pPr>
        <w:pStyle w:val="ListParagraph"/>
        <w:numPr>
          <w:ilvl w:val="1"/>
          <w:numId w:val="7"/>
        </w:numPr>
        <w:tabs>
          <w:tab w:val="left" w:pos="452"/>
        </w:tabs>
        <w:spacing w:before="44" w:after="0" w:line="240" w:lineRule="auto"/>
        <w:ind w:left="451" w:right="0" w:hanging="319"/>
        <w:jc w:val="left"/>
        <w:rPr>
          <w:rFonts w:ascii="黑体"/>
          <w:sz w:val="21"/>
        </w:rPr>
      </w:pPr>
      <w:r>
        <w:rPr>
          <w:rFonts w:ascii="黑体"/>
          <w:sz w:val="21"/>
        </w:rPr>
        <w:t>3.7</w:t>
      </w:r>
    </w:p>
    <w:p>
      <w:pPr>
        <w:pStyle w:val="BodyText"/>
        <w:spacing w:before="43"/>
        <w:ind w:left="553"/>
        <w:rPr>
          <w:rFonts w:ascii="黑体" w:eastAsia="黑体" w:hint="eastAsia"/>
        </w:rPr>
      </w:pPr>
      <w:r>
        <w:rPr>
          <w:rFonts w:ascii="黑体" w:eastAsia="黑体" w:hint="eastAsia"/>
        </w:rPr>
        <w:t>正确度核查</w:t>
      </w:r>
    </w:p>
    <w:p>
      <w:pPr>
        <w:pStyle w:val="BodyText"/>
        <w:spacing w:before="43"/>
        <w:ind w:left="553"/>
      </w:pPr>
      <w:r>
        <w:t>按照规定程序验证设备功能或计量特性能否满足方法要求或规定要求而进行的操作。</w:t>
      </w:r>
    </w:p>
    <w:p>
      <w:pPr>
        <w:pStyle w:val="ListParagraph"/>
        <w:numPr>
          <w:ilvl w:val="1"/>
          <w:numId w:val="7"/>
        </w:numPr>
        <w:tabs>
          <w:tab w:val="left" w:pos="452"/>
        </w:tabs>
        <w:spacing w:before="43" w:after="0" w:line="240" w:lineRule="auto"/>
        <w:ind w:left="451" w:right="0" w:hanging="319"/>
        <w:jc w:val="left"/>
        <w:rPr>
          <w:rFonts w:ascii="黑体"/>
          <w:sz w:val="21"/>
        </w:rPr>
      </w:pPr>
      <w:r>
        <w:rPr>
          <w:rFonts w:ascii="黑体"/>
          <w:sz w:val="21"/>
        </w:rPr>
        <w:t>3.8</w:t>
      </w:r>
    </w:p>
    <w:p>
      <w:pPr>
        <w:pStyle w:val="BodyText"/>
        <w:spacing w:before="43"/>
        <w:ind w:left="553"/>
        <w:rPr>
          <w:rFonts w:ascii="黑体" w:eastAsia="黑体" w:hint="eastAsia"/>
        </w:rPr>
      </w:pPr>
      <w:r>
        <w:rPr>
          <w:rFonts w:ascii="黑体" w:eastAsia="黑体" w:hint="eastAsia"/>
        </w:rPr>
        <w:t>期间核查</w:t>
      </w:r>
    </w:p>
    <w:p>
      <w:pPr>
        <w:pStyle w:val="BodyText"/>
        <w:spacing w:before="43"/>
        <w:ind w:left="553"/>
      </w:pPr>
      <w:r>
        <w:t>根据规定程序，为了确定计量标准、标准物质或其他测量仪器是否保持其原有状态而进行的操作。</w:t>
      </w:r>
    </w:p>
    <w:p>
      <w:pPr>
        <w:pStyle w:val="ListParagraph"/>
        <w:numPr>
          <w:ilvl w:val="1"/>
          <w:numId w:val="7"/>
        </w:numPr>
        <w:tabs>
          <w:tab w:val="left" w:pos="452"/>
        </w:tabs>
        <w:spacing w:before="43" w:after="0" w:line="240" w:lineRule="auto"/>
        <w:ind w:left="451" w:right="0" w:hanging="319"/>
        <w:jc w:val="left"/>
        <w:rPr>
          <w:rFonts w:ascii="黑体"/>
          <w:sz w:val="21"/>
        </w:rPr>
      </w:pPr>
      <w:r>
        <w:rPr>
          <w:rFonts w:ascii="黑体"/>
          <w:sz w:val="21"/>
        </w:rPr>
        <w:t>3.9</w:t>
      </w:r>
    </w:p>
    <w:p>
      <w:pPr>
        <w:pStyle w:val="BodyText"/>
        <w:spacing w:before="43"/>
        <w:ind w:left="553"/>
        <w:rPr>
          <w:rFonts w:ascii="黑体" w:eastAsia="黑体" w:hint="eastAsia"/>
        </w:rPr>
      </w:pPr>
      <w:r>
        <w:rPr>
          <w:rFonts w:ascii="黑体" w:eastAsia="黑体" w:hint="eastAsia"/>
        </w:rPr>
        <w:t>比对监测</w:t>
      </w:r>
    </w:p>
    <w:p>
      <w:pPr>
        <w:pStyle w:val="BodyText"/>
        <w:spacing w:before="42"/>
        <w:ind w:left="553"/>
      </w:pPr>
      <w:r>
        <w:t>用参比方法对正常运行的</w:t>
      </w:r>
      <w:r>
        <w:rPr>
          <w:rFonts w:ascii="Times New Roman" w:eastAsia="Times New Roman"/>
        </w:rPr>
        <w:t xml:space="preserve">NMHC-CEMS </w:t>
      </w:r>
      <w:r>
        <w:t>的正确度进行抽检。</w:t>
      </w:r>
    </w:p>
    <w:p>
      <w:pPr>
        <w:pStyle w:val="ListParagraph"/>
        <w:numPr>
          <w:ilvl w:val="1"/>
          <w:numId w:val="7"/>
        </w:numPr>
        <w:tabs>
          <w:tab w:val="left" w:pos="557"/>
        </w:tabs>
        <w:spacing w:before="43" w:after="0" w:line="240" w:lineRule="auto"/>
        <w:ind w:left="556" w:right="0" w:hanging="424"/>
        <w:jc w:val="left"/>
        <w:rPr>
          <w:rFonts w:ascii="黑体"/>
          <w:sz w:val="21"/>
        </w:rPr>
      </w:pPr>
      <w:r>
        <w:rPr>
          <w:rFonts w:ascii="黑体"/>
          <w:sz w:val="21"/>
        </w:rPr>
        <w:t>3.10</w:t>
      </w:r>
    </w:p>
    <w:p>
      <w:pPr>
        <w:pStyle w:val="BodyText"/>
        <w:spacing w:before="43"/>
        <w:ind w:left="553"/>
        <w:rPr>
          <w:rFonts w:ascii="黑体" w:eastAsia="黑体" w:hint="eastAsia"/>
        </w:rPr>
      </w:pPr>
      <w:r>
        <w:rPr>
          <w:rFonts w:ascii="黑体" w:eastAsia="黑体" w:hint="eastAsia"/>
          <w:spacing w:val="-2"/>
        </w:rPr>
        <w:t>系统响应时间</w:t>
      </w:r>
    </w:p>
    <w:p>
      <w:pPr>
        <w:pStyle w:val="BodyText"/>
        <w:spacing w:before="44"/>
        <w:ind w:left="553"/>
      </w:pPr>
      <w:r>
        <w:t xml:space="preserve">从监测站房的校准管线通入标准气起，到分析仪示值达到标准气标称值的 </w:t>
      </w:r>
      <w:r>
        <w:rPr>
          <w:rFonts w:ascii="Times New Roman" w:eastAsia="Times New Roman"/>
        </w:rPr>
        <w:t>90%</w:t>
      </w:r>
      <w:r>
        <w:t>止，所用的时间。</w:t>
      </w:r>
    </w:p>
    <w:p>
      <w:pPr>
        <w:pStyle w:val="ListParagraph"/>
        <w:numPr>
          <w:ilvl w:val="1"/>
          <w:numId w:val="7"/>
        </w:numPr>
        <w:tabs>
          <w:tab w:val="left" w:pos="557"/>
        </w:tabs>
        <w:spacing w:before="43" w:after="0" w:line="240" w:lineRule="auto"/>
        <w:ind w:left="556" w:right="0" w:hanging="424"/>
        <w:jc w:val="left"/>
        <w:rPr>
          <w:rFonts w:ascii="黑体"/>
          <w:sz w:val="21"/>
        </w:rPr>
      </w:pPr>
      <w:r>
        <w:rPr>
          <w:rFonts w:ascii="黑体"/>
          <w:sz w:val="21"/>
        </w:rPr>
        <w:t>3.11</w:t>
      </w:r>
    </w:p>
    <w:p>
      <w:pPr>
        <w:pStyle w:val="BodyText"/>
        <w:spacing w:before="43"/>
        <w:ind w:left="553"/>
        <w:rPr>
          <w:rFonts w:ascii="黑体" w:eastAsia="黑体" w:hint="eastAsia"/>
        </w:rPr>
      </w:pPr>
      <w:r>
        <w:rPr>
          <w:rFonts w:ascii="黑体" w:eastAsia="黑体" w:hint="eastAsia"/>
        </w:rPr>
        <w:t>作业指导书</w:t>
      </w:r>
    </w:p>
    <w:p>
      <w:pPr>
        <w:pStyle w:val="BodyText"/>
        <w:spacing w:before="42"/>
        <w:ind w:left="553"/>
      </w:pPr>
      <w:r>
        <w:t>为完成</w:t>
      </w:r>
      <w:r>
        <w:rPr>
          <w:rFonts w:ascii="Times New Roman" w:eastAsia="Times New Roman"/>
        </w:rPr>
        <w:t xml:space="preserve">NMHC-CEMS </w:t>
      </w:r>
      <w:r>
        <w:t>运行维护而专门编写的指导性文件，用于指导运行维护人员进行标准化工作。</w:t>
      </w:r>
    </w:p>
    <w:p>
      <w:pPr>
        <w:pStyle w:val="BodyText"/>
        <w:spacing w:before="12"/>
        <w:rPr>
          <w:sz w:val="27"/>
        </w:rPr>
      </w:pPr>
    </w:p>
    <w:p>
      <w:pPr>
        <w:pStyle w:val="ListParagraph"/>
        <w:numPr>
          <w:ilvl w:val="0"/>
          <w:numId w:val="7"/>
        </w:numPr>
        <w:tabs>
          <w:tab w:val="left" w:pos="447"/>
          <w:tab w:val="left" w:pos="448"/>
        </w:tabs>
        <w:spacing w:before="0" w:after="0" w:line="240" w:lineRule="auto"/>
        <w:ind w:left="447" w:right="0" w:hanging="315"/>
        <w:jc w:val="left"/>
        <w:rPr>
          <w:rFonts w:ascii="黑体" w:eastAsia="黑体" w:hint="eastAsia"/>
          <w:sz w:val="21"/>
        </w:rPr>
      </w:pPr>
      <w:bookmarkStart w:id="4" w:name="_bookmark4"/>
      <w:bookmarkEnd w:id="4"/>
      <w:r>
        <w:rPr>
          <w:rFonts w:ascii="黑体" w:eastAsia="黑体" w:hint="eastAsia"/>
          <w:spacing w:val="-1"/>
          <w:sz w:val="21"/>
        </w:rPr>
        <w:t>总体要求</w:t>
      </w:r>
    </w:p>
    <w:p>
      <w:pPr>
        <w:pStyle w:val="BodyText"/>
        <w:spacing w:before="6"/>
        <w:rPr>
          <w:rFonts w:ascii="黑体"/>
          <w:sz w:val="27"/>
        </w:rPr>
      </w:pPr>
    </w:p>
    <w:p>
      <w:pPr>
        <w:pStyle w:val="ListParagraph"/>
        <w:numPr>
          <w:ilvl w:val="1"/>
          <w:numId w:val="7"/>
        </w:numPr>
        <w:tabs>
          <w:tab w:val="left" w:pos="658"/>
          <w:tab w:val="left" w:pos="659"/>
        </w:tabs>
        <w:spacing w:before="0" w:after="0" w:line="278" w:lineRule="auto"/>
        <w:ind w:left="133" w:right="691" w:firstLine="0"/>
        <w:jc w:val="left"/>
        <w:rPr>
          <w:sz w:val="21"/>
        </w:rPr>
      </w:pPr>
      <w:r>
        <w:rPr>
          <w:spacing w:val="-5"/>
          <w:sz w:val="21"/>
        </w:rPr>
        <w:t xml:space="preserve">运行维护单位应具备相应的人员、办公场所、实验室等 </w:t>
      </w:r>
      <w:r>
        <w:rPr>
          <w:sz w:val="21"/>
        </w:rPr>
        <w:t>NMHC-CEMS</w:t>
      </w:r>
      <w:r>
        <w:rPr>
          <w:spacing w:val="-7"/>
          <w:sz w:val="21"/>
        </w:rPr>
        <w:t xml:space="preserve"> 运行维护能力，并配备足够的</w:t>
      </w:r>
      <w:r>
        <w:rPr>
          <w:spacing w:val="-5"/>
          <w:sz w:val="21"/>
        </w:rPr>
        <w:t>运行维护车辆、质控仪器，与所运行维护监测点位和区域数量相适应。</w:t>
      </w:r>
    </w:p>
    <w:p>
      <w:pPr>
        <w:pStyle w:val="ListParagraph"/>
        <w:numPr>
          <w:ilvl w:val="1"/>
          <w:numId w:val="7"/>
        </w:numPr>
        <w:tabs>
          <w:tab w:val="left" w:pos="658"/>
          <w:tab w:val="left" w:pos="659"/>
        </w:tabs>
        <w:spacing w:before="0" w:after="0" w:line="278" w:lineRule="auto"/>
        <w:ind w:left="133" w:right="588" w:firstLine="0"/>
        <w:jc w:val="left"/>
        <w:rPr>
          <w:sz w:val="21"/>
        </w:rPr>
      </w:pPr>
      <w:r>
        <w:rPr>
          <w:spacing w:val="-3"/>
          <w:sz w:val="21"/>
        </w:rPr>
        <w:t>运行维护单位应建立独立完整的备品备件库。易损易耗品和常用组件模块应保持库存量大于月使</w:t>
      </w:r>
      <w:r>
        <w:rPr>
          <w:spacing w:val="-12"/>
          <w:sz w:val="21"/>
        </w:rPr>
        <w:t xml:space="preserve">用量的 </w:t>
      </w:r>
      <w:r>
        <w:rPr>
          <w:sz w:val="21"/>
        </w:rPr>
        <w:t>120</w:t>
      </w:r>
      <w:r>
        <w:rPr>
          <w:spacing w:val="-5"/>
          <w:sz w:val="21"/>
        </w:rPr>
        <w:t xml:space="preserve">%；备用监测设备数量应不低于运行维护设备数量的 </w:t>
      </w:r>
      <w:r>
        <w:rPr>
          <w:sz w:val="21"/>
        </w:rPr>
        <w:t>5</w:t>
      </w:r>
      <w:r>
        <w:rPr>
          <w:spacing w:val="-6"/>
          <w:sz w:val="21"/>
        </w:rPr>
        <w:t xml:space="preserve">%；运行维护设备数量低于 </w:t>
      </w:r>
      <w:r>
        <w:rPr>
          <w:sz w:val="21"/>
        </w:rPr>
        <w:t>20</w:t>
      </w:r>
      <w:r>
        <w:rPr>
          <w:spacing w:val="-10"/>
          <w:sz w:val="21"/>
        </w:rPr>
        <w:t xml:space="preserve"> 台套的， </w:t>
      </w:r>
      <w:r>
        <w:rPr>
          <w:spacing w:val="-14"/>
          <w:sz w:val="21"/>
        </w:rPr>
        <w:t xml:space="preserve">应至少配备 </w:t>
      </w:r>
      <w:r>
        <w:rPr>
          <w:sz w:val="21"/>
        </w:rPr>
        <w:t>1</w:t>
      </w:r>
      <w:r>
        <w:rPr>
          <w:spacing w:val="-8"/>
          <w:sz w:val="21"/>
        </w:rPr>
        <w:t xml:space="preserve"> 套备用监测设备。</w:t>
      </w:r>
    </w:p>
    <w:p>
      <w:pPr>
        <w:pStyle w:val="ListParagraph"/>
        <w:numPr>
          <w:ilvl w:val="1"/>
          <w:numId w:val="7"/>
        </w:numPr>
        <w:tabs>
          <w:tab w:val="left" w:pos="658"/>
          <w:tab w:val="left" w:pos="659"/>
        </w:tabs>
        <w:spacing w:before="1" w:after="0" w:line="240" w:lineRule="auto"/>
        <w:ind w:left="658" w:right="0" w:hanging="526"/>
        <w:jc w:val="left"/>
        <w:rPr>
          <w:sz w:val="21"/>
        </w:rPr>
      </w:pPr>
      <w:r>
        <w:rPr>
          <w:spacing w:val="-3"/>
          <w:sz w:val="21"/>
        </w:rPr>
        <w:t>运行维护单位应建立运行维护项目质量管理体系，实施、保持并持续改进质量管理体系。</w:t>
      </w:r>
    </w:p>
    <w:p>
      <w:pPr>
        <w:pStyle w:val="ListParagraph"/>
        <w:numPr>
          <w:ilvl w:val="1"/>
          <w:numId w:val="7"/>
        </w:numPr>
        <w:tabs>
          <w:tab w:val="left" w:pos="659"/>
        </w:tabs>
        <w:spacing w:before="42" w:after="0" w:line="278" w:lineRule="auto"/>
        <w:ind w:left="133" w:right="586" w:firstLine="0"/>
        <w:jc w:val="both"/>
        <w:rPr>
          <w:sz w:val="21"/>
        </w:rPr>
      </w:pPr>
      <w:r>
        <w:rPr>
          <w:spacing w:val="-6"/>
          <w:sz w:val="21"/>
        </w:rPr>
        <w:t xml:space="preserve">运行维护单位应根据 </w:t>
      </w:r>
      <w:r>
        <w:rPr>
          <w:sz w:val="21"/>
        </w:rPr>
        <w:t>NMHC-CEMS</w:t>
      </w:r>
      <w:r>
        <w:rPr>
          <w:spacing w:val="-12"/>
          <w:sz w:val="21"/>
        </w:rPr>
        <w:t xml:space="preserve"> 使用说明书和本文件的要求编制仪器运行管理规程、作业指导书， </w:t>
      </w:r>
      <w:r>
        <w:rPr>
          <w:spacing w:val="-6"/>
          <w:sz w:val="21"/>
        </w:rPr>
        <w:t>设置运行维护管理、备品备件管理、信息化管理、质量监督和现场运行维护等岗位。</w:t>
      </w:r>
    </w:p>
    <w:p>
      <w:pPr>
        <w:pStyle w:val="ListParagraph"/>
        <w:numPr>
          <w:ilvl w:val="1"/>
          <w:numId w:val="7"/>
        </w:numPr>
        <w:tabs>
          <w:tab w:val="left" w:pos="659"/>
        </w:tabs>
        <w:spacing w:before="0" w:after="0" w:line="278" w:lineRule="auto"/>
        <w:ind w:left="133" w:right="691" w:firstLine="0"/>
        <w:jc w:val="both"/>
        <w:rPr>
          <w:sz w:val="21"/>
        </w:rPr>
      </w:pPr>
      <w:r>
        <w:rPr>
          <w:spacing w:val="-3"/>
          <w:sz w:val="21"/>
        </w:rPr>
        <w:t>运行维护单位应将岗位责任、站房管理、日常操作规程、应急处理等制度悬挂于站房内，站房内</w:t>
      </w:r>
      <w:r>
        <w:rPr>
          <w:spacing w:val="-11"/>
          <w:sz w:val="21"/>
        </w:rPr>
        <w:t xml:space="preserve">验收报告、设备说明书等资料齐备，应公开 </w:t>
      </w:r>
      <w:r>
        <w:rPr>
          <w:sz w:val="21"/>
        </w:rPr>
        <w:t>NMHC-CEMS</w:t>
      </w:r>
      <w:r>
        <w:rPr>
          <w:spacing w:val="-10"/>
          <w:sz w:val="21"/>
        </w:rPr>
        <w:t xml:space="preserve"> 参数备案表、现场运行维护人员考核合格证和联</w:t>
      </w:r>
      <w:r>
        <w:rPr>
          <w:spacing w:val="-6"/>
          <w:sz w:val="21"/>
        </w:rPr>
        <w:t>系方式。</w:t>
      </w:r>
    </w:p>
    <w:p>
      <w:pPr>
        <w:pStyle w:val="ListParagraph"/>
        <w:numPr>
          <w:ilvl w:val="1"/>
          <w:numId w:val="7"/>
        </w:numPr>
        <w:tabs>
          <w:tab w:val="left" w:pos="659"/>
        </w:tabs>
        <w:spacing w:before="0" w:after="0" w:line="269" w:lineRule="exact"/>
        <w:ind w:left="658" w:right="0" w:hanging="526"/>
        <w:jc w:val="both"/>
        <w:rPr>
          <w:sz w:val="21"/>
        </w:rPr>
      </w:pPr>
      <w:r>
        <w:rPr>
          <w:spacing w:val="-7"/>
          <w:sz w:val="21"/>
        </w:rPr>
        <w:t xml:space="preserve">运行维护人员应当熟练掌握 </w:t>
      </w:r>
      <w:r>
        <w:rPr>
          <w:sz w:val="21"/>
        </w:rPr>
        <w:t>NMHC-CEMS</w:t>
      </w:r>
      <w:r>
        <w:rPr>
          <w:spacing w:val="-9"/>
          <w:sz w:val="21"/>
        </w:rPr>
        <w:t xml:space="preserve"> 的原理、使用和维护方法。</w:t>
      </w:r>
    </w:p>
    <w:p>
      <w:pPr>
        <w:pStyle w:val="ListParagraph"/>
        <w:numPr>
          <w:ilvl w:val="1"/>
          <w:numId w:val="7"/>
        </w:numPr>
        <w:tabs>
          <w:tab w:val="left" w:pos="659"/>
        </w:tabs>
        <w:spacing w:before="43" w:after="0" w:line="278" w:lineRule="auto"/>
        <w:ind w:left="133" w:right="692" w:firstLine="0"/>
        <w:jc w:val="both"/>
        <w:rPr>
          <w:sz w:val="21"/>
        </w:rPr>
      </w:pPr>
      <w:r>
        <w:rPr>
          <w:spacing w:val="-5"/>
          <w:sz w:val="21"/>
        </w:rPr>
        <w:t xml:space="preserve">运行维护人员按照运行维护规程或作业指导书开展 </w:t>
      </w:r>
      <w:r>
        <w:rPr>
          <w:sz w:val="21"/>
        </w:rPr>
        <w:t>NMHC-CEMS</w:t>
      </w:r>
      <w:r>
        <w:rPr>
          <w:spacing w:val="-7"/>
          <w:sz w:val="21"/>
        </w:rPr>
        <w:t xml:space="preserve"> 的日常运行维护工作并做好记录， 其中未明确运行维护频次的时间间隔不超过 </w:t>
      </w:r>
      <w:r>
        <w:rPr>
          <w:sz w:val="21"/>
        </w:rPr>
        <w:t>7</w:t>
      </w:r>
      <w:r>
        <w:rPr>
          <w:spacing w:val="-14"/>
          <w:sz w:val="21"/>
        </w:rPr>
        <w:t xml:space="preserve"> 天；</w:t>
      </w:r>
      <w:r>
        <w:rPr>
          <w:spacing w:val="-4"/>
          <w:sz w:val="21"/>
        </w:rPr>
        <w:t>NMHC-CEMS</w:t>
      </w:r>
      <w:r>
        <w:rPr>
          <w:spacing w:val="-10"/>
          <w:sz w:val="21"/>
        </w:rPr>
        <w:t xml:space="preserve"> 不能满足技术指标要求而失控的，应缩短</w:t>
      </w:r>
      <w:r>
        <w:rPr>
          <w:spacing w:val="-5"/>
          <w:sz w:val="21"/>
        </w:rPr>
        <w:t>运行维护的间隔时间。</w:t>
      </w:r>
    </w:p>
    <w:p>
      <w:pPr>
        <w:spacing w:after="0" w:line="278" w:lineRule="auto"/>
        <w:jc w:val="both"/>
        <w:rPr>
          <w:sz w:val="21"/>
        </w:rPr>
        <w:sectPr>
          <w:headerReference w:type="even" r:id="rId18"/>
          <w:headerReference w:type="default" r:id="rId19"/>
          <w:footerReference w:type="even" r:id="rId20"/>
          <w:footerReference w:type="default" r:id="rId21"/>
          <w:pgSz w:w="11910" w:h="16840"/>
          <w:pgMar w:top="1640" w:right="720" w:bottom="1340" w:left="1000" w:header="1448" w:footer="1140"/>
          <w:pgNumType w:start="2"/>
          <w:cols w:space="708"/>
        </w:sectPr>
      </w:pPr>
    </w:p>
    <w:p>
      <w:pPr>
        <w:pStyle w:val="BodyText"/>
        <w:spacing w:before="1"/>
        <w:rPr>
          <w:sz w:val="17"/>
        </w:rPr>
      </w:pPr>
    </w:p>
    <w:p>
      <w:pPr>
        <w:pStyle w:val="ListParagraph"/>
        <w:numPr>
          <w:ilvl w:val="1"/>
          <w:numId w:val="7"/>
        </w:numPr>
        <w:tabs>
          <w:tab w:val="left" w:pos="944"/>
          <w:tab w:val="left" w:pos="945"/>
        </w:tabs>
        <w:spacing w:before="72" w:after="0" w:line="240" w:lineRule="auto"/>
        <w:ind w:left="944" w:right="0" w:hanging="527"/>
        <w:jc w:val="left"/>
        <w:rPr>
          <w:sz w:val="21"/>
        </w:rPr>
      </w:pPr>
      <w:r>
        <w:rPr>
          <w:spacing w:val="-3"/>
          <w:sz w:val="21"/>
        </w:rPr>
        <w:t>日常运行维护管理中运行维护人员应遵照安全生产有关要求；定期参加安全和业务培训。</w:t>
      </w:r>
    </w:p>
    <w:p>
      <w:pPr>
        <w:pStyle w:val="BodyText"/>
        <w:spacing w:before="11"/>
        <w:rPr>
          <w:sz w:val="27"/>
        </w:rPr>
      </w:pPr>
    </w:p>
    <w:p>
      <w:pPr>
        <w:pStyle w:val="ListParagraph"/>
        <w:numPr>
          <w:ilvl w:val="0"/>
          <w:numId w:val="7"/>
        </w:numPr>
        <w:tabs>
          <w:tab w:val="left" w:pos="733"/>
          <w:tab w:val="left" w:pos="734"/>
        </w:tabs>
        <w:spacing w:before="0" w:after="0" w:line="240" w:lineRule="auto"/>
        <w:ind w:left="733" w:right="0" w:hanging="316"/>
        <w:jc w:val="left"/>
        <w:rPr>
          <w:rFonts w:ascii="黑体" w:eastAsia="黑体" w:hint="eastAsia"/>
          <w:sz w:val="21"/>
        </w:rPr>
      </w:pPr>
      <w:bookmarkStart w:id="5" w:name="_bookmark5"/>
      <w:bookmarkEnd w:id="5"/>
      <w:r>
        <w:rPr>
          <w:rFonts w:ascii="黑体" w:eastAsia="黑体" w:hint="eastAsia"/>
          <w:spacing w:val="-3"/>
          <w:sz w:val="21"/>
        </w:rPr>
        <w:t>运行维护技术要求</w:t>
      </w:r>
    </w:p>
    <w:p>
      <w:pPr>
        <w:pStyle w:val="BodyText"/>
        <w:spacing w:before="7"/>
        <w:rPr>
          <w:rFonts w:ascii="黑体"/>
          <w:sz w:val="27"/>
        </w:rPr>
      </w:pPr>
    </w:p>
    <w:p>
      <w:pPr>
        <w:pStyle w:val="ListParagraph"/>
        <w:numPr>
          <w:ilvl w:val="1"/>
          <w:numId w:val="7"/>
        </w:numPr>
        <w:tabs>
          <w:tab w:val="left" w:pos="944"/>
          <w:tab w:val="left" w:pos="945"/>
        </w:tabs>
        <w:spacing w:before="0" w:after="0" w:line="240" w:lineRule="auto"/>
        <w:ind w:left="944" w:right="0" w:hanging="527"/>
        <w:jc w:val="left"/>
        <w:rPr>
          <w:rFonts w:ascii="黑体" w:eastAsia="黑体" w:hint="eastAsia"/>
          <w:sz w:val="21"/>
        </w:rPr>
      </w:pPr>
      <w:r>
        <w:rPr>
          <w:rFonts w:ascii="黑体" w:eastAsia="黑体" w:hint="eastAsia"/>
          <w:spacing w:val="-2"/>
          <w:sz w:val="21"/>
        </w:rPr>
        <w:t>日常巡检要求</w:t>
      </w:r>
    </w:p>
    <w:p>
      <w:pPr>
        <w:pStyle w:val="BodyText"/>
        <w:spacing w:before="7"/>
        <w:rPr>
          <w:rFonts w:ascii="黑体"/>
          <w:sz w:val="15"/>
        </w:rPr>
      </w:pPr>
    </w:p>
    <w:p>
      <w:pPr>
        <w:pStyle w:val="ListParagraph"/>
        <w:numPr>
          <w:ilvl w:val="2"/>
          <w:numId w:val="7"/>
        </w:numPr>
        <w:tabs>
          <w:tab w:val="left" w:pos="1153"/>
          <w:tab w:val="left" w:pos="1154"/>
        </w:tabs>
        <w:spacing w:before="0" w:after="0" w:line="240" w:lineRule="auto"/>
        <w:ind w:left="1153" w:right="0" w:hanging="736"/>
        <w:jc w:val="left"/>
        <w:rPr>
          <w:rFonts w:ascii="黑体" w:eastAsia="黑体" w:hint="eastAsia"/>
          <w:sz w:val="21"/>
        </w:rPr>
      </w:pPr>
      <w:r>
        <w:rPr>
          <w:rFonts w:ascii="黑体" w:eastAsia="黑体" w:hint="eastAsia"/>
          <w:spacing w:val="-1"/>
          <w:sz w:val="21"/>
        </w:rPr>
        <w:t>基本要求</w:t>
      </w:r>
    </w:p>
    <w:p>
      <w:pPr>
        <w:pStyle w:val="BodyText"/>
        <w:spacing w:before="6"/>
        <w:rPr>
          <w:rFonts w:ascii="黑体"/>
          <w:sz w:val="15"/>
        </w:rPr>
      </w:pPr>
    </w:p>
    <w:p>
      <w:pPr>
        <w:pStyle w:val="ListParagraph"/>
        <w:numPr>
          <w:ilvl w:val="3"/>
          <w:numId w:val="7"/>
        </w:numPr>
        <w:tabs>
          <w:tab w:val="left" w:pos="1364"/>
          <w:tab w:val="left" w:pos="1365"/>
        </w:tabs>
        <w:spacing w:before="0" w:after="0" w:line="278" w:lineRule="auto"/>
        <w:ind w:left="418" w:right="406" w:firstLine="0"/>
        <w:jc w:val="left"/>
        <w:rPr>
          <w:rFonts w:ascii="黑体" w:eastAsia="黑体" w:hint="eastAsia"/>
          <w:sz w:val="21"/>
        </w:rPr>
      </w:pPr>
      <w:r>
        <w:rPr>
          <w:spacing w:val="-3"/>
          <w:sz w:val="21"/>
        </w:rPr>
        <w:t>运行维护单位应根据本文件和仪器使用说明书中的相关要求制订巡检规程，按照规程开展日常巡检工作。</w:t>
      </w:r>
    </w:p>
    <w:p>
      <w:pPr>
        <w:pStyle w:val="ListParagraph"/>
        <w:numPr>
          <w:ilvl w:val="3"/>
          <w:numId w:val="7"/>
        </w:numPr>
        <w:tabs>
          <w:tab w:val="left" w:pos="1364"/>
          <w:tab w:val="left" w:pos="1365"/>
        </w:tabs>
        <w:spacing w:before="0" w:after="0" w:line="278" w:lineRule="auto"/>
        <w:ind w:left="418" w:right="406" w:firstLine="0"/>
        <w:jc w:val="left"/>
        <w:rPr>
          <w:rFonts w:ascii="黑体" w:eastAsia="黑体" w:hint="eastAsia"/>
          <w:sz w:val="21"/>
        </w:rPr>
      </w:pPr>
      <w:r>
        <w:drawing>
          <wp:anchor distT="0" distB="0" distL="0" distR="0" simplePos="0" relativeHeight="251664384" behindDoc="0" locked="0" layoutInCell="1" allowOverlap="1">
            <wp:simplePos x="0" y="0"/>
            <wp:positionH relativeFrom="page">
              <wp:posOffset>1512112</wp:posOffset>
            </wp:positionH>
            <wp:positionV relativeFrom="paragraph">
              <wp:posOffset>56456</wp:posOffset>
            </wp:positionV>
            <wp:extent cx="4536320" cy="453632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rPr>
          <w:spacing w:val="-6"/>
          <w:sz w:val="21"/>
        </w:rPr>
        <w:t xml:space="preserve">巡检时间间隔不超过 </w:t>
      </w:r>
      <w:r>
        <w:rPr>
          <w:sz w:val="21"/>
        </w:rPr>
        <w:t>7</w:t>
      </w:r>
      <w:r>
        <w:rPr>
          <w:spacing w:val="-7"/>
          <w:sz w:val="21"/>
        </w:rPr>
        <w:t xml:space="preserve"> 天。每次巡检应记录并归档，巡检记录应包括检查项目、检查日期、</w:t>
      </w:r>
      <w:r>
        <w:rPr>
          <w:spacing w:val="-8"/>
          <w:sz w:val="21"/>
        </w:rPr>
        <w:t xml:space="preserve">被检项目的运行状态等内容，保存 </w:t>
      </w:r>
      <w:r>
        <w:rPr>
          <w:sz w:val="21"/>
        </w:rPr>
        <w:t>3</w:t>
      </w:r>
      <w:r>
        <w:rPr>
          <w:spacing w:val="-11"/>
          <w:sz w:val="21"/>
        </w:rPr>
        <w:t xml:space="preserve"> 年以上。日常巡检可参照附录 </w:t>
      </w:r>
      <w:r>
        <w:rPr>
          <w:sz w:val="21"/>
        </w:rPr>
        <w:t>A</w:t>
      </w:r>
      <w:r>
        <w:rPr>
          <w:spacing w:val="-23"/>
          <w:sz w:val="21"/>
        </w:rPr>
        <w:t xml:space="preserve"> 中的表 </w:t>
      </w:r>
      <w:r>
        <w:rPr>
          <w:sz w:val="21"/>
        </w:rPr>
        <w:t>A.1</w:t>
      </w:r>
      <w:r>
        <w:rPr>
          <w:spacing w:val="-9"/>
          <w:sz w:val="21"/>
        </w:rPr>
        <w:t xml:space="preserve"> 表格形式记录。</w:t>
      </w:r>
    </w:p>
    <w:p>
      <w:pPr>
        <w:pStyle w:val="ListParagraph"/>
        <w:numPr>
          <w:ilvl w:val="2"/>
          <w:numId w:val="7"/>
        </w:numPr>
        <w:tabs>
          <w:tab w:val="left" w:pos="1153"/>
          <w:tab w:val="left" w:pos="1154"/>
        </w:tabs>
        <w:spacing w:before="157" w:after="0" w:line="240" w:lineRule="auto"/>
        <w:ind w:left="1153" w:right="0" w:hanging="736"/>
        <w:jc w:val="left"/>
        <w:rPr>
          <w:rFonts w:ascii="黑体" w:eastAsia="黑体" w:hint="eastAsia"/>
          <w:sz w:val="21"/>
        </w:rPr>
      </w:pPr>
      <w:r>
        <w:rPr>
          <w:rFonts w:ascii="黑体" w:eastAsia="黑体" w:hint="eastAsia"/>
          <w:spacing w:val="-1"/>
          <w:sz w:val="21"/>
        </w:rPr>
        <w:t>巡检内容</w:t>
      </w:r>
    </w:p>
    <w:p>
      <w:pPr>
        <w:pStyle w:val="BodyText"/>
        <w:spacing w:before="6"/>
        <w:rPr>
          <w:rFonts w:ascii="黑体"/>
          <w:sz w:val="15"/>
        </w:rPr>
      </w:pPr>
    </w:p>
    <w:p>
      <w:pPr>
        <w:pStyle w:val="BodyText"/>
        <w:ind w:left="838"/>
      </w:pPr>
      <w:r>
        <w:t>巡检主要内容包括：</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采样探头、加热保温装置、滤芯、电磁阀、采样泵应保持正常运行；</w:t>
      </w:r>
    </w:p>
    <w:p>
      <w:pPr>
        <w:pStyle w:val="ListParagraph"/>
        <w:numPr>
          <w:ilvl w:val="0"/>
          <w:numId w:val="6"/>
        </w:numPr>
        <w:tabs>
          <w:tab w:val="left" w:pos="1270"/>
          <w:tab w:val="left" w:pos="1271"/>
        </w:tabs>
        <w:spacing w:before="43" w:after="0" w:line="278" w:lineRule="auto"/>
        <w:ind w:left="418" w:right="505" w:firstLine="424"/>
        <w:jc w:val="left"/>
        <w:rPr>
          <w:sz w:val="21"/>
        </w:rPr>
      </w:pPr>
      <w:r>
        <w:rPr>
          <w:spacing w:val="-3"/>
          <w:sz w:val="21"/>
        </w:rPr>
        <w:t>采样探头和管路无积灰；流速探头和温度仪探头无积灰、无腐蚀情况；反吹气源压力和管路情况无异常；</w:t>
      </w:r>
    </w:p>
    <w:p>
      <w:pPr>
        <w:pStyle w:val="ListParagraph"/>
        <w:numPr>
          <w:ilvl w:val="0"/>
          <w:numId w:val="6"/>
        </w:numPr>
        <w:tabs>
          <w:tab w:val="left" w:pos="1270"/>
          <w:tab w:val="left" w:pos="1271"/>
        </w:tabs>
        <w:spacing w:before="0" w:after="0" w:line="269" w:lineRule="exact"/>
        <w:ind w:left="1270" w:right="0" w:hanging="428"/>
        <w:jc w:val="left"/>
        <w:rPr>
          <w:sz w:val="21"/>
        </w:rPr>
      </w:pPr>
      <w:r>
        <w:rPr>
          <w:spacing w:val="-3"/>
          <w:sz w:val="21"/>
        </w:rPr>
        <w:t>避雷设施应保持正常运行，站房无漏雨现象；</w:t>
      </w:r>
    </w:p>
    <w:p>
      <w:pPr>
        <w:pStyle w:val="ListParagraph"/>
        <w:numPr>
          <w:ilvl w:val="0"/>
          <w:numId w:val="6"/>
        </w:numPr>
        <w:tabs>
          <w:tab w:val="left" w:pos="1270"/>
          <w:tab w:val="left" w:pos="1271"/>
        </w:tabs>
        <w:spacing w:before="43" w:after="0" w:line="278" w:lineRule="auto"/>
        <w:ind w:left="418" w:right="504" w:firstLine="424"/>
        <w:jc w:val="left"/>
        <w:rPr>
          <w:sz w:val="21"/>
        </w:rPr>
      </w:pPr>
      <w:r>
        <w:rPr>
          <w:spacing w:val="-3"/>
          <w:sz w:val="21"/>
        </w:rPr>
        <w:t>站房门窗的密封状况良好；智能门禁系统应保持正常运行；安装视频监控设备的，还要对视频监控设备进行检查维护；</w:t>
      </w:r>
    </w:p>
    <w:p>
      <w:pPr>
        <w:pStyle w:val="ListParagraph"/>
        <w:numPr>
          <w:ilvl w:val="0"/>
          <w:numId w:val="6"/>
        </w:numPr>
        <w:tabs>
          <w:tab w:val="left" w:pos="1270"/>
          <w:tab w:val="left" w:pos="1271"/>
        </w:tabs>
        <w:spacing w:before="0" w:after="0" w:line="269" w:lineRule="exact"/>
        <w:ind w:left="1270" w:right="0" w:hanging="428"/>
        <w:jc w:val="left"/>
        <w:rPr>
          <w:sz w:val="21"/>
        </w:rPr>
      </w:pPr>
      <w:r>
        <w:rPr>
          <w:spacing w:val="-3"/>
          <w:sz w:val="21"/>
        </w:rPr>
        <w:t>各种消防、安全设施应完好齐全；</w:t>
      </w:r>
    </w:p>
    <w:p>
      <w:pPr>
        <w:pStyle w:val="ListParagraph"/>
        <w:numPr>
          <w:ilvl w:val="0"/>
          <w:numId w:val="6"/>
        </w:numPr>
        <w:tabs>
          <w:tab w:val="left" w:pos="1270"/>
          <w:tab w:val="left" w:pos="1271"/>
        </w:tabs>
        <w:spacing w:before="44" w:after="0" w:line="240" w:lineRule="auto"/>
        <w:ind w:left="1270" w:right="0" w:hanging="428"/>
        <w:jc w:val="left"/>
        <w:rPr>
          <w:sz w:val="21"/>
        </w:rPr>
      </w:pPr>
      <w:r>
        <w:rPr>
          <w:spacing w:val="-3"/>
          <w:sz w:val="21"/>
        </w:rPr>
        <w:t>各种运维工具、仪器耗材应完好齐全；</w:t>
      </w:r>
    </w:p>
    <w:p>
      <w:pPr>
        <w:pStyle w:val="ListParagraph"/>
        <w:numPr>
          <w:ilvl w:val="0"/>
          <w:numId w:val="6"/>
        </w:numPr>
        <w:tabs>
          <w:tab w:val="left" w:pos="1270"/>
          <w:tab w:val="left" w:pos="1271"/>
        </w:tabs>
        <w:spacing w:before="42" w:after="0" w:line="240" w:lineRule="auto"/>
        <w:ind w:left="1270" w:right="0" w:hanging="428"/>
        <w:jc w:val="left"/>
        <w:rPr>
          <w:sz w:val="21"/>
        </w:rPr>
      </w:pPr>
      <w:r>
        <w:rPr>
          <w:spacing w:val="-3"/>
          <w:sz w:val="21"/>
        </w:rPr>
        <w:t>站房内供电系统</w:t>
      </w:r>
      <w:r>
        <w:rPr>
          <w:sz w:val="21"/>
        </w:rPr>
        <w:t>（</w:t>
      </w:r>
      <w:r>
        <w:rPr>
          <w:spacing w:val="-3"/>
          <w:sz w:val="21"/>
        </w:rPr>
        <w:t>稳压电源、不间断电源等）应保持正常运行；</w:t>
      </w:r>
    </w:p>
    <w:p>
      <w:pPr>
        <w:pStyle w:val="ListParagraph"/>
        <w:numPr>
          <w:ilvl w:val="0"/>
          <w:numId w:val="6"/>
        </w:numPr>
        <w:tabs>
          <w:tab w:val="left" w:pos="1270"/>
          <w:tab w:val="left" w:pos="1271"/>
        </w:tabs>
        <w:spacing w:before="43" w:after="0" w:line="278" w:lineRule="auto"/>
        <w:ind w:left="418" w:right="453" w:firstLine="424"/>
        <w:jc w:val="left"/>
        <w:rPr>
          <w:sz w:val="21"/>
        </w:rPr>
      </w:pPr>
      <w:r>
        <w:rPr>
          <w:spacing w:val="-4"/>
          <w:sz w:val="21"/>
        </w:rPr>
        <w:t xml:space="preserve">站房电源、空调、排风扇等辅助设备应保持正常运行，室内温度应保持在 </w:t>
      </w:r>
      <w:r>
        <w:rPr>
          <w:rFonts w:ascii="Times New Roman" w:eastAsia="Times New Roman" w:hAnsi="Times New Roman"/>
          <w:sz w:val="21"/>
        </w:rPr>
        <w:t>15</w:t>
      </w:r>
      <w:r>
        <w:rPr>
          <w:sz w:val="21"/>
        </w:rPr>
        <w:t>℃～</w:t>
      </w:r>
      <w:r>
        <w:rPr>
          <w:rFonts w:ascii="Times New Roman" w:eastAsia="Times New Roman" w:hAnsi="Times New Roman"/>
          <w:sz w:val="21"/>
        </w:rPr>
        <w:t>30</w:t>
      </w:r>
      <w:r>
        <w:rPr>
          <w:sz w:val="21"/>
        </w:rPr>
        <w:t>℃，相对</w:t>
      </w:r>
      <w:r>
        <w:rPr>
          <w:spacing w:val="-2"/>
          <w:sz w:val="21"/>
        </w:rPr>
        <w:t>湿度保持在≤</w:t>
      </w:r>
      <w:r>
        <w:rPr>
          <w:rFonts w:ascii="Times New Roman" w:eastAsia="Times New Roman" w:hAnsi="Times New Roman"/>
          <w:sz w:val="21"/>
        </w:rPr>
        <w:t>5%</w:t>
      </w:r>
      <w:r>
        <w:rPr>
          <w:spacing w:val="-3"/>
          <w:sz w:val="21"/>
        </w:rPr>
        <w:t>；空调的过滤网应保持清洁，必要时进行清洗；</w:t>
      </w:r>
    </w:p>
    <w:p>
      <w:pPr>
        <w:pStyle w:val="ListParagraph"/>
        <w:numPr>
          <w:ilvl w:val="0"/>
          <w:numId w:val="6"/>
        </w:numPr>
        <w:tabs>
          <w:tab w:val="left" w:pos="1270"/>
          <w:tab w:val="left" w:pos="1271"/>
        </w:tabs>
        <w:spacing w:before="0" w:after="0" w:line="269" w:lineRule="exact"/>
        <w:ind w:left="1270" w:right="0" w:hanging="428"/>
        <w:jc w:val="left"/>
        <w:rPr>
          <w:sz w:val="21"/>
        </w:rPr>
      </w:pPr>
      <w:r>
        <w:rPr>
          <w:spacing w:val="-3"/>
          <w:sz w:val="21"/>
        </w:rPr>
        <w:t>站房内各类设备布线应排列整洁，室内保持清洁；</w:t>
      </w:r>
    </w:p>
    <w:p>
      <w:pPr>
        <w:pStyle w:val="ListParagraph"/>
        <w:numPr>
          <w:ilvl w:val="0"/>
          <w:numId w:val="6"/>
        </w:numPr>
        <w:tabs>
          <w:tab w:val="left" w:pos="1270"/>
          <w:tab w:val="left" w:pos="1271"/>
        </w:tabs>
        <w:spacing w:before="43" w:after="0" w:line="240" w:lineRule="auto"/>
        <w:ind w:left="1270" w:right="0" w:hanging="428"/>
        <w:jc w:val="left"/>
        <w:rPr>
          <w:sz w:val="21"/>
        </w:rPr>
      </w:pPr>
      <w:r>
        <w:rPr>
          <w:rFonts w:ascii="Times New Roman" w:eastAsia="Times New Roman"/>
          <w:sz w:val="21"/>
        </w:rPr>
        <w:t>NMHC-CEMS</w:t>
      </w:r>
      <w:r>
        <w:rPr>
          <w:rFonts w:ascii="Times New Roman" w:eastAsia="Times New Roman"/>
          <w:spacing w:val="-2"/>
          <w:sz w:val="21"/>
        </w:rPr>
        <w:t xml:space="preserve"> </w:t>
      </w:r>
      <w:r>
        <w:rPr>
          <w:spacing w:val="-3"/>
          <w:sz w:val="21"/>
        </w:rPr>
        <w:t>排气管路应规范敷设；</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标气应在有效期内且余量充足；标气瓶无漏气且压力满足使用要求；</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采样管路气密性、采样系统流量和采样泵流量应符合要求；</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伴热管和采样探头加热温度应在设定值±</w:t>
      </w:r>
      <w:r>
        <w:rPr>
          <w:rFonts w:ascii="Times New Roman" w:eastAsia="Times New Roman" w:hAnsi="Times New Roman"/>
          <w:sz w:val="21"/>
        </w:rPr>
        <w:t>5</w:t>
      </w:r>
      <w:r>
        <w:rPr>
          <w:spacing w:val="-12"/>
          <w:sz w:val="21"/>
        </w:rPr>
        <w:t xml:space="preserve">℃，保持 </w:t>
      </w:r>
      <w:r>
        <w:rPr>
          <w:rFonts w:ascii="Times New Roman" w:eastAsia="Times New Roman" w:hAnsi="Times New Roman"/>
          <w:sz w:val="21"/>
        </w:rPr>
        <w:t>120</w:t>
      </w:r>
      <w:r>
        <w:rPr>
          <w:spacing w:val="-8"/>
          <w:sz w:val="21"/>
        </w:rPr>
        <w:t xml:space="preserve">℃以上或高于废气温度 </w:t>
      </w:r>
      <w:r>
        <w:rPr>
          <w:rFonts w:ascii="Times New Roman" w:eastAsia="Times New Roman" w:hAnsi="Times New Roman"/>
          <w:sz w:val="21"/>
        </w:rPr>
        <w:t>20</w:t>
      </w:r>
      <w:r>
        <w:rPr>
          <w:sz w:val="21"/>
        </w:rPr>
        <w:t>℃；</w:t>
      </w:r>
    </w:p>
    <w:p>
      <w:pPr>
        <w:pStyle w:val="ListParagraph"/>
        <w:numPr>
          <w:ilvl w:val="0"/>
          <w:numId w:val="6"/>
        </w:numPr>
        <w:tabs>
          <w:tab w:val="left" w:pos="1270"/>
          <w:tab w:val="left" w:pos="1271"/>
        </w:tabs>
        <w:spacing w:before="43" w:after="0" w:line="240" w:lineRule="auto"/>
        <w:ind w:left="1270" w:right="0" w:hanging="428"/>
        <w:jc w:val="left"/>
        <w:rPr>
          <w:sz w:val="21"/>
        </w:rPr>
      </w:pPr>
      <w:r>
        <w:rPr>
          <w:rFonts w:ascii="Times New Roman" w:eastAsia="Times New Roman"/>
          <w:sz w:val="21"/>
        </w:rPr>
        <w:t>NMHC-CEMS</w:t>
      </w:r>
      <w:r>
        <w:rPr>
          <w:rFonts w:ascii="Times New Roman" w:eastAsia="Times New Roman"/>
          <w:spacing w:val="-2"/>
          <w:sz w:val="21"/>
        </w:rPr>
        <w:t xml:space="preserve"> </w:t>
      </w:r>
      <w:r>
        <w:rPr>
          <w:spacing w:val="-3"/>
          <w:sz w:val="21"/>
        </w:rPr>
        <w:t>反吹过滤装置、阀门等应保持正常状态，无堵塞状况；</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8"/>
          <w:sz w:val="21"/>
        </w:rPr>
        <w:t xml:space="preserve">当室外环境温度低于 </w:t>
      </w:r>
      <w:r>
        <w:rPr>
          <w:rFonts w:ascii="Times New Roman" w:eastAsia="Times New Roman" w:hAnsi="Times New Roman"/>
          <w:sz w:val="21"/>
        </w:rPr>
        <w:t>0</w:t>
      </w:r>
      <w:r>
        <w:rPr>
          <w:sz w:val="21"/>
        </w:rPr>
        <w:t>℃时，</w:t>
      </w:r>
      <w:r>
        <w:rPr>
          <w:rFonts w:ascii="Times New Roman" w:eastAsia="Times New Roman" w:hAnsi="Times New Roman"/>
          <w:sz w:val="21"/>
        </w:rPr>
        <w:t xml:space="preserve">NMHC-CEMS </w:t>
      </w:r>
      <w:r>
        <w:rPr>
          <w:spacing w:val="-3"/>
          <w:sz w:val="21"/>
        </w:rPr>
        <w:t>尾气排放管配套的加热或伴热装置应有效运行；</w:t>
      </w:r>
    </w:p>
    <w:p>
      <w:pPr>
        <w:pStyle w:val="ListParagraph"/>
        <w:numPr>
          <w:ilvl w:val="0"/>
          <w:numId w:val="6"/>
        </w:numPr>
        <w:tabs>
          <w:tab w:val="left" w:pos="1270"/>
          <w:tab w:val="left" w:pos="1271"/>
        </w:tabs>
        <w:spacing w:before="44" w:after="0" w:line="240" w:lineRule="auto"/>
        <w:ind w:left="1270" w:right="0" w:hanging="428"/>
        <w:jc w:val="left"/>
        <w:rPr>
          <w:sz w:val="21"/>
        </w:rPr>
      </w:pPr>
      <w:r>
        <w:rPr>
          <w:spacing w:val="-3"/>
          <w:sz w:val="21"/>
        </w:rPr>
        <w:t>反吹气压力应达到现场系统的使用要求，无油、无水；</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氢气发生器电解液液位应在上下液位限内；</w:t>
      </w:r>
    </w:p>
    <w:p>
      <w:pPr>
        <w:pStyle w:val="ListParagraph"/>
        <w:numPr>
          <w:ilvl w:val="0"/>
          <w:numId w:val="6"/>
        </w:numPr>
        <w:tabs>
          <w:tab w:val="left" w:pos="1270"/>
          <w:tab w:val="left" w:pos="1271"/>
        </w:tabs>
        <w:spacing w:before="42" w:after="0" w:line="240" w:lineRule="auto"/>
        <w:ind w:left="1270" w:right="0" w:hanging="428"/>
        <w:jc w:val="left"/>
        <w:rPr>
          <w:sz w:val="21"/>
        </w:rPr>
      </w:pPr>
      <w:r>
        <w:rPr>
          <w:spacing w:val="-6"/>
          <w:sz w:val="21"/>
        </w:rPr>
        <w:t xml:space="preserve">氢气发生器除湿装置的变色硅胶应保持 </w:t>
      </w:r>
      <w:r>
        <w:rPr>
          <w:rFonts w:ascii="Times New Roman" w:eastAsia="Times New Roman"/>
          <w:sz w:val="21"/>
        </w:rPr>
        <w:t>2/3</w:t>
      </w:r>
      <w:r>
        <w:rPr>
          <w:rFonts w:ascii="Times New Roman" w:eastAsia="Times New Roman"/>
          <w:spacing w:val="-3"/>
          <w:sz w:val="21"/>
        </w:rPr>
        <w:t xml:space="preserve"> </w:t>
      </w:r>
      <w:r>
        <w:rPr>
          <w:spacing w:val="-3"/>
          <w:sz w:val="21"/>
        </w:rPr>
        <w:t>无变色；</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色谱仪空气、氢气、氮气的压力、流量无异常；</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6"/>
          <w:sz w:val="21"/>
        </w:rPr>
        <w:t xml:space="preserve">零气发生器或除烃装置温度应保持在 </w:t>
      </w:r>
      <w:r>
        <w:rPr>
          <w:rFonts w:ascii="Times New Roman" w:eastAsia="Times New Roman" w:hAnsi="Times New Roman"/>
          <w:sz w:val="21"/>
        </w:rPr>
        <w:t>350</w:t>
      </w:r>
      <w:r>
        <w:rPr>
          <w:spacing w:val="-2"/>
          <w:sz w:val="21"/>
        </w:rPr>
        <w:t>℃以上；</w:t>
      </w:r>
    </w:p>
    <w:p>
      <w:pPr>
        <w:pStyle w:val="ListParagraph"/>
        <w:numPr>
          <w:ilvl w:val="0"/>
          <w:numId w:val="6"/>
        </w:numPr>
        <w:tabs>
          <w:tab w:val="left" w:pos="1270"/>
          <w:tab w:val="left" w:pos="1271"/>
        </w:tabs>
        <w:spacing w:before="43" w:after="0" w:line="278" w:lineRule="auto"/>
        <w:ind w:left="418" w:right="505" w:firstLine="424"/>
        <w:jc w:val="left"/>
        <w:rPr>
          <w:sz w:val="21"/>
        </w:rPr>
      </w:pPr>
      <w:r>
        <w:rPr>
          <w:spacing w:val="-3"/>
          <w:sz w:val="21"/>
        </w:rPr>
        <w:t>样品预处理设备、分析仪内部柱箱、阀箱、检测器的温度应达到规定温度，不满足要求的应及时处理；</w:t>
      </w:r>
    </w:p>
    <w:p>
      <w:pPr>
        <w:pStyle w:val="ListParagraph"/>
        <w:numPr>
          <w:ilvl w:val="0"/>
          <w:numId w:val="6"/>
        </w:numPr>
        <w:tabs>
          <w:tab w:val="left" w:pos="1270"/>
          <w:tab w:val="left" w:pos="1271"/>
        </w:tabs>
        <w:spacing w:before="0" w:after="0" w:line="269" w:lineRule="exact"/>
        <w:ind w:left="1270" w:right="0" w:hanging="428"/>
        <w:jc w:val="left"/>
        <w:rPr>
          <w:sz w:val="21"/>
        </w:rPr>
      </w:pPr>
      <w:r>
        <w:rPr>
          <w:rFonts w:ascii="Times New Roman" w:eastAsia="Times New Roman"/>
          <w:spacing w:val="-3"/>
          <w:sz w:val="21"/>
        </w:rPr>
        <w:t>FID</w:t>
      </w:r>
      <w:r>
        <w:rPr>
          <w:rFonts w:ascii="Times New Roman" w:eastAsia="Times New Roman"/>
          <w:spacing w:val="1"/>
          <w:sz w:val="21"/>
        </w:rPr>
        <w:t xml:space="preserve"> </w:t>
      </w:r>
      <w:r>
        <w:rPr>
          <w:spacing w:val="-3"/>
          <w:sz w:val="21"/>
        </w:rPr>
        <w:t>检测器点火应保持正常运行；</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非甲烷总烃分析仪无报警信号，温度、湿度、含氧量、流速、烟道压力测量数据无异常；</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非甲烷总烃分析仪、数据采集传输仪及监控平台接收到的数据应保持一致；</w:t>
      </w:r>
    </w:p>
    <w:p>
      <w:pPr>
        <w:pStyle w:val="ListParagraph"/>
        <w:numPr>
          <w:ilvl w:val="0"/>
          <w:numId w:val="6"/>
        </w:numPr>
        <w:tabs>
          <w:tab w:val="left" w:pos="1270"/>
          <w:tab w:val="left" w:pos="1271"/>
        </w:tabs>
        <w:spacing w:before="43" w:after="0" w:line="240" w:lineRule="auto"/>
        <w:ind w:left="1270" w:right="0" w:hanging="428"/>
        <w:jc w:val="left"/>
        <w:rPr>
          <w:sz w:val="21"/>
        </w:rPr>
      </w:pPr>
      <w:r>
        <w:rPr>
          <w:spacing w:val="-3"/>
          <w:sz w:val="21"/>
        </w:rPr>
        <w:t>其他应巡检项目依照仪器说明书、作业指导书等执行。</w:t>
      </w:r>
    </w:p>
    <w:p>
      <w:pPr>
        <w:spacing w:after="0" w:line="240" w:lineRule="auto"/>
        <w:jc w:val="left"/>
        <w:rPr>
          <w:sz w:val="21"/>
        </w:rPr>
        <w:sectPr>
          <w:headerReference w:type="even" r:id="rId22"/>
          <w:headerReference w:type="default" r:id="rId23"/>
          <w:footerReference w:type="even" r:id="rId24"/>
          <w:footerReference w:type="default" r:id="rId25"/>
          <w:pgSz w:w="11910" w:h="16840"/>
          <w:pgMar w:top="1640" w:right="720" w:bottom="1340" w:left="1000" w:header="1448" w:footer="1140"/>
          <w:pgNumType w:start="3"/>
          <w:cols w:space="708"/>
        </w:sectPr>
      </w:pPr>
    </w:p>
    <w:p>
      <w:pPr>
        <w:pStyle w:val="BodyText"/>
        <w:spacing w:before="1"/>
        <w:rPr>
          <w:sz w:val="17"/>
        </w:rPr>
      </w:pPr>
    </w:p>
    <w:p>
      <w:pPr>
        <w:pStyle w:val="ListParagraph"/>
        <w:numPr>
          <w:ilvl w:val="1"/>
          <w:numId w:val="7"/>
        </w:numPr>
        <w:tabs>
          <w:tab w:val="left" w:pos="658"/>
          <w:tab w:val="left" w:pos="659"/>
        </w:tabs>
        <w:spacing w:before="72" w:after="0" w:line="240" w:lineRule="auto"/>
        <w:ind w:left="658" w:right="0" w:hanging="526"/>
        <w:jc w:val="left"/>
        <w:rPr>
          <w:rFonts w:ascii="黑体" w:eastAsia="黑体" w:hint="eastAsia"/>
          <w:sz w:val="21"/>
        </w:rPr>
      </w:pPr>
      <w:r>
        <w:rPr>
          <w:rFonts w:ascii="黑体" w:eastAsia="黑体" w:hint="eastAsia"/>
          <w:spacing w:val="-2"/>
          <w:sz w:val="21"/>
        </w:rPr>
        <w:t>维护保养要求</w:t>
      </w:r>
    </w:p>
    <w:p>
      <w:pPr>
        <w:pStyle w:val="BodyText"/>
        <w:spacing w:before="7"/>
        <w:rPr>
          <w:rFonts w:ascii="黑体"/>
          <w:sz w:val="15"/>
        </w:rPr>
      </w:pPr>
    </w:p>
    <w:p>
      <w:pPr>
        <w:pStyle w:val="ListParagraph"/>
        <w:numPr>
          <w:ilvl w:val="2"/>
          <w:numId w:val="7"/>
        </w:numPr>
        <w:tabs>
          <w:tab w:val="left" w:pos="867"/>
          <w:tab w:val="left" w:pos="868"/>
        </w:tabs>
        <w:spacing w:before="0" w:after="0" w:line="240" w:lineRule="auto"/>
        <w:ind w:left="867" w:right="0" w:hanging="735"/>
        <w:jc w:val="left"/>
        <w:rPr>
          <w:rFonts w:ascii="黑体" w:eastAsia="黑体" w:hint="eastAsia"/>
          <w:sz w:val="21"/>
        </w:rPr>
      </w:pPr>
      <w:r>
        <w:rPr>
          <w:rFonts w:ascii="黑体" w:eastAsia="黑体" w:hint="eastAsia"/>
          <w:spacing w:val="-1"/>
          <w:sz w:val="21"/>
        </w:rPr>
        <w:t>基本要求</w:t>
      </w:r>
    </w:p>
    <w:p>
      <w:pPr>
        <w:pStyle w:val="BodyText"/>
        <w:spacing w:before="6"/>
        <w:rPr>
          <w:rFonts w:ascii="黑体"/>
          <w:sz w:val="15"/>
        </w:rPr>
      </w:pPr>
    </w:p>
    <w:p>
      <w:pPr>
        <w:pStyle w:val="ListParagraph"/>
        <w:numPr>
          <w:ilvl w:val="3"/>
          <w:numId w:val="7"/>
        </w:numPr>
        <w:tabs>
          <w:tab w:val="left" w:pos="1078"/>
          <w:tab w:val="left" w:pos="1079"/>
        </w:tabs>
        <w:spacing w:before="0" w:after="0" w:line="278" w:lineRule="auto"/>
        <w:ind w:left="133" w:right="694" w:firstLine="0"/>
        <w:jc w:val="left"/>
        <w:rPr>
          <w:rFonts w:ascii="黑体" w:eastAsia="黑体" w:hint="eastAsia"/>
          <w:sz w:val="21"/>
        </w:rPr>
      </w:pPr>
      <w:r>
        <w:rPr>
          <w:spacing w:val="-7"/>
          <w:sz w:val="21"/>
        </w:rPr>
        <w:t xml:space="preserve">运行维护单位应根据 </w:t>
      </w:r>
      <w:r>
        <w:rPr>
          <w:sz w:val="21"/>
        </w:rPr>
        <w:t>NMHC-CEMS</w:t>
      </w:r>
      <w:r>
        <w:rPr>
          <w:spacing w:val="-12"/>
          <w:sz w:val="21"/>
        </w:rPr>
        <w:t xml:space="preserve"> 说明书的要求对 </w:t>
      </w:r>
      <w:r>
        <w:rPr>
          <w:sz w:val="21"/>
        </w:rPr>
        <w:t>NMHC-CEMS</w:t>
      </w:r>
      <w:r>
        <w:rPr>
          <w:spacing w:val="-9"/>
          <w:sz w:val="21"/>
        </w:rPr>
        <w:t xml:space="preserve"> 保养内容、保养周期及耗材更换</w:t>
      </w:r>
      <w:r>
        <w:rPr>
          <w:spacing w:val="-5"/>
          <w:sz w:val="21"/>
        </w:rPr>
        <w:t>周期等做出明确规定。</w:t>
      </w:r>
    </w:p>
    <w:p>
      <w:pPr>
        <w:pStyle w:val="ListParagraph"/>
        <w:numPr>
          <w:ilvl w:val="3"/>
          <w:numId w:val="7"/>
        </w:numPr>
        <w:tabs>
          <w:tab w:val="left" w:pos="1078"/>
          <w:tab w:val="left" w:pos="1079"/>
        </w:tabs>
        <w:spacing w:before="0" w:after="0" w:line="278" w:lineRule="auto"/>
        <w:ind w:left="133" w:right="586" w:firstLine="0"/>
        <w:jc w:val="left"/>
        <w:rPr>
          <w:rFonts w:ascii="黑体" w:eastAsia="黑体" w:hint="eastAsia"/>
          <w:sz w:val="21"/>
        </w:rPr>
      </w:pPr>
      <w:r>
        <w:rPr>
          <w:spacing w:val="-6"/>
          <w:sz w:val="21"/>
        </w:rPr>
        <w:t>每次维护保养情况及更换的备件</w:t>
      </w:r>
      <w:r>
        <w:rPr>
          <w:sz w:val="21"/>
        </w:rPr>
        <w:t>（</w:t>
      </w:r>
      <w:r>
        <w:rPr>
          <w:spacing w:val="-2"/>
          <w:sz w:val="21"/>
        </w:rPr>
        <w:t>材料</w:t>
      </w:r>
      <w:r>
        <w:rPr>
          <w:spacing w:val="-41"/>
          <w:sz w:val="21"/>
        </w:rPr>
        <w:t>）</w:t>
      </w:r>
      <w:r>
        <w:rPr>
          <w:spacing w:val="-15"/>
          <w:sz w:val="21"/>
        </w:rPr>
        <w:t xml:space="preserve">品名、规格、数量等应记录并归档，保存 </w:t>
      </w:r>
      <w:r>
        <w:rPr>
          <w:sz w:val="21"/>
        </w:rPr>
        <w:t>3</w:t>
      </w:r>
      <w:r>
        <w:rPr>
          <w:spacing w:val="-12"/>
          <w:sz w:val="21"/>
        </w:rPr>
        <w:t xml:space="preserve"> 年以上。</w:t>
      </w:r>
      <w:r>
        <w:rPr>
          <w:spacing w:val="-3"/>
          <w:sz w:val="21"/>
        </w:rPr>
        <w:t>如更换标准物质或标准样品，还需记录新标准物质或标准样品、易耗品的来源、有效期和浓度等信息。</w:t>
      </w:r>
      <w:r>
        <w:rPr>
          <w:spacing w:val="3"/>
          <w:sz w:val="21"/>
        </w:rPr>
        <w:t>维护保养可参照附录</w:t>
      </w:r>
      <w:r>
        <w:rPr>
          <w:sz w:val="21"/>
        </w:rPr>
        <w:t>A</w:t>
      </w:r>
      <w:r>
        <w:rPr>
          <w:spacing w:val="-23"/>
          <w:sz w:val="21"/>
        </w:rPr>
        <w:t xml:space="preserve"> 中的表 </w:t>
      </w:r>
      <w:r>
        <w:rPr>
          <w:sz w:val="21"/>
        </w:rPr>
        <w:t>A.1</w:t>
      </w:r>
      <w:r>
        <w:rPr>
          <w:spacing w:val="-3"/>
          <w:sz w:val="21"/>
        </w:rPr>
        <w:t>、</w:t>
      </w:r>
      <w:r>
        <w:rPr>
          <w:sz w:val="21"/>
        </w:rPr>
        <w:t>A.5、A.6</w:t>
      </w:r>
      <w:r>
        <w:rPr>
          <w:spacing w:val="-9"/>
          <w:sz w:val="21"/>
        </w:rPr>
        <w:t xml:space="preserve"> 表格形式记录。</w:t>
      </w:r>
    </w:p>
    <w:p>
      <w:pPr>
        <w:pStyle w:val="ListParagraph"/>
        <w:numPr>
          <w:ilvl w:val="2"/>
          <w:numId w:val="7"/>
        </w:numPr>
        <w:tabs>
          <w:tab w:val="left" w:pos="867"/>
          <w:tab w:val="left" w:pos="868"/>
        </w:tabs>
        <w:spacing w:before="156" w:after="0" w:line="240" w:lineRule="auto"/>
        <w:ind w:left="867" w:right="0" w:hanging="735"/>
        <w:jc w:val="left"/>
        <w:rPr>
          <w:rFonts w:ascii="黑体" w:eastAsia="黑体" w:hint="eastAsia"/>
          <w:sz w:val="21"/>
        </w:rPr>
      </w:pPr>
      <w:r>
        <w:rPr>
          <w:rFonts w:ascii="黑体" w:eastAsia="黑体" w:hint="eastAsia"/>
          <w:spacing w:val="-3"/>
          <w:sz w:val="21"/>
        </w:rPr>
        <w:t>日常维护保养内容</w:t>
      </w:r>
    </w:p>
    <w:p>
      <w:pPr>
        <w:pStyle w:val="BodyText"/>
        <w:spacing w:before="7"/>
        <w:rPr>
          <w:rFonts w:ascii="黑体"/>
          <w:sz w:val="15"/>
        </w:rPr>
      </w:pPr>
    </w:p>
    <w:p>
      <w:pPr>
        <w:pStyle w:val="BodyText"/>
        <w:ind w:left="553"/>
      </w:pPr>
      <w:r>
        <w:t>日常维护保养主要内容包括：</w:t>
      </w:r>
    </w:p>
    <w:p>
      <w:pPr>
        <w:pStyle w:val="ListParagraph"/>
        <w:numPr>
          <w:ilvl w:val="0"/>
          <w:numId w:val="5"/>
        </w:numPr>
        <w:tabs>
          <w:tab w:val="left" w:pos="985"/>
          <w:tab w:val="left" w:pos="986"/>
        </w:tabs>
        <w:spacing w:before="43" w:after="0" w:line="278" w:lineRule="auto"/>
        <w:ind w:left="133" w:right="790" w:firstLine="424"/>
        <w:jc w:val="left"/>
        <w:rPr>
          <w:sz w:val="21"/>
        </w:rPr>
      </w:pPr>
      <w:r>
        <w:rPr>
          <w:spacing w:val="-17"/>
          <w:sz w:val="21"/>
        </w:rPr>
        <w:t xml:space="preserve">每 </w:t>
      </w:r>
      <w:r>
        <w:rPr>
          <w:rFonts w:ascii="Times New Roman" w:eastAsia="Times New Roman"/>
          <w:sz w:val="21"/>
        </w:rPr>
        <w:t>7</w:t>
      </w:r>
      <w:r>
        <w:rPr>
          <w:rFonts w:ascii="Times New Roman" w:eastAsia="Times New Roman"/>
          <w:spacing w:val="19"/>
          <w:sz w:val="21"/>
        </w:rPr>
        <w:t xml:space="preserve"> </w:t>
      </w:r>
      <w:r>
        <w:rPr>
          <w:spacing w:val="-3"/>
          <w:sz w:val="21"/>
        </w:rPr>
        <w:t>天至少使用标气检查一次色谱图中保留时间和积分区域的合理性，出峰时间与标准谱图一致性情况应符合仪器使用手册要求，并对仪表进行量程校准；</w:t>
      </w:r>
    </w:p>
    <w:p>
      <w:pPr>
        <w:pStyle w:val="ListParagraph"/>
        <w:numPr>
          <w:ilvl w:val="0"/>
          <w:numId w:val="5"/>
        </w:numPr>
        <w:tabs>
          <w:tab w:val="left" w:pos="985"/>
          <w:tab w:val="left" w:pos="986"/>
        </w:tabs>
        <w:spacing w:before="0" w:after="0" w:line="278" w:lineRule="auto"/>
        <w:ind w:left="133" w:right="694" w:firstLine="424"/>
        <w:jc w:val="left"/>
        <w:rPr>
          <w:sz w:val="21"/>
        </w:rPr>
      </w:pPr>
      <w:r>
        <w:rPr>
          <w:spacing w:val="-3"/>
          <w:sz w:val="21"/>
        </w:rPr>
        <w:t>对于更换分析仪内部色谱柱、膜阀、检测器等重要部件的，应对分析仪的保留时间、积分区</w:t>
      </w:r>
      <w:r>
        <w:rPr>
          <w:spacing w:val="-10"/>
          <w:sz w:val="21"/>
        </w:rPr>
        <w:t xml:space="preserve">域、零点、量程、示值误差等进行重新调整或校准，并记录校准数据和过程，校准数据满足本文件表 </w:t>
      </w:r>
      <w:r>
        <w:rPr>
          <w:sz w:val="21"/>
        </w:rPr>
        <w:t xml:space="preserve">1 </w:t>
      </w:r>
      <w:r>
        <w:rPr>
          <w:spacing w:val="-3"/>
          <w:sz w:val="21"/>
        </w:rPr>
        <w:t>要求且稳定后方可投入运行；</w:t>
      </w:r>
    </w:p>
    <w:p>
      <w:pPr>
        <w:pStyle w:val="ListParagraph"/>
        <w:numPr>
          <w:ilvl w:val="0"/>
          <w:numId w:val="5"/>
        </w:numPr>
        <w:tabs>
          <w:tab w:val="left" w:pos="985"/>
          <w:tab w:val="left" w:pos="986"/>
        </w:tabs>
        <w:spacing w:before="0" w:after="0" w:line="269" w:lineRule="exact"/>
        <w:ind w:left="985" w:right="0" w:hanging="428"/>
        <w:jc w:val="left"/>
        <w:rPr>
          <w:sz w:val="21"/>
        </w:rPr>
      </w:pPr>
      <w:r>
        <w:rPr>
          <w:spacing w:val="-3"/>
          <w:sz w:val="21"/>
        </w:rPr>
        <w:t>应按照仪器说明书及时对废气参数监测单元进行维护保养；</w:t>
      </w:r>
    </w:p>
    <w:p>
      <w:pPr>
        <w:pStyle w:val="ListParagraph"/>
        <w:numPr>
          <w:ilvl w:val="0"/>
          <w:numId w:val="5"/>
        </w:numPr>
        <w:tabs>
          <w:tab w:val="left" w:pos="985"/>
          <w:tab w:val="left" w:pos="986"/>
        </w:tabs>
        <w:spacing w:before="43" w:after="0" w:line="278" w:lineRule="auto"/>
        <w:ind w:left="133" w:right="790" w:firstLine="424"/>
        <w:jc w:val="left"/>
        <w:rPr>
          <w:sz w:val="21"/>
        </w:rPr>
      </w:pPr>
      <w:r>
        <w:rPr>
          <w:spacing w:val="-3"/>
          <w:sz w:val="21"/>
        </w:rPr>
        <w:t>点测量流量计应查看反吹管路、控制阀等，如有堵塞及时清理，如有漏气及时更换备件；检查探头探针，如有积灰及时清理；</w:t>
      </w:r>
    </w:p>
    <w:p>
      <w:pPr>
        <w:pStyle w:val="ListParagraph"/>
        <w:numPr>
          <w:ilvl w:val="0"/>
          <w:numId w:val="5"/>
        </w:numPr>
        <w:tabs>
          <w:tab w:val="left" w:pos="985"/>
          <w:tab w:val="left" w:pos="986"/>
        </w:tabs>
        <w:spacing w:before="0" w:after="0" w:line="269" w:lineRule="exact"/>
        <w:ind w:left="985" w:right="0" w:hanging="428"/>
        <w:jc w:val="left"/>
        <w:rPr>
          <w:sz w:val="21"/>
        </w:rPr>
      </w:pPr>
      <w:r>
        <w:rPr>
          <w:spacing w:val="-3"/>
          <w:sz w:val="21"/>
        </w:rPr>
        <w:t>线测量流量计应查看气路、过滤器等，确保法兰孔无腐蚀、松动、漏气，探头位置无偏移；</w:t>
      </w:r>
    </w:p>
    <w:p>
      <w:pPr>
        <w:pStyle w:val="ListParagraph"/>
        <w:numPr>
          <w:ilvl w:val="0"/>
          <w:numId w:val="5"/>
        </w:numPr>
        <w:tabs>
          <w:tab w:val="left" w:pos="985"/>
          <w:tab w:val="left" w:pos="986"/>
        </w:tabs>
        <w:spacing w:before="43" w:after="0" w:line="278" w:lineRule="auto"/>
        <w:ind w:left="133" w:right="694" w:firstLine="424"/>
        <w:jc w:val="left"/>
        <w:rPr>
          <w:sz w:val="21"/>
        </w:rPr>
      </w:pPr>
      <w:r>
        <w:rPr>
          <w:spacing w:val="-17"/>
          <w:sz w:val="21"/>
        </w:rPr>
        <w:t xml:space="preserve">每 </w:t>
      </w:r>
      <w:r>
        <w:rPr>
          <w:rFonts w:ascii="Times New Roman" w:eastAsia="Times New Roman"/>
          <w:sz w:val="21"/>
        </w:rPr>
        <w:t>7</w:t>
      </w:r>
      <w:r>
        <w:rPr>
          <w:rFonts w:ascii="Times New Roman" w:eastAsia="Times New Roman"/>
          <w:spacing w:val="20"/>
          <w:sz w:val="21"/>
        </w:rPr>
        <w:t xml:space="preserve"> </w:t>
      </w:r>
      <w:r>
        <w:rPr>
          <w:spacing w:val="-10"/>
          <w:sz w:val="21"/>
        </w:rPr>
        <w:t xml:space="preserve">天至少检查维护一次气源压力，包括压缩空气、零点气、氢气等达到其仪器的规定压力， </w:t>
      </w:r>
      <w:r>
        <w:rPr>
          <w:spacing w:val="-5"/>
          <w:sz w:val="21"/>
        </w:rPr>
        <w:t>同时对减压阀、气体管路进行安全检漏并书面记录。</w:t>
      </w:r>
    </w:p>
    <w:p>
      <w:pPr>
        <w:pStyle w:val="ListParagraph"/>
        <w:numPr>
          <w:ilvl w:val="2"/>
          <w:numId w:val="7"/>
        </w:numPr>
        <w:tabs>
          <w:tab w:val="left" w:pos="867"/>
          <w:tab w:val="left" w:pos="868"/>
        </w:tabs>
        <w:spacing w:before="156" w:after="0" w:line="240" w:lineRule="auto"/>
        <w:ind w:left="867" w:right="0" w:hanging="735"/>
        <w:jc w:val="left"/>
        <w:rPr>
          <w:rFonts w:ascii="黑体" w:eastAsia="黑体" w:hint="eastAsia"/>
          <w:sz w:val="21"/>
        </w:rPr>
      </w:pPr>
      <w:r>
        <w:rPr>
          <w:rFonts w:ascii="黑体" w:eastAsia="黑体" w:hint="eastAsia"/>
          <w:spacing w:val="-3"/>
          <w:sz w:val="21"/>
        </w:rPr>
        <w:t>定期维护保养内容</w:t>
      </w:r>
    </w:p>
    <w:p>
      <w:pPr>
        <w:pStyle w:val="BodyText"/>
        <w:spacing w:before="7"/>
        <w:rPr>
          <w:rFonts w:ascii="黑体"/>
          <w:sz w:val="15"/>
        </w:rPr>
      </w:pPr>
    </w:p>
    <w:p>
      <w:pPr>
        <w:pStyle w:val="BodyText"/>
        <w:ind w:left="553"/>
      </w:pPr>
      <w:r>
        <w:t>定期维护保养主要内容包括：</w:t>
      </w:r>
    </w:p>
    <w:p>
      <w:pPr>
        <w:pStyle w:val="ListParagraph"/>
        <w:numPr>
          <w:ilvl w:val="0"/>
          <w:numId w:val="4"/>
        </w:numPr>
        <w:tabs>
          <w:tab w:val="left" w:pos="985"/>
          <w:tab w:val="left" w:pos="986"/>
        </w:tabs>
        <w:spacing w:before="43" w:after="0" w:line="240" w:lineRule="auto"/>
        <w:ind w:left="985" w:right="0" w:hanging="428"/>
        <w:jc w:val="left"/>
        <w:rPr>
          <w:sz w:val="21"/>
        </w:rPr>
      </w:pPr>
      <w:r>
        <w:rPr>
          <w:spacing w:val="-27"/>
          <w:sz w:val="21"/>
        </w:rPr>
        <w:t xml:space="preserve">每 </w:t>
      </w:r>
      <w:r>
        <w:rPr>
          <w:rFonts w:ascii="Times New Roman" w:eastAsia="Times New Roman"/>
          <w:sz w:val="21"/>
        </w:rPr>
        <w:t xml:space="preserve">1 </w:t>
      </w:r>
      <w:r>
        <w:rPr>
          <w:spacing w:val="-3"/>
          <w:sz w:val="21"/>
        </w:rPr>
        <w:t>个月至少清洗一次采样探头、过滤装置、采样泵；</w:t>
      </w:r>
    </w:p>
    <w:p>
      <w:pPr>
        <w:pStyle w:val="ListParagraph"/>
        <w:numPr>
          <w:ilvl w:val="0"/>
          <w:numId w:val="4"/>
        </w:numPr>
        <w:tabs>
          <w:tab w:val="left" w:pos="985"/>
          <w:tab w:val="left" w:pos="986"/>
        </w:tabs>
        <w:spacing w:before="43" w:after="0" w:line="278" w:lineRule="auto"/>
        <w:ind w:left="133" w:right="790" w:firstLine="424"/>
        <w:jc w:val="left"/>
        <w:rPr>
          <w:sz w:val="21"/>
        </w:rPr>
      </w:pPr>
      <w:r>
        <w:rPr>
          <w:spacing w:val="-17"/>
          <w:sz w:val="21"/>
        </w:rPr>
        <w:t xml:space="preserve">每 </w:t>
      </w:r>
      <w:r>
        <w:rPr>
          <w:rFonts w:ascii="Times New Roman" w:eastAsia="Times New Roman"/>
          <w:sz w:val="21"/>
        </w:rPr>
        <w:t>1</w:t>
      </w:r>
      <w:r>
        <w:rPr>
          <w:rFonts w:ascii="Times New Roman" w:eastAsia="Times New Roman"/>
          <w:spacing w:val="21"/>
          <w:sz w:val="21"/>
        </w:rPr>
        <w:t xml:space="preserve"> </w:t>
      </w:r>
      <w:r>
        <w:rPr>
          <w:spacing w:val="-3"/>
          <w:sz w:val="21"/>
        </w:rPr>
        <w:t>个月至少检查一次样品预处理设备中调节针阀和切换球阀，如有堵塞或损坏，应进行清理或更换；</w:t>
      </w:r>
    </w:p>
    <w:p>
      <w:pPr>
        <w:pStyle w:val="ListParagraph"/>
        <w:numPr>
          <w:ilvl w:val="0"/>
          <w:numId w:val="4"/>
        </w:numPr>
        <w:tabs>
          <w:tab w:val="left" w:pos="985"/>
          <w:tab w:val="left" w:pos="986"/>
        </w:tabs>
        <w:spacing w:before="0" w:after="0" w:line="278" w:lineRule="auto"/>
        <w:ind w:left="133" w:right="694" w:firstLine="424"/>
        <w:jc w:val="left"/>
        <w:rPr>
          <w:sz w:val="21"/>
        </w:rPr>
      </w:pPr>
      <w:r>
        <w:rPr>
          <w:spacing w:val="-21"/>
          <w:sz w:val="21"/>
        </w:rPr>
        <w:t xml:space="preserve">每 </w:t>
      </w:r>
      <w:r>
        <w:rPr>
          <w:rFonts w:ascii="Times New Roman" w:eastAsia="Times New Roman"/>
          <w:sz w:val="21"/>
        </w:rPr>
        <w:t>1</w:t>
      </w:r>
      <w:r>
        <w:rPr>
          <w:rFonts w:ascii="Times New Roman" w:eastAsia="Times New Roman"/>
          <w:spacing w:val="12"/>
          <w:sz w:val="21"/>
        </w:rPr>
        <w:t xml:space="preserve"> </w:t>
      </w:r>
      <w:r>
        <w:rPr>
          <w:spacing w:val="-2"/>
          <w:sz w:val="21"/>
        </w:rPr>
        <w:t>个月至少检查维护一次燃烧气连接管路的气密性，以及</w:t>
      </w:r>
      <w:r>
        <w:rPr>
          <w:rFonts w:ascii="Times New Roman" w:eastAsia="Times New Roman"/>
          <w:sz w:val="21"/>
        </w:rPr>
        <w:t>NMHC-CEMS</w:t>
      </w:r>
      <w:r>
        <w:rPr>
          <w:rFonts w:ascii="Times New Roman" w:eastAsia="Times New Roman"/>
          <w:spacing w:val="8"/>
          <w:sz w:val="21"/>
        </w:rPr>
        <w:t xml:space="preserve"> </w:t>
      </w:r>
      <w:r>
        <w:rPr>
          <w:spacing w:val="-5"/>
          <w:sz w:val="21"/>
        </w:rPr>
        <w:t>的过滤器、采样管</w:t>
      </w:r>
      <w:r>
        <w:rPr>
          <w:spacing w:val="-4"/>
          <w:sz w:val="21"/>
        </w:rPr>
        <w:t>路的结灰情况，若发现数据异常应及时维护；</w:t>
      </w:r>
    </w:p>
    <w:p>
      <w:pPr>
        <w:pStyle w:val="ListParagraph"/>
        <w:numPr>
          <w:ilvl w:val="0"/>
          <w:numId w:val="4"/>
        </w:numPr>
        <w:tabs>
          <w:tab w:val="left" w:pos="985"/>
          <w:tab w:val="left" w:pos="986"/>
        </w:tabs>
        <w:spacing w:before="0" w:after="0" w:line="269" w:lineRule="exact"/>
        <w:ind w:left="985" w:right="0" w:hanging="428"/>
        <w:jc w:val="left"/>
        <w:rPr>
          <w:sz w:val="21"/>
        </w:rPr>
      </w:pPr>
      <w:r>
        <w:rPr>
          <w:spacing w:val="-27"/>
          <w:sz w:val="21"/>
        </w:rPr>
        <w:t xml:space="preserve">每 </w:t>
      </w:r>
      <w:r>
        <w:rPr>
          <w:rFonts w:ascii="Times New Roman" w:eastAsia="Times New Roman"/>
          <w:sz w:val="21"/>
        </w:rPr>
        <w:t xml:space="preserve">1 </w:t>
      </w:r>
      <w:r>
        <w:rPr>
          <w:spacing w:val="-3"/>
          <w:sz w:val="21"/>
        </w:rPr>
        <w:t>个月至少清理一次分析仪散热风扇；</w:t>
      </w:r>
    </w:p>
    <w:p>
      <w:pPr>
        <w:pStyle w:val="ListParagraph"/>
        <w:numPr>
          <w:ilvl w:val="0"/>
          <w:numId w:val="4"/>
        </w:numPr>
        <w:tabs>
          <w:tab w:val="left" w:pos="985"/>
          <w:tab w:val="left" w:pos="986"/>
        </w:tabs>
        <w:spacing w:before="42" w:after="0" w:line="240" w:lineRule="auto"/>
        <w:ind w:left="985" w:right="0" w:hanging="428"/>
        <w:jc w:val="left"/>
        <w:rPr>
          <w:sz w:val="21"/>
        </w:rPr>
      </w:pPr>
      <w:r>
        <w:rPr>
          <w:spacing w:val="-26"/>
          <w:sz w:val="21"/>
        </w:rPr>
        <w:t xml:space="preserve">每 </w:t>
      </w:r>
      <w:r>
        <w:rPr>
          <w:rFonts w:ascii="Times New Roman" w:eastAsia="Times New Roman"/>
          <w:sz w:val="21"/>
        </w:rPr>
        <w:t>1</w:t>
      </w:r>
      <w:r>
        <w:rPr>
          <w:rFonts w:ascii="Times New Roman" w:eastAsia="Times New Roman"/>
          <w:spacing w:val="1"/>
          <w:sz w:val="21"/>
        </w:rPr>
        <w:t xml:space="preserve"> </w:t>
      </w:r>
      <w:r>
        <w:rPr>
          <w:spacing w:val="-5"/>
          <w:sz w:val="21"/>
        </w:rPr>
        <w:t xml:space="preserve">个月至少检查维护一次变色硅胶的变色情况，变色超过 </w:t>
      </w:r>
      <w:r>
        <w:rPr>
          <w:rFonts w:ascii="Times New Roman" w:eastAsia="Times New Roman"/>
          <w:sz w:val="21"/>
        </w:rPr>
        <w:t>2/3</w:t>
      </w:r>
      <w:r>
        <w:rPr>
          <w:rFonts w:ascii="Times New Roman" w:eastAsia="Times New Roman"/>
          <w:spacing w:val="-1"/>
          <w:sz w:val="21"/>
        </w:rPr>
        <w:t xml:space="preserve"> </w:t>
      </w:r>
      <w:r>
        <w:rPr>
          <w:spacing w:val="-3"/>
          <w:sz w:val="21"/>
        </w:rPr>
        <w:t>的更换变色硅胶；</w:t>
      </w:r>
    </w:p>
    <w:p>
      <w:pPr>
        <w:pStyle w:val="ListParagraph"/>
        <w:numPr>
          <w:ilvl w:val="0"/>
          <w:numId w:val="4"/>
        </w:numPr>
        <w:tabs>
          <w:tab w:val="left" w:pos="985"/>
          <w:tab w:val="left" w:pos="986"/>
        </w:tabs>
        <w:spacing w:before="44" w:after="0" w:line="240" w:lineRule="auto"/>
        <w:ind w:left="985" w:right="0" w:hanging="428"/>
        <w:jc w:val="left"/>
        <w:rPr>
          <w:sz w:val="21"/>
        </w:rPr>
      </w:pPr>
      <w:r>
        <w:rPr>
          <w:spacing w:val="-26"/>
          <w:sz w:val="21"/>
        </w:rPr>
        <w:t xml:space="preserve">每 </w:t>
      </w:r>
      <w:r>
        <w:rPr>
          <w:rFonts w:ascii="Times New Roman" w:eastAsia="Times New Roman"/>
          <w:sz w:val="21"/>
        </w:rPr>
        <w:t>1</w:t>
      </w:r>
      <w:r>
        <w:rPr>
          <w:rFonts w:ascii="Times New Roman" w:eastAsia="Times New Roman"/>
          <w:spacing w:val="1"/>
          <w:sz w:val="21"/>
        </w:rPr>
        <w:t xml:space="preserve"> </w:t>
      </w:r>
      <w:r>
        <w:rPr>
          <w:spacing w:val="-3"/>
          <w:sz w:val="21"/>
        </w:rPr>
        <w:t>个月至少检查维护一次钢瓶气连接管路的气密性，有条件的做到一用一备；</w:t>
      </w:r>
    </w:p>
    <w:p>
      <w:pPr>
        <w:pStyle w:val="ListParagraph"/>
        <w:numPr>
          <w:ilvl w:val="0"/>
          <w:numId w:val="4"/>
        </w:numPr>
        <w:tabs>
          <w:tab w:val="left" w:pos="985"/>
          <w:tab w:val="left" w:pos="986"/>
        </w:tabs>
        <w:spacing w:before="43" w:after="0" w:line="240" w:lineRule="auto"/>
        <w:ind w:left="985" w:right="0" w:hanging="428"/>
        <w:jc w:val="left"/>
        <w:rPr>
          <w:sz w:val="21"/>
        </w:rPr>
      </w:pPr>
      <w:r>
        <w:rPr>
          <w:spacing w:val="-26"/>
          <w:sz w:val="21"/>
        </w:rPr>
        <w:t xml:space="preserve">每 </w:t>
      </w:r>
      <w:r>
        <w:rPr>
          <w:rFonts w:ascii="Times New Roman" w:eastAsia="Times New Roman"/>
          <w:sz w:val="21"/>
        </w:rPr>
        <w:t>1</w:t>
      </w:r>
      <w:r>
        <w:rPr>
          <w:rFonts w:ascii="Times New Roman" w:eastAsia="Times New Roman"/>
          <w:spacing w:val="3"/>
          <w:sz w:val="21"/>
        </w:rPr>
        <w:t xml:space="preserve"> </w:t>
      </w:r>
      <w:r>
        <w:rPr>
          <w:spacing w:val="-3"/>
          <w:sz w:val="21"/>
        </w:rPr>
        <w:t>个月至少检查维护一次流速监测系统反吹装置、测量传感器，若发现异常应及时处理；</w:t>
      </w:r>
    </w:p>
    <w:p>
      <w:pPr>
        <w:pStyle w:val="ListParagraph"/>
        <w:numPr>
          <w:ilvl w:val="0"/>
          <w:numId w:val="4"/>
        </w:numPr>
        <w:tabs>
          <w:tab w:val="left" w:pos="985"/>
          <w:tab w:val="left" w:pos="986"/>
        </w:tabs>
        <w:spacing w:before="43" w:after="0" w:line="240" w:lineRule="auto"/>
        <w:ind w:left="985" w:right="0" w:hanging="428"/>
        <w:jc w:val="left"/>
        <w:rPr>
          <w:sz w:val="21"/>
        </w:rPr>
      </w:pPr>
      <w:r>
        <w:rPr>
          <w:spacing w:val="-27"/>
          <w:sz w:val="21"/>
        </w:rPr>
        <w:t xml:space="preserve">每 </w:t>
      </w:r>
      <w:r>
        <w:rPr>
          <w:rFonts w:ascii="Times New Roman" w:eastAsia="Times New Roman"/>
          <w:sz w:val="21"/>
        </w:rPr>
        <w:t xml:space="preserve">3 </w:t>
      </w:r>
      <w:r>
        <w:rPr>
          <w:spacing w:val="-3"/>
          <w:sz w:val="21"/>
        </w:rPr>
        <w:t>个月至少清理或更换一次探头滤芯；</w:t>
      </w:r>
    </w:p>
    <w:p>
      <w:pPr>
        <w:pStyle w:val="ListParagraph"/>
        <w:numPr>
          <w:ilvl w:val="0"/>
          <w:numId w:val="4"/>
        </w:numPr>
        <w:tabs>
          <w:tab w:val="left" w:pos="985"/>
          <w:tab w:val="left" w:pos="986"/>
        </w:tabs>
        <w:spacing w:before="43" w:after="0" w:line="240" w:lineRule="auto"/>
        <w:ind w:left="985" w:right="0" w:hanging="428"/>
        <w:jc w:val="left"/>
        <w:rPr>
          <w:sz w:val="21"/>
        </w:rPr>
      </w:pPr>
      <w:r>
        <w:rPr>
          <w:spacing w:val="-27"/>
          <w:sz w:val="21"/>
        </w:rPr>
        <w:t xml:space="preserve">每 </w:t>
      </w:r>
      <w:r>
        <w:rPr>
          <w:rFonts w:ascii="Times New Roman" w:eastAsia="Times New Roman"/>
          <w:sz w:val="21"/>
        </w:rPr>
        <w:t xml:space="preserve">3 </w:t>
      </w:r>
      <w:r>
        <w:rPr>
          <w:spacing w:val="-3"/>
          <w:sz w:val="21"/>
        </w:rPr>
        <w:t>个月至少测试一次反吹功能；</w:t>
      </w:r>
    </w:p>
    <w:p>
      <w:pPr>
        <w:pStyle w:val="ListParagraph"/>
        <w:numPr>
          <w:ilvl w:val="0"/>
          <w:numId w:val="4"/>
        </w:numPr>
        <w:tabs>
          <w:tab w:val="left" w:pos="985"/>
          <w:tab w:val="left" w:pos="986"/>
        </w:tabs>
        <w:spacing w:before="43" w:after="0" w:line="240" w:lineRule="auto"/>
        <w:ind w:left="985" w:right="0" w:hanging="428"/>
        <w:jc w:val="left"/>
        <w:rPr>
          <w:sz w:val="21"/>
        </w:rPr>
      </w:pPr>
      <w:r>
        <w:rPr>
          <w:spacing w:val="-27"/>
          <w:sz w:val="21"/>
        </w:rPr>
        <w:t xml:space="preserve">每 </w:t>
      </w:r>
      <w:r>
        <w:rPr>
          <w:rFonts w:ascii="Times New Roman" w:eastAsia="Times New Roman"/>
          <w:sz w:val="21"/>
        </w:rPr>
        <w:t xml:space="preserve">3 </w:t>
      </w:r>
      <w:r>
        <w:rPr>
          <w:spacing w:val="-3"/>
          <w:sz w:val="21"/>
        </w:rPr>
        <w:t>个月至少清理或更换一次机柜内部过滤器；</w:t>
      </w:r>
    </w:p>
    <w:p>
      <w:pPr>
        <w:pStyle w:val="ListParagraph"/>
        <w:numPr>
          <w:ilvl w:val="0"/>
          <w:numId w:val="4"/>
        </w:numPr>
        <w:tabs>
          <w:tab w:val="left" w:pos="985"/>
          <w:tab w:val="left" w:pos="986"/>
        </w:tabs>
        <w:spacing w:before="43" w:after="0" w:line="240" w:lineRule="auto"/>
        <w:ind w:left="985" w:right="0" w:hanging="428"/>
        <w:jc w:val="left"/>
        <w:rPr>
          <w:sz w:val="21"/>
        </w:rPr>
      </w:pPr>
      <w:r>
        <w:rPr>
          <w:spacing w:val="-27"/>
          <w:sz w:val="21"/>
        </w:rPr>
        <w:t xml:space="preserve">每 </w:t>
      </w:r>
      <w:r>
        <w:rPr>
          <w:rFonts w:ascii="Times New Roman" w:eastAsia="Times New Roman"/>
          <w:sz w:val="21"/>
        </w:rPr>
        <w:t xml:space="preserve">3 </w:t>
      </w:r>
      <w:r>
        <w:rPr>
          <w:spacing w:val="-3"/>
          <w:sz w:val="21"/>
        </w:rPr>
        <w:t>个月至少清洗一次压缩机的空气过滤器；</w:t>
      </w:r>
    </w:p>
    <w:p>
      <w:pPr>
        <w:pStyle w:val="ListParagraph"/>
        <w:numPr>
          <w:ilvl w:val="0"/>
          <w:numId w:val="4"/>
        </w:numPr>
        <w:tabs>
          <w:tab w:val="left" w:pos="985"/>
          <w:tab w:val="left" w:pos="986"/>
        </w:tabs>
        <w:spacing w:before="43" w:after="0" w:line="240" w:lineRule="auto"/>
        <w:ind w:left="985" w:right="0" w:hanging="428"/>
        <w:jc w:val="left"/>
        <w:rPr>
          <w:sz w:val="21"/>
        </w:rPr>
      </w:pPr>
      <w:r>
        <w:rPr>
          <w:spacing w:val="-27"/>
          <w:sz w:val="21"/>
        </w:rPr>
        <w:t xml:space="preserve">每 </w:t>
      </w:r>
      <w:r>
        <w:rPr>
          <w:rFonts w:ascii="Times New Roman" w:eastAsia="Times New Roman"/>
          <w:sz w:val="21"/>
        </w:rPr>
        <w:t xml:space="preserve">6 </w:t>
      </w:r>
      <w:r>
        <w:rPr>
          <w:spacing w:val="-3"/>
          <w:sz w:val="21"/>
        </w:rPr>
        <w:t>个月至少清理一次传输管线；</w:t>
      </w:r>
    </w:p>
    <w:p>
      <w:pPr>
        <w:pStyle w:val="ListParagraph"/>
        <w:numPr>
          <w:ilvl w:val="0"/>
          <w:numId w:val="4"/>
        </w:numPr>
        <w:tabs>
          <w:tab w:val="left" w:pos="985"/>
          <w:tab w:val="left" w:pos="986"/>
        </w:tabs>
        <w:spacing w:before="42" w:after="0" w:line="278" w:lineRule="auto"/>
        <w:ind w:left="133" w:right="1001" w:firstLine="424"/>
        <w:jc w:val="left"/>
        <w:rPr>
          <w:sz w:val="21"/>
        </w:rPr>
      </w:pPr>
      <w:r>
        <w:rPr>
          <w:spacing w:val="-17"/>
          <w:sz w:val="21"/>
        </w:rPr>
        <w:t xml:space="preserve">每 </w:t>
      </w:r>
      <w:r>
        <w:rPr>
          <w:rFonts w:ascii="Times New Roman" w:eastAsia="Times New Roman" w:hAnsi="Times New Roman"/>
          <w:sz w:val="21"/>
        </w:rPr>
        <w:t>6</w:t>
      </w:r>
      <w:r>
        <w:rPr>
          <w:rFonts w:ascii="Times New Roman" w:eastAsia="Times New Roman" w:hAnsi="Times New Roman"/>
          <w:spacing w:val="19"/>
          <w:sz w:val="21"/>
        </w:rPr>
        <w:t xml:space="preserve"> </w:t>
      </w:r>
      <w:r>
        <w:rPr>
          <w:spacing w:val="-3"/>
          <w:sz w:val="21"/>
        </w:rPr>
        <w:t>个月至少检查维护一次零气发生器的吸附、过滤材料，根据使用情况进行更换，其催</w:t>
      </w:r>
      <w:r>
        <w:rPr>
          <w:spacing w:val="-10"/>
          <w:sz w:val="21"/>
        </w:rPr>
        <w:t xml:space="preserve">化温度应不低于 </w:t>
      </w:r>
      <w:r>
        <w:rPr>
          <w:rFonts w:ascii="Times New Roman" w:eastAsia="Times New Roman" w:hAnsi="Times New Roman"/>
          <w:sz w:val="21"/>
        </w:rPr>
        <w:t>350</w:t>
      </w:r>
      <w:r>
        <w:rPr>
          <w:sz w:val="21"/>
        </w:rPr>
        <w:t>℃；</w:t>
      </w:r>
    </w:p>
    <w:p>
      <w:pPr>
        <w:pStyle w:val="ListParagraph"/>
        <w:numPr>
          <w:ilvl w:val="0"/>
          <w:numId w:val="4"/>
        </w:numPr>
        <w:tabs>
          <w:tab w:val="left" w:pos="985"/>
          <w:tab w:val="left" w:pos="986"/>
        </w:tabs>
        <w:spacing w:before="0" w:after="0" w:line="269" w:lineRule="exact"/>
        <w:ind w:left="985" w:right="0" w:hanging="428"/>
        <w:jc w:val="left"/>
        <w:rPr>
          <w:sz w:val="21"/>
        </w:rPr>
      </w:pPr>
      <w:r>
        <w:rPr>
          <w:spacing w:val="-27"/>
          <w:sz w:val="21"/>
        </w:rPr>
        <w:t xml:space="preserve">每 </w:t>
      </w:r>
      <w:r>
        <w:rPr>
          <w:rFonts w:ascii="Times New Roman" w:eastAsia="Times New Roman"/>
          <w:sz w:val="21"/>
        </w:rPr>
        <w:t>6</w:t>
      </w:r>
      <w:r>
        <w:rPr>
          <w:rFonts w:ascii="Times New Roman" w:eastAsia="Times New Roman"/>
          <w:spacing w:val="1"/>
          <w:sz w:val="21"/>
        </w:rPr>
        <w:t xml:space="preserve"> </w:t>
      </w:r>
      <w:r>
        <w:rPr>
          <w:spacing w:val="-3"/>
          <w:sz w:val="21"/>
        </w:rPr>
        <w:t>个月至少检查一次存储空间，如空间不足，应进行数据拷贝或空间清理；</w:t>
      </w:r>
    </w:p>
    <w:p>
      <w:pPr>
        <w:pStyle w:val="ListParagraph"/>
        <w:numPr>
          <w:ilvl w:val="0"/>
          <w:numId w:val="4"/>
        </w:numPr>
        <w:tabs>
          <w:tab w:val="left" w:pos="985"/>
          <w:tab w:val="left" w:pos="986"/>
        </w:tabs>
        <w:spacing w:before="43" w:after="0" w:line="240" w:lineRule="auto"/>
        <w:ind w:left="985" w:right="0" w:hanging="428"/>
        <w:jc w:val="left"/>
        <w:rPr>
          <w:sz w:val="21"/>
        </w:rPr>
      </w:pPr>
      <w:r>
        <w:rPr>
          <w:spacing w:val="-8"/>
          <w:sz w:val="21"/>
        </w:rPr>
        <w:t xml:space="preserve">使用催化氧化原理的 </w:t>
      </w:r>
      <w:r>
        <w:rPr>
          <w:rFonts w:ascii="Times New Roman" w:eastAsia="Times New Roman"/>
          <w:sz w:val="21"/>
        </w:rPr>
        <w:t>NMHC-CEMS</w:t>
      </w:r>
      <w:r>
        <w:rPr>
          <w:rFonts w:ascii="Times New Roman" w:eastAsia="Times New Roman"/>
          <w:spacing w:val="-1"/>
          <w:sz w:val="21"/>
        </w:rPr>
        <w:t xml:space="preserve"> </w:t>
      </w:r>
      <w:r>
        <w:rPr>
          <w:spacing w:val="-18"/>
          <w:sz w:val="21"/>
        </w:rPr>
        <w:t xml:space="preserve">应每 </w:t>
      </w:r>
      <w:r>
        <w:rPr>
          <w:rFonts w:ascii="Times New Roman" w:eastAsia="Times New Roman"/>
          <w:sz w:val="21"/>
        </w:rPr>
        <w:t>12</w:t>
      </w:r>
      <w:r>
        <w:rPr>
          <w:rFonts w:ascii="Times New Roman" w:eastAsia="Times New Roman"/>
          <w:spacing w:val="-1"/>
          <w:sz w:val="21"/>
        </w:rPr>
        <w:t xml:space="preserve"> </w:t>
      </w:r>
      <w:r>
        <w:rPr>
          <w:spacing w:val="-3"/>
          <w:sz w:val="21"/>
        </w:rPr>
        <w:t>个月用丙烷标气至少检验一次转化效率，保证丙</w:t>
      </w:r>
    </w:p>
    <w:p>
      <w:pPr>
        <w:spacing w:after="0" w:line="240" w:lineRule="auto"/>
        <w:jc w:val="left"/>
        <w:rPr>
          <w:sz w:val="21"/>
        </w:rPr>
        <w:sectPr>
          <w:headerReference w:type="even" r:id="rId26"/>
          <w:headerReference w:type="default" r:id="rId27"/>
          <w:footerReference w:type="even" r:id="rId28"/>
          <w:footerReference w:type="default" r:id="rId29"/>
          <w:pgSz w:w="11910" w:h="16840"/>
          <w:pgMar w:top="1640" w:right="720" w:bottom="1340" w:left="1000" w:header="1448" w:footer="1140"/>
          <w:pgNumType w:start="4"/>
          <w:cols w:space="708"/>
        </w:sectPr>
      </w:pPr>
    </w:p>
    <w:p>
      <w:pPr>
        <w:pStyle w:val="BodyText"/>
        <w:spacing w:before="7"/>
        <w:rPr>
          <w:sz w:val="16"/>
        </w:rPr>
      </w:pPr>
    </w:p>
    <w:p>
      <w:pPr>
        <w:pStyle w:val="BodyText"/>
        <w:spacing w:before="79"/>
        <w:ind w:right="566"/>
        <w:jc w:val="right"/>
      </w:pPr>
      <w:r>
        <w:rPr>
          <w:spacing w:val="-9"/>
        </w:rPr>
        <w:t xml:space="preserve">烷的转化效率在 </w:t>
      </w:r>
      <w:r>
        <w:rPr>
          <w:rFonts w:ascii="Times New Roman" w:eastAsia="Times New Roman"/>
        </w:rPr>
        <w:t>95%</w:t>
      </w:r>
      <w:r>
        <w:rPr>
          <w:spacing w:val="-1"/>
        </w:rPr>
        <w:t>以上，不满足的应更换催化氧化装置，检测方法采用</w:t>
      </w:r>
      <w:r>
        <w:rPr>
          <w:rFonts w:ascii="Times New Roman" w:eastAsia="Times New Roman"/>
        </w:rPr>
        <w:t>HJ</w:t>
      </w:r>
      <w:r>
        <w:rPr>
          <w:rFonts w:ascii="Times New Roman" w:eastAsia="Times New Roman"/>
          <w:spacing w:val="8"/>
        </w:rPr>
        <w:t xml:space="preserve"> </w:t>
      </w:r>
      <w:r>
        <w:rPr>
          <w:rFonts w:ascii="Times New Roman" w:eastAsia="Times New Roman"/>
        </w:rPr>
        <w:t>1013-2018</w:t>
      </w:r>
      <w:r>
        <w:rPr>
          <w:rFonts w:ascii="Times New Roman" w:eastAsia="Times New Roman"/>
          <w:spacing w:val="5"/>
        </w:rPr>
        <w:t xml:space="preserve"> </w:t>
      </w:r>
      <w:r>
        <w:rPr>
          <w:spacing w:val="-22"/>
        </w:rPr>
        <w:t xml:space="preserve">中 </w:t>
      </w:r>
      <w:r>
        <w:rPr>
          <w:rFonts w:ascii="Times New Roman" w:eastAsia="Times New Roman"/>
        </w:rPr>
        <w:t>7.1.3.11</w:t>
      </w:r>
      <w:r>
        <w:t>；</w:t>
      </w:r>
    </w:p>
    <w:p>
      <w:pPr>
        <w:pStyle w:val="ListParagraph"/>
        <w:numPr>
          <w:ilvl w:val="0"/>
          <w:numId w:val="4"/>
        </w:numPr>
        <w:tabs>
          <w:tab w:val="left" w:pos="427"/>
          <w:tab w:val="left" w:pos="428"/>
        </w:tabs>
        <w:spacing w:before="43" w:after="0" w:line="240" w:lineRule="auto"/>
        <w:ind w:left="1270" w:right="575" w:hanging="1271"/>
        <w:jc w:val="right"/>
        <w:rPr>
          <w:sz w:val="21"/>
        </w:rPr>
      </w:pPr>
      <w:r>
        <w:rPr>
          <w:spacing w:val="-22"/>
          <w:sz w:val="21"/>
        </w:rPr>
        <w:t xml:space="preserve">每 </w:t>
      </w:r>
      <w:r>
        <w:rPr>
          <w:rFonts w:ascii="Times New Roman" w:eastAsia="Times New Roman"/>
          <w:sz w:val="21"/>
        </w:rPr>
        <w:t>12</w:t>
      </w:r>
      <w:r>
        <w:rPr>
          <w:rFonts w:ascii="Times New Roman" w:eastAsia="Times New Roman"/>
          <w:spacing w:val="6"/>
          <w:sz w:val="21"/>
        </w:rPr>
        <w:t xml:space="preserve"> </w:t>
      </w:r>
      <w:r>
        <w:rPr>
          <w:spacing w:val="-2"/>
          <w:sz w:val="21"/>
        </w:rPr>
        <w:t>个月至少检查维护一次监测仪器接地情况、监测站房防雷措施，应达到</w:t>
      </w:r>
      <w:r>
        <w:rPr>
          <w:rFonts w:ascii="Times New Roman" w:eastAsia="Times New Roman"/>
          <w:sz w:val="21"/>
        </w:rPr>
        <w:t>HJ</w:t>
      </w:r>
      <w:r>
        <w:rPr>
          <w:rFonts w:ascii="Times New Roman" w:eastAsia="Times New Roman"/>
          <w:spacing w:val="11"/>
          <w:sz w:val="21"/>
        </w:rPr>
        <w:t xml:space="preserve"> </w:t>
      </w:r>
      <w:r>
        <w:rPr>
          <w:rFonts w:ascii="Times New Roman" w:eastAsia="Times New Roman"/>
          <w:sz w:val="21"/>
        </w:rPr>
        <w:t>75-2017</w:t>
      </w:r>
      <w:r>
        <w:rPr>
          <w:rFonts w:ascii="Times New Roman" w:eastAsia="Times New Roman"/>
          <w:spacing w:val="7"/>
          <w:sz w:val="21"/>
        </w:rPr>
        <w:t xml:space="preserve"> </w:t>
      </w:r>
      <w:r>
        <w:rPr>
          <w:sz w:val="21"/>
        </w:rPr>
        <w:t>中</w:t>
      </w:r>
    </w:p>
    <w:p>
      <w:pPr>
        <w:pStyle w:val="BodyText"/>
        <w:spacing w:before="43"/>
        <w:ind w:left="418"/>
      </w:pPr>
      <w:r>
        <w:rPr>
          <w:rFonts w:ascii="Times New Roman" w:eastAsia="Times New Roman"/>
        </w:rPr>
        <w:t xml:space="preserve">7.2.14 </w:t>
      </w:r>
      <w:r>
        <w:t>的要求；</w:t>
      </w:r>
    </w:p>
    <w:p>
      <w:pPr>
        <w:pStyle w:val="ListParagraph"/>
        <w:numPr>
          <w:ilvl w:val="0"/>
          <w:numId w:val="4"/>
        </w:numPr>
        <w:tabs>
          <w:tab w:val="left" w:pos="1270"/>
          <w:tab w:val="left" w:pos="1271"/>
        </w:tabs>
        <w:spacing w:before="43" w:after="0" w:line="240" w:lineRule="auto"/>
        <w:ind w:left="1270" w:right="0" w:hanging="428"/>
        <w:jc w:val="left"/>
        <w:rPr>
          <w:sz w:val="21"/>
        </w:rPr>
      </w:pPr>
      <w:r>
        <w:rPr>
          <w:spacing w:val="-3"/>
          <w:sz w:val="21"/>
        </w:rPr>
        <w:t>其他应维护保养项目依照仪器说明书、作业指导书等执行。</w:t>
      </w:r>
    </w:p>
    <w:p>
      <w:pPr>
        <w:pStyle w:val="BodyText"/>
        <w:spacing w:before="6"/>
        <w:rPr>
          <w:sz w:val="15"/>
        </w:rPr>
      </w:pPr>
    </w:p>
    <w:p>
      <w:pPr>
        <w:pStyle w:val="ListParagraph"/>
        <w:numPr>
          <w:ilvl w:val="1"/>
          <w:numId w:val="7"/>
        </w:numPr>
        <w:tabs>
          <w:tab w:val="left" w:pos="944"/>
          <w:tab w:val="left" w:pos="945"/>
        </w:tabs>
        <w:spacing w:before="0" w:after="0" w:line="240" w:lineRule="auto"/>
        <w:ind w:left="944" w:right="0" w:hanging="527"/>
        <w:jc w:val="left"/>
        <w:rPr>
          <w:rFonts w:ascii="黑体" w:eastAsia="黑体" w:hint="eastAsia"/>
          <w:sz w:val="21"/>
        </w:rPr>
      </w:pPr>
      <w:r>
        <w:rPr>
          <w:rFonts w:ascii="黑体" w:eastAsia="黑体" w:hint="eastAsia"/>
          <w:spacing w:val="-3"/>
          <w:sz w:val="21"/>
        </w:rPr>
        <w:t>常见故障分析及排除</w:t>
      </w:r>
    </w:p>
    <w:p>
      <w:pPr>
        <w:pStyle w:val="BodyText"/>
        <w:spacing w:before="7"/>
        <w:rPr>
          <w:rFonts w:ascii="黑体"/>
          <w:sz w:val="15"/>
        </w:rPr>
      </w:pPr>
    </w:p>
    <w:p>
      <w:pPr>
        <w:pStyle w:val="BodyText"/>
        <w:spacing w:line="278" w:lineRule="auto"/>
        <w:ind w:left="418" w:right="300" w:firstLine="420"/>
      </w:pPr>
      <w:r>
        <w:rPr>
          <w:spacing w:val="-1"/>
        </w:rPr>
        <w:t>当</w:t>
      </w:r>
      <w:r>
        <w:rPr>
          <w:rFonts w:ascii="Times New Roman" w:eastAsia="Times New Roman"/>
          <w:spacing w:val="-1"/>
        </w:rPr>
        <w:t>NMHC-CEMS</w:t>
      </w:r>
      <w:r>
        <w:rPr>
          <w:spacing w:val="-11"/>
        </w:rPr>
        <w:t>发生故障时，运行维护人员应及时处理并参照附录</w:t>
      </w:r>
      <w:r>
        <w:rPr>
          <w:rFonts w:ascii="Times New Roman" w:eastAsia="Times New Roman"/>
        </w:rPr>
        <w:t>A</w:t>
      </w:r>
      <w:r>
        <w:rPr>
          <w:spacing w:val="-3"/>
        </w:rPr>
        <w:t>中的表</w:t>
      </w:r>
      <w:r>
        <w:rPr>
          <w:rFonts w:ascii="Times New Roman" w:eastAsia="Times New Roman"/>
        </w:rPr>
        <w:t>A.4</w:t>
      </w:r>
      <w:r>
        <w:rPr>
          <w:spacing w:val="-72"/>
        </w:rPr>
        <w:t>、</w:t>
      </w:r>
      <w:r>
        <w:rPr>
          <w:rFonts w:ascii="Times New Roman" w:eastAsia="Times New Roman"/>
        </w:rPr>
        <w:t>A.7</w:t>
      </w:r>
      <w:r>
        <w:rPr>
          <w:spacing w:val="-3"/>
        </w:rPr>
        <w:t>表格形式记录， 常见故障分析及排除包括：</w:t>
      </w:r>
    </w:p>
    <w:p>
      <w:pPr>
        <w:pStyle w:val="ListParagraph"/>
        <w:numPr>
          <w:ilvl w:val="0"/>
          <w:numId w:val="3"/>
        </w:numPr>
        <w:tabs>
          <w:tab w:val="left" w:pos="1270"/>
          <w:tab w:val="left" w:pos="1271"/>
        </w:tabs>
        <w:spacing w:before="0" w:after="0" w:line="269" w:lineRule="exact"/>
        <w:ind w:left="1270" w:right="0" w:hanging="428"/>
        <w:jc w:val="left"/>
        <w:rPr>
          <w:sz w:val="21"/>
        </w:rPr>
      </w:pPr>
      <w:r>
        <w:rPr>
          <w:rFonts w:ascii="Times New Roman" w:eastAsia="Times New Roman"/>
          <w:sz w:val="21"/>
        </w:rPr>
        <w:t>NMHC-CEMS</w:t>
      </w:r>
      <w:r>
        <w:rPr>
          <w:rFonts w:ascii="Times New Roman" w:eastAsia="Times New Roman"/>
          <w:spacing w:val="1"/>
          <w:sz w:val="21"/>
        </w:rPr>
        <w:t xml:space="preserve"> </w:t>
      </w:r>
      <w:r>
        <w:rPr>
          <w:spacing w:val="-3"/>
          <w:sz w:val="21"/>
        </w:rPr>
        <w:t>需要停用、拆除或者更换的，应当事先由排污单位向生态环境主管部门备案；</w:t>
      </w:r>
    </w:p>
    <w:p>
      <w:pPr>
        <w:pStyle w:val="ListParagraph"/>
        <w:numPr>
          <w:ilvl w:val="0"/>
          <w:numId w:val="3"/>
        </w:numPr>
        <w:tabs>
          <w:tab w:val="left" w:pos="1270"/>
          <w:tab w:val="left" w:pos="1271"/>
        </w:tabs>
        <w:spacing w:before="43" w:after="0" w:line="240" w:lineRule="auto"/>
        <w:ind w:left="1270" w:right="0" w:hanging="428"/>
        <w:jc w:val="left"/>
        <w:rPr>
          <w:sz w:val="21"/>
        </w:rPr>
      </w:pPr>
      <w:r>
        <w:drawing>
          <wp:anchor distT="0" distB="0" distL="0" distR="0" simplePos="0" relativeHeight="251665408" behindDoc="0" locked="0" layoutInCell="1" allowOverlap="1">
            <wp:simplePos x="0" y="0"/>
            <wp:positionH relativeFrom="page">
              <wp:posOffset>1512112</wp:posOffset>
            </wp:positionH>
            <wp:positionV relativeFrom="paragraph">
              <wp:posOffset>83761</wp:posOffset>
            </wp:positionV>
            <wp:extent cx="4536320" cy="453632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rPr>
          <w:spacing w:val="-6"/>
          <w:sz w:val="21"/>
        </w:rPr>
        <w:t xml:space="preserve">运行维护单位发现故障或接到故障通知，应在 </w:t>
      </w:r>
      <w:r>
        <w:rPr>
          <w:rFonts w:ascii="Times New Roman" w:eastAsia="Times New Roman"/>
          <w:sz w:val="21"/>
        </w:rPr>
        <w:t>4</w:t>
      </w:r>
      <w:r>
        <w:rPr>
          <w:rFonts w:ascii="Times New Roman" w:eastAsia="Times New Roman"/>
          <w:spacing w:val="1"/>
          <w:sz w:val="21"/>
        </w:rPr>
        <w:t xml:space="preserve"> </w:t>
      </w:r>
      <w:r>
        <w:rPr>
          <w:spacing w:val="-3"/>
          <w:sz w:val="21"/>
        </w:rPr>
        <w:t>小时内赶到现场进行处理；</w:t>
      </w:r>
    </w:p>
    <w:p>
      <w:pPr>
        <w:pStyle w:val="ListParagraph"/>
        <w:numPr>
          <w:ilvl w:val="0"/>
          <w:numId w:val="3"/>
        </w:numPr>
        <w:tabs>
          <w:tab w:val="left" w:pos="1270"/>
          <w:tab w:val="left" w:pos="1271"/>
        </w:tabs>
        <w:spacing w:before="44" w:after="0" w:line="278" w:lineRule="auto"/>
        <w:ind w:left="418" w:right="406" w:firstLine="424"/>
        <w:jc w:val="left"/>
        <w:rPr>
          <w:sz w:val="21"/>
        </w:rPr>
      </w:pPr>
      <w:r>
        <w:rPr>
          <w:spacing w:val="-3"/>
          <w:sz w:val="21"/>
        </w:rPr>
        <w:t>对于一些容易诊断的故障，如电磁阀控制失灵、气路堵塞、数据采集仪死机等，可携带工具</w:t>
      </w:r>
      <w:r>
        <w:rPr>
          <w:spacing w:val="-7"/>
          <w:sz w:val="21"/>
        </w:rPr>
        <w:t xml:space="preserve">或者备件到现场进行针对性维修，此类故障维修时间不应超过 </w:t>
      </w:r>
      <w:r>
        <w:rPr>
          <w:rFonts w:ascii="Times New Roman" w:eastAsia="Times New Roman"/>
          <w:sz w:val="21"/>
        </w:rPr>
        <w:t>8</w:t>
      </w:r>
      <w:r>
        <w:rPr>
          <w:rFonts w:ascii="Times New Roman" w:eastAsia="Times New Roman"/>
          <w:spacing w:val="21"/>
          <w:sz w:val="21"/>
        </w:rPr>
        <w:t xml:space="preserve"> </w:t>
      </w:r>
      <w:r>
        <w:rPr>
          <w:spacing w:val="-10"/>
          <w:sz w:val="21"/>
        </w:rPr>
        <w:t>小时；不易诊断和维修的仪器故障，超</w:t>
      </w:r>
      <w:r>
        <w:rPr>
          <w:spacing w:val="-26"/>
          <w:sz w:val="21"/>
        </w:rPr>
        <w:t xml:space="preserve">过 </w:t>
      </w:r>
      <w:r>
        <w:rPr>
          <w:rFonts w:ascii="Times New Roman" w:eastAsia="Times New Roman"/>
          <w:sz w:val="21"/>
        </w:rPr>
        <w:t>24</w:t>
      </w:r>
      <w:r>
        <w:rPr>
          <w:rFonts w:ascii="Times New Roman" w:eastAsia="Times New Roman"/>
          <w:spacing w:val="8"/>
          <w:sz w:val="21"/>
        </w:rPr>
        <w:t xml:space="preserve"> </w:t>
      </w:r>
      <w:r>
        <w:rPr>
          <w:spacing w:val="-10"/>
          <w:sz w:val="21"/>
        </w:rPr>
        <w:t xml:space="preserve">小时不能修复的，应启用备用仪器或开展人工监测，采用人工监测的频次不低于 </w:t>
      </w:r>
      <w:r>
        <w:rPr>
          <w:rFonts w:ascii="Times New Roman" w:eastAsia="Times New Roman"/>
          <w:sz w:val="21"/>
        </w:rPr>
        <w:t>4</w:t>
      </w:r>
      <w:r>
        <w:rPr>
          <w:rFonts w:ascii="Times New Roman" w:eastAsia="Times New Roman"/>
          <w:spacing w:val="8"/>
          <w:sz w:val="21"/>
        </w:rPr>
        <w:t xml:space="preserve"> </w:t>
      </w:r>
      <w:r>
        <w:rPr>
          <w:sz w:val="21"/>
        </w:rPr>
        <w:t>次</w:t>
      </w:r>
      <w:r>
        <w:rPr>
          <w:spacing w:val="-3"/>
          <w:sz w:val="21"/>
        </w:rPr>
        <w:t>/</w:t>
      </w:r>
      <w:r>
        <w:rPr>
          <w:spacing w:val="-8"/>
          <w:sz w:val="21"/>
        </w:rPr>
        <w:t>天，间隔不</w:t>
      </w:r>
      <w:r>
        <w:rPr>
          <w:spacing w:val="-24"/>
          <w:sz w:val="21"/>
        </w:rPr>
        <w:t xml:space="preserve">超过 </w:t>
      </w:r>
      <w:r>
        <w:rPr>
          <w:rFonts w:ascii="Times New Roman" w:eastAsia="Times New Roman"/>
          <w:sz w:val="21"/>
        </w:rPr>
        <w:t>6</w:t>
      </w:r>
      <w:r>
        <w:rPr>
          <w:rFonts w:ascii="Times New Roman" w:eastAsia="Times New Roman"/>
          <w:spacing w:val="-3"/>
          <w:sz w:val="21"/>
        </w:rPr>
        <w:t xml:space="preserve"> </w:t>
      </w:r>
      <w:r>
        <w:rPr>
          <w:spacing w:val="-10"/>
          <w:sz w:val="21"/>
        </w:rPr>
        <w:t xml:space="preserve">小时，并保证在 </w:t>
      </w:r>
      <w:r>
        <w:rPr>
          <w:rFonts w:ascii="Times New Roman" w:eastAsia="Times New Roman"/>
          <w:sz w:val="21"/>
        </w:rPr>
        <w:t>5</w:t>
      </w:r>
      <w:r>
        <w:rPr>
          <w:rFonts w:ascii="Times New Roman" w:eastAsia="Times New Roman"/>
          <w:spacing w:val="-3"/>
          <w:sz w:val="21"/>
        </w:rPr>
        <w:t xml:space="preserve"> </w:t>
      </w:r>
      <w:r>
        <w:rPr>
          <w:spacing w:val="-3"/>
          <w:sz w:val="21"/>
        </w:rPr>
        <w:t>个工作日内排除故障；</w:t>
      </w:r>
    </w:p>
    <w:p>
      <w:pPr>
        <w:pStyle w:val="ListParagraph"/>
        <w:numPr>
          <w:ilvl w:val="0"/>
          <w:numId w:val="3"/>
        </w:numPr>
        <w:tabs>
          <w:tab w:val="left" w:pos="1270"/>
          <w:tab w:val="left" w:pos="1271"/>
        </w:tabs>
        <w:spacing w:before="0" w:after="0" w:line="278" w:lineRule="auto"/>
        <w:ind w:left="418" w:right="409" w:firstLine="424"/>
        <w:jc w:val="left"/>
        <w:rPr>
          <w:sz w:val="21"/>
        </w:rPr>
      </w:pPr>
      <w:r>
        <w:rPr>
          <w:spacing w:val="-3"/>
          <w:sz w:val="21"/>
        </w:rPr>
        <w:t>仪器经过维修后，在正常使用和运行之前应确保维修内容全部完成，通过仪器性能检测，并</w:t>
      </w:r>
      <w:r>
        <w:rPr>
          <w:spacing w:val="-8"/>
          <w:sz w:val="21"/>
        </w:rPr>
        <w:t xml:space="preserve">按本文件表 </w:t>
      </w:r>
      <w:r>
        <w:rPr>
          <w:sz w:val="21"/>
        </w:rPr>
        <w:t>1</w:t>
      </w:r>
      <w:r>
        <w:rPr>
          <w:spacing w:val="-13"/>
          <w:sz w:val="21"/>
        </w:rPr>
        <w:t xml:space="preserve"> 要求对仪器进行校准检查。若监测仪器进行了更换，在正常使用和运行之前应对系统进行</w:t>
      </w:r>
      <w:r>
        <w:rPr>
          <w:spacing w:val="-6"/>
          <w:sz w:val="21"/>
        </w:rPr>
        <w:t>重新调试和验收；</w:t>
      </w:r>
    </w:p>
    <w:p>
      <w:pPr>
        <w:pStyle w:val="ListParagraph"/>
        <w:numPr>
          <w:ilvl w:val="0"/>
          <w:numId w:val="3"/>
        </w:numPr>
        <w:tabs>
          <w:tab w:val="left" w:pos="1270"/>
          <w:tab w:val="left" w:pos="1271"/>
        </w:tabs>
        <w:spacing w:before="0" w:after="0" w:line="269" w:lineRule="exact"/>
        <w:ind w:left="1270" w:right="0" w:hanging="428"/>
        <w:jc w:val="left"/>
        <w:rPr>
          <w:sz w:val="21"/>
        </w:rPr>
      </w:pPr>
      <w:r>
        <w:rPr>
          <w:spacing w:val="-6"/>
          <w:sz w:val="21"/>
        </w:rPr>
        <w:t xml:space="preserve">若数据采集传输仪发生故障，应在 </w:t>
      </w:r>
      <w:r>
        <w:rPr>
          <w:rFonts w:ascii="Times New Roman" w:eastAsia="Times New Roman"/>
          <w:sz w:val="21"/>
        </w:rPr>
        <w:t>12</w:t>
      </w:r>
      <w:r>
        <w:rPr>
          <w:rFonts w:ascii="Times New Roman" w:eastAsia="Times New Roman"/>
          <w:spacing w:val="2"/>
          <w:sz w:val="21"/>
        </w:rPr>
        <w:t xml:space="preserve"> </w:t>
      </w:r>
      <w:r>
        <w:rPr>
          <w:spacing w:val="-3"/>
          <w:sz w:val="21"/>
        </w:rPr>
        <w:t>小时内修复或更换，并保证已采集的数据不丢失；</w:t>
      </w:r>
    </w:p>
    <w:p>
      <w:pPr>
        <w:pStyle w:val="ListParagraph"/>
        <w:numPr>
          <w:ilvl w:val="0"/>
          <w:numId w:val="3"/>
        </w:numPr>
        <w:tabs>
          <w:tab w:val="left" w:pos="1270"/>
          <w:tab w:val="left" w:pos="1271"/>
        </w:tabs>
        <w:spacing w:before="42" w:after="0" w:line="240" w:lineRule="auto"/>
        <w:ind w:left="1270" w:right="0" w:hanging="428"/>
        <w:jc w:val="left"/>
        <w:rPr>
          <w:sz w:val="21"/>
        </w:rPr>
      </w:pPr>
      <w:r>
        <w:rPr>
          <w:spacing w:val="-3"/>
          <w:sz w:val="21"/>
        </w:rPr>
        <w:t>监测设备因故障不能正常采集、传输数据时，应及时向生态环境主管部门报告，缺失数据按</w:t>
      </w:r>
    </w:p>
    <w:p>
      <w:pPr>
        <w:pStyle w:val="BodyText"/>
        <w:spacing w:before="43"/>
        <w:ind w:left="418"/>
      </w:pPr>
      <w:r>
        <w:rPr>
          <w:rFonts w:ascii="Times New Roman" w:eastAsia="Times New Roman"/>
        </w:rPr>
        <w:t xml:space="preserve">7.2 </w:t>
      </w:r>
      <w:r>
        <w:t>进行处理；</w:t>
      </w:r>
    </w:p>
    <w:p>
      <w:pPr>
        <w:pStyle w:val="ListParagraph"/>
        <w:numPr>
          <w:ilvl w:val="0"/>
          <w:numId w:val="3"/>
        </w:numPr>
        <w:tabs>
          <w:tab w:val="left" w:pos="1271"/>
        </w:tabs>
        <w:spacing w:before="43" w:after="0" w:line="278" w:lineRule="auto"/>
        <w:ind w:left="418" w:right="408" w:firstLine="424"/>
        <w:jc w:val="both"/>
        <w:rPr>
          <w:sz w:val="21"/>
        </w:rPr>
      </w:pPr>
      <w:r>
        <w:rPr>
          <w:spacing w:val="-8"/>
          <w:sz w:val="21"/>
        </w:rPr>
        <w:t xml:space="preserve">因污染源停运而停运 </w:t>
      </w:r>
      <w:r>
        <w:rPr>
          <w:rFonts w:ascii="Times New Roman" w:eastAsia="Times New Roman"/>
          <w:sz w:val="21"/>
        </w:rPr>
        <w:t>NMHC-CEMS</w:t>
      </w:r>
      <w:r>
        <w:rPr>
          <w:rFonts w:ascii="Times New Roman" w:eastAsia="Times New Roman"/>
          <w:spacing w:val="3"/>
          <w:sz w:val="21"/>
        </w:rPr>
        <w:t xml:space="preserve"> </w:t>
      </w:r>
      <w:r>
        <w:rPr>
          <w:spacing w:val="-7"/>
          <w:sz w:val="21"/>
        </w:rPr>
        <w:t xml:space="preserve">的，应在污染源启运前至少 </w:t>
      </w:r>
      <w:r>
        <w:rPr>
          <w:rFonts w:ascii="Times New Roman" w:eastAsia="Times New Roman"/>
          <w:sz w:val="21"/>
        </w:rPr>
        <w:t>3</w:t>
      </w:r>
      <w:r>
        <w:rPr>
          <w:rFonts w:ascii="Times New Roman" w:eastAsia="Times New Roman"/>
          <w:spacing w:val="6"/>
          <w:sz w:val="21"/>
        </w:rPr>
        <w:t xml:space="preserve"> </w:t>
      </w:r>
      <w:r>
        <w:rPr>
          <w:spacing w:val="-14"/>
          <w:sz w:val="21"/>
        </w:rPr>
        <w:t xml:space="preserve">天启运 </w:t>
      </w:r>
      <w:r>
        <w:rPr>
          <w:rFonts w:ascii="Times New Roman" w:eastAsia="Times New Roman"/>
          <w:sz w:val="21"/>
        </w:rPr>
        <w:t>CEMS</w:t>
      </w:r>
      <w:r>
        <w:rPr>
          <w:spacing w:val="-3"/>
          <w:sz w:val="21"/>
        </w:rPr>
        <w:t>，并进行检查维护、校准；</w:t>
      </w:r>
    </w:p>
    <w:p>
      <w:pPr>
        <w:pStyle w:val="ListParagraph"/>
        <w:numPr>
          <w:ilvl w:val="0"/>
          <w:numId w:val="3"/>
        </w:numPr>
        <w:tabs>
          <w:tab w:val="left" w:pos="1271"/>
        </w:tabs>
        <w:spacing w:before="0" w:after="0" w:line="278" w:lineRule="auto"/>
        <w:ind w:left="418" w:right="408" w:firstLine="424"/>
        <w:jc w:val="both"/>
        <w:rPr>
          <w:sz w:val="21"/>
        </w:rPr>
      </w:pPr>
      <w:r>
        <w:rPr>
          <w:rFonts w:ascii="Times New Roman" w:eastAsia="Times New Roman"/>
          <w:sz w:val="21"/>
        </w:rPr>
        <w:t>NMHC-CEMS</w:t>
      </w:r>
      <w:r>
        <w:rPr>
          <w:rFonts w:ascii="Times New Roman" w:eastAsia="Times New Roman"/>
          <w:spacing w:val="16"/>
          <w:sz w:val="21"/>
        </w:rPr>
        <w:t xml:space="preserve"> </w:t>
      </w:r>
      <w:r>
        <w:rPr>
          <w:spacing w:val="-3"/>
          <w:sz w:val="21"/>
        </w:rPr>
        <w:t>设备无法正常运行或无法满足运行维护质量控制指标要求且无法修复的，排污</w:t>
      </w:r>
      <w:r>
        <w:rPr>
          <w:spacing w:val="-4"/>
          <w:sz w:val="21"/>
        </w:rPr>
        <w:t xml:space="preserve">单位应当按照相关要求完成设备更新，设备更新期间，应按要求开展人工监测，频次不低于 </w:t>
      </w:r>
      <w:r>
        <w:rPr>
          <w:rFonts w:ascii="Times New Roman" w:eastAsia="Times New Roman"/>
          <w:sz w:val="21"/>
        </w:rPr>
        <w:t>4</w:t>
      </w:r>
      <w:r>
        <w:rPr>
          <w:rFonts w:ascii="Times New Roman" w:eastAsia="Times New Roman"/>
          <w:spacing w:val="24"/>
          <w:sz w:val="21"/>
        </w:rPr>
        <w:t xml:space="preserve"> </w:t>
      </w:r>
      <w:r>
        <w:rPr>
          <w:sz w:val="21"/>
        </w:rPr>
        <w:t>次</w:t>
      </w:r>
      <w:r>
        <w:rPr>
          <w:spacing w:val="-3"/>
          <w:sz w:val="21"/>
        </w:rPr>
        <w:t xml:space="preserve">/天， </w:t>
      </w:r>
      <w:r>
        <w:rPr>
          <w:spacing w:val="-11"/>
          <w:sz w:val="21"/>
        </w:rPr>
        <w:t xml:space="preserve">间隔不超过 </w:t>
      </w:r>
      <w:r>
        <w:rPr>
          <w:rFonts w:ascii="Times New Roman" w:eastAsia="Times New Roman"/>
          <w:sz w:val="21"/>
        </w:rPr>
        <w:t xml:space="preserve">6 </w:t>
      </w:r>
      <w:r>
        <w:rPr>
          <w:spacing w:val="-2"/>
          <w:sz w:val="21"/>
        </w:rPr>
        <w:t>小时。</w:t>
      </w:r>
    </w:p>
    <w:p>
      <w:pPr>
        <w:pStyle w:val="BodyText"/>
        <w:spacing w:before="6"/>
        <w:rPr>
          <w:sz w:val="24"/>
        </w:rPr>
      </w:pPr>
    </w:p>
    <w:p>
      <w:pPr>
        <w:pStyle w:val="ListParagraph"/>
        <w:numPr>
          <w:ilvl w:val="0"/>
          <w:numId w:val="7"/>
        </w:numPr>
        <w:tabs>
          <w:tab w:val="left" w:pos="733"/>
          <w:tab w:val="left" w:pos="734"/>
        </w:tabs>
        <w:spacing w:before="1" w:after="0" w:line="240" w:lineRule="auto"/>
        <w:ind w:left="733" w:right="0" w:hanging="316"/>
        <w:jc w:val="left"/>
        <w:rPr>
          <w:rFonts w:ascii="黑体" w:eastAsia="黑体" w:hint="eastAsia"/>
          <w:sz w:val="21"/>
        </w:rPr>
      </w:pPr>
      <w:bookmarkStart w:id="6" w:name="_bookmark6"/>
      <w:bookmarkEnd w:id="6"/>
      <w:r>
        <w:rPr>
          <w:rFonts w:ascii="黑体" w:eastAsia="黑体" w:hint="eastAsia"/>
          <w:spacing w:val="-3"/>
          <w:sz w:val="21"/>
        </w:rPr>
        <w:t>质量保证和质量控制要求</w:t>
      </w:r>
    </w:p>
    <w:p>
      <w:pPr>
        <w:pStyle w:val="BodyText"/>
        <w:spacing w:before="6"/>
        <w:rPr>
          <w:rFonts w:ascii="黑体"/>
          <w:sz w:val="27"/>
        </w:rPr>
      </w:pPr>
    </w:p>
    <w:p>
      <w:pPr>
        <w:pStyle w:val="ListParagraph"/>
        <w:numPr>
          <w:ilvl w:val="1"/>
          <w:numId w:val="7"/>
        </w:numPr>
        <w:tabs>
          <w:tab w:val="left" w:pos="944"/>
          <w:tab w:val="left" w:pos="945"/>
        </w:tabs>
        <w:spacing w:before="0" w:after="0" w:line="240" w:lineRule="auto"/>
        <w:ind w:left="944" w:right="0" w:hanging="527"/>
        <w:jc w:val="left"/>
        <w:rPr>
          <w:rFonts w:ascii="黑体" w:eastAsia="黑体" w:hint="eastAsia"/>
          <w:sz w:val="21"/>
        </w:rPr>
      </w:pPr>
      <w:r>
        <w:rPr>
          <w:rFonts w:ascii="黑体" w:eastAsia="黑体" w:hint="eastAsia"/>
          <w:spacing w:val="-1"/>
          <w:sz w:val="21"/>
        </w:rPr>
        <w:t>基本要求</w:t>
      </w:r>
    </w:p>
    <w:p>
      <w:pPr>
        <w:pStyle w:val="BodyText"/>
        <w:spacing w:before="7"/>
        <w:rPr>
          <w:rFonts w:ascii="黑体"/>
          <w:sz w:val="15"/>
        </w:rPr>
      </w:pPr>
    </w:p>
    <w:p>
      <w:pPr>
        <w:pStyle w:val="ListParagraph"/>
        <w:numPr>
          <w:ilvl w:val="2"/>
          <w:numId w:val="7"/>
        </w:numPr>
        <w:tabs>
          <w:tab w:val="left" w:pos="1154"/>
        </w:tabs>
        <w:spacing w:before="0" w:after="0" w:line="278" w:lineRule="auto"/>
        <w:ind w:left="418" w:right="406" w:firstLine="0"/>
        <w:jc w:val="both"/>
        <w:rPr>
          <w:sz w:val="21"/>
        </w:rPr>
      </w:pPr>
      <w:r>
        <w:rPr>
          <w:spacing w:val="-5"/>
          <w:sz w:val="21"/>
        </w:rPr>
        <w:t xml:space="preserve">日常运行质量保证和质量控制是保障 </w:t>
      </w:r>
      <w:r>
        <w:rPr>
          <w:sz w:val="21"/>
        </w:rPr>
        <w:t>NMHC-CEMS</w:t>
      </w:r>
      <w:r>
        <w:rPr>
          <w:spacing w:val="-7"/>
          <w:sz w:val="21"/>
        </w:rPr>
        <w:t xml:space="preserve"> 正常稳定运行、持续提供有效监测数据的必要</w:t>
      </w:r>
      <w:r>
        <w:rPr>
          <w:spacing w:val="-21"/>
          <w:sz w:val="21"/>
        </w:rPr>
        <w:t>手段，主要通过定期校准、正确度核查、比对监测、质量内部监督等措施，保证仪器出具数据的准确性。</w:t>
      </w:r>
    </w:p>
    <w:p>
      <w:pPr>
        <w:pStyle w:val="ListParagraph"/>
        <w:numPr>
          <w:ilvl w:val="2"/>
          <w:numId w:val="7"/>
        </w:numPr>
        <w:tabs>
          <w:tab w:val="left" w:pos="1154"/>
        </w:tabs>
        <w:spacing w:before="0" w:after="0" w:line="278" w:lineRule="auto"/>
        <w:ind w:left="418" w:right="406" w:firstLine="0"/>
        <w:jc w:val="both"/>
        <w:rPr>
          <w:sz w:val="21"/>
        </w:rPr>
      </w:pPr>
      <w:r>
        <w:rPr>
          <w:spacing w:val="-16"/>
          <w:sz w:val="21"/>
        </w:rPr>
        <w:t xml:space="preserve">当 </w:t>
      </w:r>
      <w:r>
        <w:rPr>
          <w:sz w:val="21"/>
        </w:rPr>
        <w:t>NMHC-CEMS</w:t>
      </w:r>
      <w:r>
        <w:rPr>
          <w:spacing w:val="-7"/>
          <w:sz w:val="21"/>
        </w:rPr>
        <w:t xml:space="preserve"> 不能满足技术指标而失控时，应及时采取纠正措施，并应缩短下一次校准、维护</w:t>
      </w:r>
      <w:r>
        <w:rPr>
          <w:spacing w:val="-5"/>
          <w:sz w:val="21"/>
        </w:rPr>
        <w:t>和正确度核查的间隔时间。</w:t>
      </w:r>
    </w:p>
    <w:p>
      <w:pPr>
        <w:pStyle w:val="ListParagraph"/>
        <w:numPr>
          <w:ilvl w:val="2"/>
          <w:numId w:val="7"/>
        </w:numPr>
        <w:tabs>
          <w:tab w:val="left" w:pos="1154"/>
        </w:tabs>
        <w:spacing w:before="0" w:after="0" w:line="278" w:lineRule="auto"/>
        <w:ind w:left="418" w:right="406" w:firstLine="0"/>
        <w:jc w:val="both"/>
        <w:rPr>
          <w:sz w:val="21"/>
        </w:rPr>
      </w:pPr>
      <w:r>
        <w:rPr>
          <w:sz w:val="21"/>
        </w:rPr>
        <w:t>零点气可使用氮气（纯度≥99.999%）</w:t>
      </w:r>
      <w:r>
        <w:rPr>
          <w:spacing w:val="2"/>
          <w:sz w:val="21"/>
        </w:rPr>
        <w:t xml:space="preserve">或洁净空气，其中碳氢化合物不得高于 </w:t>
      </w:r>
      <w:r>
        <w:rPr>
          <w:sz w:val="21"/>
        </w:rPr>
        <w:t>0.3mg/m</w:t>
      </w:r>
      <w:r>
        <w:rPr>
          <w:rFonts w:ascii="Times New Roman" w:eastAsia="Times New Roman" w:hAnsi="Times New Roman"/>
          <w:sz w:val="21"/>
        </w:rPr>
        <w:t>³</w:t>
      </w:r>
      <w:r>
        <w:rPr>
          <w:spacing w:val="-3"/>
          <w:sz w:val="21"/>
        </w:rPr>
        <w:t>。标准</w:t>
      </w:r>
      <w:r>
        <w:rPr>
          <w:spacing w:val="-6"/>
          <w:sz w:val="21"/>
        </w:rPr>
        <w:t>气应在有效期内使用，不确定度不超过±</w:t>
      </w:r>
      <w:r>
        <w:rPr>
          <w:spacing w:val="-7"/>
          <w:sz w:val="21"/>
        </w:rPr>
        <w:t>2</w:t>
      </w:r>
      <w:r>
        <w:rPr>
          <w:spacing w:val="-6"/>
          <w:sz w:val="21"/>
        </w:rPr>
        <w:t xml:space="preserve">%；量程校准使用浓度在仪器满量程 </w:t>
      </w:r>
      <w:r>
        <w:rPr>
          <w:sz w:val="21"/>
        </w:rPr>
        <w:t>80%～100</w:t>
      </w:r>
      <w:r>
        <w:rPr>
          <w:spacing w:val="-3"/>
          <w:sz w:val="21"/>
        </w:rPr>
        <w:t>%的高浓度标准</w:t>
      </w:r>
      <w:r>
        <w:rPr>
          <w:spacing w:val="-10"/>
          <w:sz w:val="21"/>
        </w:rPr>
        <w:t>气；较低浓度的标准气如不能满足不确定度要求，可以使用满足要求的高浓度标准气采用稀释设备等比</w:t>
      </w:r>
      <w:r>
        <w:rPr>
          <w:spacing w:val="-5"/>
          <w:sz w:val="21"/>
        </w:rPr>
        <w:t>例稀释的方式获得，稀释设备的精密度应在±</w:t>
      </w:r>
      <w:r>
        <w:rPr>
          <w:sz w:val="21"/>
        </w:rPr>
        <w:t>1%</w:t>
      </w:r>
      <w:r>
        <w:rPr>
          <w:spacing w:val="-2"/>
          <w:sz w:val="21"/>
        </w:rPr>
        <w:t>内。</w:t>
      </w:r>
    </w:p>
    <w:p>
      <w:pPr>
        <w:pStyle w:val="ListParagraph"/>
        <w:numPr>
          <w:ilvl w:val="1"/>
          <w:numId w:val="7"/>
        </w:numPr>
        <w:tabs>
          <w:tab w:val="left" w:pos="944"/>
          <w:tab w:val="left" w:pos="945"/>
        </w:tabs>
        <w:spacing w:before="156" w:after="0" w:line="240" w:lineRule="auto"/>
        <w:ind w:left="944" w:right="0" w:hanging="527"/>
        <w:jc w:val="left"/>
        <w:rPr>
          <w:rFonts w:ascii="黑体" w:eastAsia="黑体" w:hint="eastAsia"/>
          <w:sz w:val="21"/>
        </w:rPr>
      </w:pPr>
      <w:r>
        <w:rPr>
          <w:rFonts w:ascii="黑体" w:eastAsia="黑体" w:hint="eastAsia"/>
          <w:spacing w:val="-1"/>
          <w:sz w:val="21"/>
        </w:rPr>
        <w:t>定期校准</w:t>
      </w:r>
    </w:p>
    <w:p>
      <w:pPr>
        <w:pStyle w:val="BodyText"/>
        <w:spacing w:before="6"/>
        <w:rPr>
          <w:rFonts w:ascii="黑体"/>
          <w:sz w:val="15"/>
        </w:rPr>
      </w:pPr>
    </w:p>
    <w:p>
      <w:pPr>
        <w:pStyle w:val="BodyText"/>
        <w:ind w:left="838"/>
      </w:pPr>
      <w:r>
        <w:t>定期校准主要内容包括：</w:t>
      </w:r>
    </w:p>
    <w:p>
      <w:pPr>
        <w:pStyle w:val="ListParagraph"/>
        <w:numPr>
          <w:ilvl w:val="0"/>
          <w:numId w:val="2"/>
        </w:numPr>
        <w:tabs>
          <w:tab w:val="left" w:pos="1270"/>
          <w:tab w:val="left" w:pos="1271"/>
        </w:tabs>
        <w:spacing w:before="43" w:after="0" w:line="278" w:lineRule="auto"/>
        <w:ind w:left="418" w:right="507" w:firstLine="424"/>
        <w:jc w:val="left"/>
        <w:rPr>
          <w:sz w:val="21"/>
        </w:rPr>
      </w:pPr>
      <w:r>
        <w:rPr>
          <w:spacing w:val="-8"/>
          <w:sz w:val="21"/>
        </w:rPr>
        <w:t xml:space="preserve">具有自动校准功能的 </w:t>
      </w:r>
      <w:r>
        <w:rPr>
          <w:rFonts w:ascii="Times New Roman" w:eastAsia="Times New Roman"/>
          <w:sz w:val="21"/>
        </w:rPr>
        <w:t>NMHC</w:t>
      </w:r>
      <w:r>
        <w:rPr>
          <w:rFonts w:ascii="Times New Roman" w:eastAsia="Times New Roman"/>
          <w:spacing w:val="11"/>
          <w:sz w:val="21"/>
        </w:rPr>
        <w:t xml:space="preserve"> </w:t>
      </w:r>
      <w:r>
        <w:rPr>
          <w:spacing w:val="-9"/>
          <w:sz w:val="21"/>
        </w:rPr>
        <w:t xml:space="preserve">监测单元，每 </w:t>
      </w:r>
      <w:r>
        <w:rPr>
          <w:rFonts w:ascii="Times New Roman" w:eastAsia="Times New Roman"/>
          <w:sz w:val="21"/>
        </w:rPr>
        <w:t>24</w:t>
      </w:r>
      <w:r>
        <w:rPr>
          <w:rFonts w:ascii="Times New Roman" w:eastAsia="Times New Roman"/>
          <w:spacing w:val="6"/>
          <w:sz w:val="21"/>
        </w:rPr>
        <w:t xml:space="preserve"> </w:t>
      </w:r>
      <w:r>
        <w:rPr>
          <w:spacing w:val="-3"/>
          <w:sz w:val="21"/>
        </w:rPr>
        <w:t>小时至少自动校准一次仪器零点和量程，同时测试并记录零点漂移和量程漂移；</w:t>
      </w:r>
    </w:p>
    <w:p>
      <w:pPr>
        <w:spacing w:after="0" w:line="278" w:lineRule="auto"/>
        <w:jc w:val="left"/>
        <w:rPr>
          <w:sz w:val="21"/>
        </w:rPr>
        <w:sectPr>
          <w:headerReference w:type="even" r:id="rId30"/>
          <w:headerReference w:type="default" r:id="rId31"/>
          <w:footerReference w:type="even" r:id="rId32"/>
          <w:footerReference w:type="default" r:id="rId33"/>
          <w:pgSz w:w="11910" w:h="16840"/>
          <w:pgMar w:top="1640" w:right="720" w:bottom="1340" w:left="1000" w:header="1448" w:footer="1140"/>
          <w:pgNumType w:start="5"/>
          <w:cols w:space="708"/>
        </w:sectPr>
      </w:pPr>
    </w:p>
    <w:p>
      <w:pPr>
        <w:pStyle w:val="BodyText"/>
        <w:spacing w:before="7"/>
        <w:rPr>
          <w:sz w:val="16"/>
        </w:rPr>
      </w:pPr>
    </w:p>
    <w:p>
      <w:pPr>
        <w:pStyle w:val="ListParagraph"/>
        <w:numPr>
          <w:ilvl w:val="0"/>
          <w:numId w:val="2"/>
        </w:numPr>
        <w:tabs>
          <w:tab w:val="left" w:pos="986"/>
        </w:tabs>
        <w:spacing w:before="79" w:after="0" w:line="278" w:lineRule="auto"/>
        <w:ind w:left="133" w:right="692" w:firstLine="424"/>
        <w:jc w:val="both"/>
        <w:rPr>
          <w:sz w:val="21"/>
        </w:rPr>
      </w:pPr>
      <w:r>
        <w:rPr>
          <w:spacing w:val="3"/>
          <w:sz w:val="21"/>
        </w:rPr>
        <w:t>无自动校准功能的</w:t>
      </w:r>
      <w:r>
        <w:rPr>
          <w:rFonts w:ascii="Times New Roman" w:eastAsia="Times New Roman"/>
          <w:sz w:val="21"/>
        </w:rPr>
        <w:t>NMHC</w:t>
      </w:r>
      <w:r>
        <w:rPr>
          <w:rFonts w:ascii="Times New Roman" w:eastAsia="Times New Roman"/>
          <w:spacing w:val="27"/>
          <w:sz w:val="21"/>
        </w:rPr>
        <w:t xml:space="preserve"> </w:t>
      </w:r>
      <w:r>
        <w:rPr>
          <w:spacing w:val="-3"/>
          <w:sz w:val="21"/>
        </w:rPr>
        <w:t>监测单元，分别采用零点气和高浓度标准气</w:t>
      </w:r>
      <w:r>
        <w:rPr>
          <w:sz w:val="21"/>
        </w:rPr>
        <w:t>（</w:t>
      </w:r>
      <w:r>
        <w:rPr>
          <w:spacing w:val="-3"/>
          <w:sz w:val="21"/>
        </w:rPr>
        <w:t>高浓度标准气浓度值</w:t>
      </w:r>
      <w:r>
        <w:rPr>
          <w:spacing w:val="-7"/>
          <w:sz w:val="21"/>
        </w:rPr>
        <w:t xml:space="preserve">为仪器满量程值的 </w:t>
      </w:r>
      <w:r>
        <w:rPr>
          <w:rFonts w:ascii="Times New Roman" w:eastAsia="Times New Roman"/>
          <w:sz w:val="21"/>
        </w:rPr>
        <w:t>80%</w:t>
      </w:r>
      <w:r>
        <w:rPr>
          <w:sz w:val="21"/>
        </w:rPr>
        <w:t>～</w:t>
      </w:r>
      <w:r>
        <w:rPr>
          <w:rFonts w:ascii="Times New Roman" w:eastAsia="Times New Roman"/>
          <w:sz w:val="21"/>
        </w:rPr>
        <w:t>100%</w:t>
      </w:r>
      <w:r>
        <w:rPr>
          <w:sz w:val="21"/>
        </w:rPr>
        <w:t>），</w:t>
      </w:r>
      <w:r>
        <w:rPr>
          <w:spacing w:val="-16"/>
          <w:sz w:val="21"/>
        </w:rPr>
        <w:t xml:space="preserve">每 </w:t>
      </w:r>
      <w:r>
        <w:rPr>
          <w:rFonts w:ascii="Times New Roman" w:eastAsia="Times New Roman"/>
          <w:sz w:val="21"/>
        </w:rPr>
        <w:t>7</w:t>
      </w:r>
      <w:r>
        <w:rPr>
          <w:rFonts w:ascii="Times New Roman" w:eastAsia="Times New Roman"/>
          <w:spacing w:val="18"/>
          <w:sz w:val="21"/>
        </w:rPr>
        <w:t xml:space="preserve"> </w:t>
      </w:r>
      <w:r>
        <w:rPr>
          <w:spacing w:val="-3"/>
          <w:sz w:val="21"/>
        </w:rPr>
        <w:t>天至少校准一次仪器零点和量程，同时测试并记录零点漂移和量程漂移；</w:t>
      </w:r>
    </w:p>
    <w:p>
      <w:pPr>
        <w:pStyle w:val="ListParagraph"/>
        <w:numPr>
          <w:ilvl w:val="0"/>
          <w:numId w:val="2"/>
        </w:numPr>
        <w:tabs>
          <w:tab w:val="left" w:pos="986"/>
        </w:tabs>
        <w:spacing w:before="0" w:after="0" w:line="278" w:lineRule="auto"/>
        <w:ind w:left="133" w:right="694" w:firstLine="424"/>
        <w:jc w:val="both"/>
        <w:rPr>
          <w:sz w:val="21"/>
        </w:rPr>
      </w:pPr>
      <w:r>
        <w:rPr>
          <w:rFonts w:ascii="Times New Roman" w:eastAsia="Times New Roman"/>
          <w:sz w:val="21"/>
        </w:rPr>
        <w:t>NMHC</w:t>
      </w:r>
      <w:r>
        <w:rPr>
          <w:rFonts w:ascii="Times New Roman" w:eastAsia="Times New Roman"/>
          <w:spacing w:val="-5"/>
          <w:sz w:val="21"/>
        </w:rPr>
        <w:t xml:space="preserve"> </w:t>
      </w:r>
      <w:r>
        <w:rPr>
          <w:spacing w:val="-12"/>
          <w:sz w:val="21"/>
        </w:rPr>
        <w:t xml:space="preserve">监测单元每 </w:t>
      </w:r>
      <w:r>
        <w:rPr>
          <w:rFonts w:ascii="Times New Roman" w:eastAsia="Times New Roman"/>
          <w:sz w:val="21"/>
        </w:rPr>
        <w:t>1</w:t>
      </w:r>
      <w:r>
        <w:rPr>
          <w:rFonts w:ascii="Times New Roman" w:eastAsia="Times New Roman"/>
          <w:spacing w:val="-8"/>
          <w:sz w:val="21"/>
        </w:rPr>
        <w:t xml:space="preserve"> </w:t>
      </w:r>
      <w:r>
        <w:rPr>
          <w:spacing w:val="-13"/>
          <w:sz w:val="21"/>
        </w:rPr>
        <w:t xml:space="preserve">个月至少进行一次分析周期检测，每 </w:t>
      </w:r>
      <w:r>
        <w:rPr>
          <w:rFonts w:ascii="Times New Roman" w:eastAsia="Times New Roman"/>
          <w:sz w:val="21"/>
        </w:rPr>
        <w:t>3</w:t>
      </w:r>
      <w:r>
        <w:rPr>
          <w:rFonts w:ascii="Times New Roman" w:eastAsia="Times New Roman"/>
          <w:spacing w:val="-4"/>
          <w:sz w:val="21"/>
        </w:rPr>
        <w:t xml:space="preserve"> </w:t>
      </w:r>
      <w:r>
        <w:rPr>
          <w:spacing w:val="-3"/>
          <w:sz w:val="21"/>
        </w:rPr>
        <w:t xml:space="preserve">个月至少进行一次全系统的校准， </w:t>
      </w:r>
      <w:r>
        <w:rPr>
          <w:spacing w:val="-8"/>
          <w:sz w:val="21"/>
        </w:rPr>
        <w:t>要求零点气和标准气从监测站房发出，经采样探头末端，后续路径与样品气测量保持一致，进行零点漂</w:t>
      </w:r>
      <w:r>
        <w:rPr>
          <w:spacing w:val="-5"/>
          <w:sz w:val="21"/>
        </w:rPr>
        <w:t>移、量程漂移、示值误差、系统响应时间的检测；</w:t>
      </w:r>
    </w:p>
    <w:p>
      <w:pPr>
        <w:pStyle w:val="ListParagraph"/>
        <w:numPr>
          <w:ilvl w:val="0"/>
          <w:numId w:val="2"/>
        </w:numPr>
        <w:tabs>
          <w:tab w:val="left" w:pos="986"/>
        </w:tabs>
        <w:spacing w:before="0" w:after="0" w:line="278" w:lineRule="auto"/>
        <w:ind w:left="133" w:right="694" w:firstLine="424"/>
        <w:jc w:val="both"/>
        <w:rPr>
          <w:sz w:val="21"/>
        </w:rPr>
      </w:pPr>
      <w:r>
        <w:rPr>
          <w:spacing w:val="-5"/>
          <w:sz w:val="21"/>
        </w:rPr>
        <w:t xml:space="preserve">具有自动校准功能的流速连续监测系统每 </w:t>
      </w:r>
      <w:r>
        <w:rPr>
          <w:rFonts w:ascii="Times New Roman" w:eastAsia="Times New Roman"/>
          <w:sz w:val="21"/>
        </w:rPr>
        <w:t>24</w:t>
      </w:r>
      <w:r>
        <w:rPr>
          <w:rFonts w:ascii="Times New Roman" w:eastAsia="Times New Roman"/>
          <w:spacing w:val="16"/>
          <w:sz w:val="21"/>
        </w:rPr>
        <w:t xml:space="preserve"> </w:t>
      </w:r>
      <w:r>
        <w:rPr>
          <w:spacing w:val="-3"/>
          <w:sz w:val="21"/>
        </w:rPr>
        <w:t>小时至少自动校准一次仪器零点，无自动校准功</w:t>
      </w:r>
      <w:r>
        <w:rPr>
          <w:spacing w:val="-8"/>
          <w:sz w:val="21"/>
        </w:rPr>
        <w:t xml:space="preserve">能的流速连续监测系统每 </w:t>
      </w:r>
      <w:r>
        <w:rPr>
          <w:rFonts w:ascii="Times New Roman" w:eastAsia="Times New Roman"/>
          <w:sz w:val="21"/>
        </w:rPr>
        <w:t>30</w:t>
      </w:r>
      <w:r>
        <w:rPr>
          <w:rFonts w:ascii="Times New Roman" w:eastAsia="Times New Roman"/>
          <w:spacing w:val="1"/>
          <w:sz w:val="21"/>
        </w:rPr>
        <w:t xml:space="preserve"> </w:t>
      </w:r>
      <w:r>
        <w:rPr>
          <w:spacing w:val="-3"/>
          <w:sz w:val="21"/>
        </w:rPr>
        <w:t>天至少校准一次仪器零点，同时测试并记录零点漂移；</w:t>
      </w:r>
    </w:p>
    <w:p>
      <w:pPr>
        <w:pStyle w:val="ListParagraph"/>
        <w:numPr>
          <w:ilvl w:val="0"/>
          <w:numId w:val="2"/>
        </w:numPr>
        <w:tabs>
          <w:tab w:val="left" w:pos="986"/>
        </w:tabs>
        <w:spacing w:before="0" w:after="0" w:line="278" w:lineRule="auto"/>
        <w:ind w:left="985" w:right="692" w:hanging="428"/>
        <w:jc w:val="both"/>
        <w:rPr>
          <w:sz w:val="21"/>
        </w:rPr>
      </w:pPr>
      <w:r>
        <w:rPr>
          <w:spacing w:val="-1"/>
          <w:sz w:val="21"/>
        </w:rPr>
        <w:t xml:space="preserve">氧气连续监测系统每 </w:t>
      </w:r>
      <w:r>
        <w:rPr>
          <w:rFonts w:ascii="Times New Roman" w:eastAsia="Times New Roman"/>
          <w:sz w:val="21"/>
        </w:rPr>
        <w:t>7</w:t>
      </w:r>
      <w:r>
        <w:rPr>
          <w:rFonts w:ascii="Times New Roman" w:eastAsia="Times New Roman"/>
          <w:spacing w:val="16"/>
          <w:sz w:val="21"/>
        </w:rPr>
        <w:t xml:space="preserve"> </w:t>
      </w:r>
      <w:r>
        <w:rPr>
          <w:spacing w:val="-3"/>
          <w:sz w:val="21"/>
        </w:rPr>
        <w:t>天至少校准一次仪器零点和量程，同时测试并记录零点漂移和量程漂移；</w:t>
      </w:r>
    </w:p>
    <w:p>
      <w:pPr>
        <w:pStyle w:val="ListParagraph"/>
        <w:numPr>
          <w:ilvl w:val="0"/>
          <w:numId w:val="2"/>
        </w:numPr>
        <w:tabs>
          <w:tab w:val="left" w:pos="986"/>
        </w:tabs>
        <w:spacing w:before="0" w:after="0" w:line="240" w:lineRule="auto"/>
        <w:ind w:left="985" w:right="0" w:hanging="428"/>
        <w:jc w:val="both"/>
        <w:rPr>
          <w:sz w:val="21"/>
        </w:rPr>
      </w:pPr>
      <w:r>
        <w:rPr>
          <w:spacing w:val="-7"/>
          <w:sz w:val="21"/>
        </w:rPr>
        <w:t xml:space="preserve">校准技术指标应满足本文件表 </w:t>
      </w:r>
      <w:r>
        <w:rPr>
          <w:rFonts w:ascii="Times New Roman" w:eastAsia="Times New Roman"/>
          <w:sz w:val="21"/>
        </w:rPr>
        <w:t>1</w:t>
      </w:r>
      <w:r>
        <w:rPr>
          <w:rFonts w:ascii="Times New Roman" w:eastAsia="Times New Roman"/>
          <w:spacing w:val="-1"/>
          <w:sz w:val="21"/>
        </w:rPr>
        <w:t xml:space="preserve"> </w:t>
      </w:r>
      <w:r>
        <w:rPr>
          <w:spacing w:val="-7"/>
          <w:sz w:val="21"/>
        </w:rPr>
        <w:t xml:space="preserve">要求。定期校准记录参照附录 </w:t>
      </w:r>
      <w:r>
        <w:rPr>
          <w:rFonts w:ascii="Times New Roman" w:eastAsia="Times New Roman"/>
          <w:sz w:val="21"/>
        </w:rPr>
        <w:t>A</w:t>
      </w:r>
      <w:r>
        <w:rPr>
          <w:rFonts w:ascii="Times New Roman" w:eastAsia="Times New Roman"/>
          <w:spacing w:val="4"/>
          <w:sz w:val="21"/>
        </w:rPr>
        <w:t xml:space="preserve"> </w:t>
      </w:r>
      <w:r>
        <w:rPr>
          <w:spacing w:val="15"/>
          <w:sz w:val="21"/>
        </w:rPr>
        <w:t>中的表</w:t>
      </w:r>
      <w:r>
        <w:rPr>
          <w:rFonts w:ascii="Times New Roman" w:eastAsia="Times New Roman"/>
          <w:sz w:val="21"/>
        </w:rPr>
        <w:t xml:space="preserve">A.2 </w:t>
      </w:r>
      <w:r>
        <w:rPr>
          <w:spacing w:val="-2"/>
          <w:sz w:val="21"/>
        </w:rPr>
        <w:t>表格形式记录。</w:t>
      </w:r>
    </w:p>
    <w:p>
      <w:pPr>
        <w:pStyle w:val="BodyText"/>
        <w:spacing w:before="6"/>
        <w:rPr>
          <w:sz w:val="15"/>
        </w:rPr>
      </w:pPr>
    </w:p>
    <w:p>
      <w:pPr>
        <w:pStyle w:val="BodyText"/>
        <w:tabs>
          <w:tab w:val="left" w:pos="525"/>
        </w:tabs>
        <w:ind w:right="563"/>
        <w:jc w:val="center"/>
        <w:rPr>
          <w:rFonts w:ascii="黑体" w:eastAsia="黑体" w:hint="eastAsia"/>
        </w:rPr>
      </w:pPr>
      <w:r>
        <w:rPr>
          <w:rFonts w:ascii="黑体" w:eastAsia="黑体" w:hint="eastAsia"/>
        </w:rPr>
        <w:t>表1</w:t>
        <w:tab/>
        <w:t>NMHC-CEMS</w:t>
      </w:r>
      <w:r>
        <w:rPr>
          <w:rFonts w:ascii="黑体" w:eastAsia="黑体" w:hint="eastAsia"/>
          <w:spacing w:val="-55"/>
        </w:rPr>
        <w:t xml:space="preserve"> </w:t>
      </w:r>
      <w:r>
        <w:rPr>
          <w:rFonts w:ascii="黑体" w:eastAsia="黑体" w:hint="eastAsia"/>
        </w:rPr>
        <w:t>运</w:t>
      </w:r>
      <w:r>
        <w:rPr>
          <w:rFonts w:ascii="黑体" w:eastAsia="黑体" w:hint="eastAsia"/>
          <w:spacing w:val="-3"/>
        </w:rPr>
        <w:t>行</w:t>
      </w:r>
      <w:r>
        <w:rPr>
          <w:rFonts w:ascii="黑体" w:eastAsia="黑体" w:hint="eastAsia"/>
        </w:rPr>
        <w:t>技</w:t>
      </w:r>
      <w:r>
        <w:rPr>
          <w:rFonts w:ascii="黑体" w:eastAsia="黑体" w:hint="eastAsia"/>
          <w:spacing w:val="-3"/>
        </w:rPr>
        <w:t>术</w:t>
      </w:r>
      <w:r>
        <w:rPr>
          <w:rFonts w:ascii="黑体" w:eastAsia="黑体" w:hint="eastAsia"/>
        </w:rPr>
        <w:t>要求</w:t>
      </w:r>
    </w:p>
    <w:p>
      <w:pPr>
        <w:pStyle w:val="BodyText"/>
        <w:spacing w:before="9" w:after="1"/>
        <w:rPr>
          <w:rFonts w:ascii="黑体"/>
          <w:sz w:val="13"/>
        </w:rPr>
      </w:pPr>
    </w:p>
    <w:tbl>
      <w:tblPr>
        <w:tblStyle w:val="TableNormal0"/>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3"/>
        <w:gridCol w:w="708"/>
        <w:gridCol w:w="1985"/>
        <w:gridCol w:w="5679"/>
      </w:tblGrid>
      <w:tr>
        <w:tblPrEx>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13"/>
          <w:jc w:val="left"/>
        </w:trPr>
        <w:tc>
          <w:tcPr>
            <w:tcW w:w="3696" w:type="dxa"/>
            <w:gridSpan w:val="3"/>
            <w:tcBorders>
              <w:right w:val="single" w:sz="4" w:space="0" w:color="000000"/>
            </w:tcBorders>
          </w:tcPr>
          <w:p>
            <w:pPr>
              <w:pStyle w:val="TableParagraph"/>
              <w:spacing w:before="40"/>
              <w:ind w:left="1469" w:right="1451"/>
              <w:jc w:val="center"/>
              <w:rPr>
                <w:sz w:val="18"/>
              </w:rPr>
            </w:pPr>
            <w:r>
              <w:rPr>
                <w:sz w:val="18"/>
              </w:rPr>
              <w:t>检测项目</w:t>
            </w:r>
          </w:p>
        </w:tc>
        <w:tc>
          <w:tcPr>
            <w:tcW w:w="5679" w:type="dxa"/>
            <w:tcBorders>
              <w:left w:val="single" w:sz="4" w:space="0" w:color="000000"/>
            </w:tcBorders>
          </w:tcPr>
          <w:p>
            <w:pPr>
              <w:pStyle w:val="TableParagraph"/>
              <w:spacing w:before="40"/>
              <w:ind w:left="2462" w:right="2442"/>
              <w:jc w:val="center"/>
              <w:rPr>
                <w:sz w:val="18"/>
              </w:rPr>
            </w:pPr>
            <w:r>
              <w:rPr>
                <w:sz w:val="18"/>
              </w:rPr>
              <w:t>技术要求</w:t>
            </w:r>
          </w:p>
        </w:tc>
      </w:tr>
      <w:tr>
        <w:tblPrEx>
          <w:tblW w:w="0" w:type="auto"/>
          <w:jc w:val="left"/>
          <w:tblInd w:w="134" w:type="dxa"/>
          <w:tblLayout w:type="fixed"/>
          <w:tblCellMar>
            <w:top w:w="0" w:type="dxa"/>
            <w:left w:w="0" w:type="dxa"/>
            <w:bottom w:w="0" w:type="dxa"/>
            <w:right w:w="0" w:type="dxa"/>
          </w:tblCellMar>
          <w:tblLook w:val="01E0"/>
        </w:tblPrEx>
        <w:trPr>
          <w:trHeight w:val="479"/>
          <w:jc w:val="left"/>
        </w:trPr>
        <w:tc>
          <w:tcPr>
            <w:tcW w:w="1003" w:type="dxa"/>
            <w:vMerge w:val="restart"/>
            <w:tcBorders>
              <w:bottom w:val="single" w:sz="4" w:space="0" w:color="000000"/>
              <w:right w:val="single" w:sz="4" w:space="0" w:color="000000"/>
            </w:tcBorders>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5"/>
              <w:rPr>
                <w:rFonts w:ascii="黑体"/>
                <w:sz w:val="18"/>
              </w:rPr>
            </w:pPr>
          </w:p>
          <w:p>
            <w:pPr>
              <w:pStyle w:val="TableParagraph"/>
              <w:ind w:left="232"/>
              <w:rPr>
                <w:rFonts w:ascii="Times New Roman"/>
                <w:sz w:val="18"/>
              </w:rPr>
            </w:pPr>
            <w:r>
              <w:rPr>
                <w:rFonts w:ascii="Times New Roman"/>
                <w:sz w:val="18"/>
              </w:rPr>
              <w:t>NMHC</w:t>
            </w:r>
          </w:p>
          <w:p>
            <w:pPr>
              <w:pStyle w:val="TableParagraph"/>
              <w:spacing w:before="94"/>
              <w:ind w:left="143"/>
              <w:rPr>
                <w:sz w:val="18"/>
              </w:rPr>
            </w:pPr>
            <w:r>
              <w:rPr>
                <w:sz w:val="18"/>
              </w:rPr>
              <w:t>监测单元</w:t>
            </w:r>
          </w:p>
        </w:tc>
        <w:tc>
          <w:tcPr>
            <w:tcW w:w="708" w:type="dxa"/>
            <w:vMerge w:val="restart"/>
            <w:tcBorders>
              <w:left w:val="single" w:sz="4" w:space="0" w:color="000000"/>
              <w:bottom w:val="single" w:sz="4" w:space="0" w:color="000000"/>
              <w:right w:val="single" w:sz="4" w:space="0" w:color="000000"/>
            </w:tcBorders>
          </w:tcPr>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spacing w:before="6"/>
              <w:rPr>
                <w:rFonts w:ascii="黑体"/>
                <w:sz w:val="13"/>
              </w:rPr>
            </w:pPr>
          </w:p>
          <w:p>
            <w:pPr>
              <w:pStyle w:val="TableParagraph"/>
              <w:spacing w:line="324" w:lineRule="auto"/>
              <w:ind w:left="177" w:right="67" w:hanging="89"/>
              <w:rPr>
                <w:sz w:val="18"/>
              </w:rPr>
            </w:pPr>
            <w:r>
              <w:rPr>
                <w:sz w:val="18"/>
              </w:rPr>
              <w:t>非甲烷总烃</w:t>
            </w:r>
          </w:p>
        </w:tc>
        <w:tc>
          <w:tcPr>
            <w:tcW w:w="1985" w:type="dxa"/>
            <w:tcBorders>
              <w:left w:val="single" w:sz="4" w:space="0" w:color="000000"/>
              <w:bottom w:val="single" w:sz="4" w:space="0" w:color="000000"/>
              <w:right w:val="single" w:sz="4" w:space="0" w:color="000000"/>
            </w:tcBorders>
          </w:tcPr>
          <w:p>
            <w:pPr>
              <w:pStyle w:val="TableParagraph"/>
              <w:spacing w:before="131"/>
              <w:ind w:left="166" w:right="148"/>
              <w:jc w:val="center"/>
              <w:rPr>
                <w:sz w:val="18"/>
              </w:rPr>
            </w:pPr>
            <w:r>
              <w:rPr>
                <w:sz w:val="18"/>
              </w:rPr>
              <w:t>示值误差</w:t>
            </w:r>
          </w:p>
        </w:tc>
        <w:tc>
          <w:tcPr>
            <w:tcW w:w="5679" w:type="dxa"/>
            <w:tcBorders>
              <w:left w:val="single" w:sz="4" w:space="0" w:color="000000"/>
              <w:bottom w:val="single" w:sz="4" w:space="0" w:color="000000"/>
            </w:tcBorders>
          </w:tcPr>
          <w:p>
            <w:pPr>
              <w:pStyle w:val="TableParagraph"/>
              <w:spacing w:before="2" w:line="240" w:lineRule="atLeast"/>
              <w:ind w:left="48" w:right="83"/>
              <w:rPr>
                <w:sz w:val="18"/>
              </w:rPr>
            </w:pPr>
            <w:r>
              <w:rPr>
                <w:sz w:val="18"/>
              </w:rPr>
              <w:t>当量程＞</w:t>
            </w:r>
            <w:r>
              <w:rPr>
                <w:rFonts w:ascii="Times New Roman" w:eastAsia="Times New Roman" w:hAnsi="Times New Roman"/>
                <w:sz w:val="18"/>
              </w:rPr>
              <w:t>100 mg/m³</w:t>
            </w:r>
            <w:r>
              <w:rPr>
                <w:sz w:val="18"/>
              </w:rPr>
              <w:t>时，示值误差在±</w:t>
            </w:r>
            <w:r>
              <w:rPr>
                <w:rFonts w:ascii="Times New Roman" w:eastAsia="Times New Roman" w:hAnsi="Times New Roman"/>
                <w:sz w:val="18"/>
              </w:rPr>
              <w:t>5%</w:t>
            </w:r>
            <w:r>
              <w:rPr>
                <w:sz w:val="18"/>
              </w:rPr>
              <w:t>内（相对于标准气标称值）； 当量程≤</w:t>
            </w:r>
            <w:r>
              <w:rPr>
                <w:rFonts w:ascii="Times New Roman" w:eastAsia="Times New Roman" w:hAnsi="Times New Roman"/>
                <w:sz w:val="18"/>
              </w:rPr>
              <w:t>100 mg/m³</w:t>
            </w:r>
            <w:r>
              <w:rPr>
                <w:sz w:val="18"/>
              </w:rPr>
              <w:t>时，示值误差在±</w:t>
            </w:r>
            <w:r>
              <w:rPr>
                <w:rFonts w:ascii="Times New Roman" w:eastAsia="Times New Roman" w:hAnsi="Times New Roman"/>
                <w:sz w:val="18"/>
              </w:rPr>
              <w:t xml:space="preserve">2.5% F.S </w:t>
            </w:r>
            <w:r>
              <w:rPr>
                <w:rFonts w:ascii="Times New Roman" w:eastAsia="Times New Roman" w:hAnsi="Times New Roman"/>
                <w:sz w:val="18"/>
                <w:vertAlign w:val="superscript"/>
              </w:rPr>
              <w:t>a</w:t>
            </w:r>
            <w:r>
              <w:rPr>
                <w:sz w:val="18"/>
                <w:vertAlign w:val="baseline"/>
              </w:rPr>
              <w:t>内。</w:t>
            </w:r>
          </w:p>
        </w:tc>
      </w:tr>
      <w:tr>
        <w:tblPrEx>
          <w:tblW w:w="0" w:type="auto"/>
          <w:jc w:val="left"/>
          <w:tblInd w:w="134" w:type="dxa"/>
          <w:tblLayout w:type="fixed"/>
          <w:tblCellMar>
            <w:top w:w="0" w:type="dxa"/>
            <w:left w:w="0" w:type="dxa"/>
            <w:bottom w:w="0" w:type="dxa"/>
            <w:right w:w="0" w:type="dxa"/>
          </w:tblCellMar>
          <w:tblLook w:val="01E0"/>
        </w:tblPrEx>
        <w:trPr>
          <w:trHeight w:val="308"/>
          <w:jc w:val="left"/>
        </w:trPr>
        <w:tc>
          <w:tcPr>
            <w:tcW w:w="1003" w:type="dxa"/>
            <w:vMerge/>
            <w:tcBorders>
              <w:top w:val="nil"/>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35"/>
              <w:ind w:left="167" w:right="145"/>
              <w:jc w:val="center"/>
              <w:rPr>
                <w:sz w:val="18"/>
              </w:rPr>
            </w:pPr>
            <w:r>
              <w:rPr>
                <w:rFonts w:ascii="Times New Roman" w:eastAsia="Times New Roman"/>
                <w:sz w:val="18"/>
              </w:rPr>
              <w:t>24</w:t>
            </w:r>
            <w:r>
              <w:rPr>
                <w:sz w:val="18"/>
              </w:rPr>
              <w:t>小时零点漂移</w:t>
            </w:r>
          </w:p>
        </w:tc>
        <w:tc>
          <w:tcPr>
            <w:tcW w:w="5679" w:type="dxa"/>
            <w:tcBorders>
              <w:top w:val="single" w:sz="4" w:space="0" w:color="000000"/>
              <w:left w:val="single" w:sz="4" w:space="0" w:color="000000"/>
              <w:bottom w:val="single" w:sz="4" w:space="0" w:color="000000"/>
            </w:tcBorders>
          </w:tcPr>
          <w:p>
            <w:pPr>
              <w:pStyle w:val="TableParagraph"/>
              <w:spacing w:before="35"/>
              <w:ind w:left="48"/>
              <w:rPr>
                <w:sz w:val="18"/>
              </w:rPr>
            </w:pPr>
            <w:r>
              <w:rPr>
                <w:sz w:val="18"/>
              </w:rPr>
              <w:t>在±</w:t>
            </w:r>
            <w:r>
              <w:rPr>
                <w:rFonts w:ascii="Times New Roman" w:eastAsia="Times New Roman" w:hAnsi="Times New Roman"/>
                <w:sz w:val="18"/>
              </w:rPr>
              <w:t xml:space="preserve">3%F.S. </w:t>
            </w:r>
            <w:r>
              <w:rPr>
                <w:rFonts w:ascii="Times New Roman" w:eastAsia="Times New Roman" w:hAnsi="Times New Roman"/>
                <w:sz w:val="18"/>
                <w:vertAlign w:val="superscript"/>
              </w:rPr>
              <w:t>a</w:t>
            </w:r>
            <w:r>
              <w:rPr>
                <w:sz w:val="18"/>
                <w:vertAlign w:val="baseline"/>
              </w:rPr>
              <w:t>内。</w:t>
            </w:r>
          </w:p>
        </w:tc>
      </w:tr>
      <w:tr>
        <w:tblPrEx>
          <w:tblW w:w="0" w:type="auto"/>
          <w:jc w:val="left"/>
          <w:tblInd w:w="134" w:type="dxa"/>
          <w:tblLayout w:type="fixed"/>
          <w:tblCellMar>
            <w:top w:w="0" w:type="dxa"/>
            <w:left w:w="0" w:type="dxa"/>
            <w:bottom w:w="0" w:type="dxa"/>
            <w:right w:w="0" w:type="dxa"/>
          </w:tblCellMar>
          <w:tblLook w:val="01E0"/>
        </w:tblPrEx>
        <w:trPr>
          <w:trHeight w:val="311"/>
          <w:jc w:val="left"/>
        </w:trPr>
        <w:tc>
          <w:tcPr>
            <w:tcW w:w="1003" w:type="dxa"/>
            <w:vMerge/>
            <w:tcBorders>
              <w:top w:val="nil"/>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38"/>
              <w:ind w:left="167" w:right="145"/>
              <w:jc w:val="center"/>
              <w:rPr>
                <w:sz w:val="18"/>
              </w:rPr>
            </w:pPr>
            <w:r>
              <w:rPr>
                <w:rFonts w:ascii="Times New Roman" w:eastAsia="Times New Roman"/>
                <w:sz w:val="18"/>
              </w:rPr>
              <w:t>24</w:t>
            </w:r>
            <w:r>
              <w:rPr>
                <w:sz w:val="18"/>
              </w:rPr>
              <w:t>小时量程漂移</w:t>
            </w:r>
          </w:p>
        </w:tc>
        <w:tc>
          <w:tcPr>
            <w:tcW w:w="5679" w:type="dxa"/>
            <w:tcBorders>
              <w:top w:val="single" w:sz="4" w:space="0" w:color="000000"/>
              <w:left w:val="single" w:sz="4" w:space="0" w:color="000000"/>
              <w:bottom w:val="single" w:sz="4" w:space="0" w:color="000000"/>
            </w:tcBorders>
          </w:tcPr>
          <w:p>
            <w:pPr>
              <w:pStyle w:val="TableParagraph"/>
              <w:spacing w:before="38"/>
              <w:ind w:left="48"/>
              <w:rPr>
                <w:sz w:val="18"/>
              </w:rPr>
            </w:pPr>
            <w:r>
              <w:rPr>
                <w:sz w:val="18"/>
              </w:rPr>
              <w:t>在±</w:t>
            </w:r>
            <w:r>
              <w:rPr>
                <w:rFonts w:ascii="Times New Roman" w:eastAsia="Times New Roman" w:hAnsi="Times New Roman"/>
                <w:sz w:val="18"/>
              </w:rPr>
              <w:t xml:space="preserve">3%F.S. </w:t>
            </w:r>
            <w:r>
              <w:rPr>
                <w:rFonts w:ascii="Times New Roman" w:eastAsia="Times New Roman" w:hAnsi="Times New Roman"/>
                <w:sz w:val="18"/>
                <w:vertAlign w:val="superscript"/>
              </w:rPr>
              <w:t>a</w:t>
            </w:r>
            <w:r>
              <w:rPr>
                <w:sz w:val="18"/>
                <w:vertAlign w:val="baseline"/>
              </w:rPr>
              <w:t>内。</w:t>
            </w:r>
          </w:p>
        </w:tc>
      </w:tr>
      <w:tr>
        <w:tblPrEx>
          <w:tblW w:w="0" w:type="auto"/>
          <w:jc w:val="left"/>
          <w:tblInd w:w="134" w:type="dxa"/>
          <w:tblLayout w:type="fixed"/>
          <w:tblCellMar>
            <w:top w:w="0" w:type="dxa"/>
            <w:left w:w="0" w:type="dxa"/>
            <w:bottom w:w="0" w:type="dxa"/>
            <w:right w:w="0" w:type="dxa"/>
          </w:tblCellMar>
          <w:tblLook w:val="01E0"/>
        </w:tblPrEx>
        <w:trPr>
          <w:trHeight w:val="311"/>
          <w:jc w:val="left"/>
        </w:trPr>
        <w:tc>
          <w:tcPr>
            <w:tcW w:w="1003" w:type="dxa"/>
            <w:vMerge/>
            <w:tcBorders>
              <w:top w:val="nil"/>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38"/>
              <w:ind w:left="166" w:right="148"/>
              <w:jc w:val="center"/>
              <w:rPr>
                <w:sz w:val="18"/>
              </w:rPr>
            </w:pPr>
            <w:r>
              <w:rPr>
                <w:sz w:val="18"/>
              </w:rPr>
              <w:t>分析周期</w:t>
            </w:r>
          </w:p>
        </w:tc>
        <w:tc>
          <w:tcPr>
            <w:tcW w:w="5679" w:type="dxa"/>
            <w:tcBorders>
              <w:top w:val="single" w:sz="4" w:space="0" w:color="000000"/>
              <w:left w:val="single" w:sz="4" w:space="0" w:color="000000"/>
              <w:bottom w:val="single" w:sz="4" w:space="0" w:color="000000"/>
            </w:tcBorders>
          </w:tcPr>
          <w:p>
            <w:pPr>
              <w:pStyle w:val="TableParagraph"/>
              <w:spacing w:before="38"/>
              <w:ind w:left="48"/>
              <w:rPr>
                <w:rFonts w:ascii="Times New Roman" w:hAnsi="Times New Roman"/>
                <w:sz w:val="18"/>
              </w:rPr>
            </w:pPr>
            <w:r>
              <w:rPr>
                <w:sz w:val="18"/>
              </w:rPr>
              <w:t>≤</w:t>
            </w:r>
            <w:r>
              <w:rPr>
                <w:rFonts w:ascii="Times New Roman" w:hAnsi="Times New Roman"/>
                <w:sz w:val="18"/>
              </w:rPr>
              <w:t>3min</w:t>
            </w:r>
          </w:p>
        </w:tc>
      </w:tr>
      <w:tr>
        <w:tblPrEx>
          <w:tblW w:w="0" w:type="auto"/>
          <w:jc w:val="left"/>
          <w:tblInd w:w="134" w:type="dxa"/>
          <w:tblLayout w:type="fixed"/>
          <w:tblCellMar>
            <w:top w:w="0" w:type="dxa"/>
            <w:left w:w="0" w:type="dxa"/>
            <w:bottom w:w="0" w:type="dxa"/>
            <w:right w:w="0" w:type="dxa"/>
          </w:tblCellMar>
          <w:tblLook w:val="01E0"/>
        </w:tblPrEx>
        <w:trPr>
          <w:trHeight w:val="313"/>
          <w:jc w:val="left"/>
        </w:trPr>
        <w:tc>
          <w:tcPr>
            <w:tcW w:w="1003" w:type="dxa"/>
            <w:vMerge/>
            <w:tcBorders>
              <w:top w:val="nil"/>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40"/>
              <w:ind w:left="166" w:right="148"/>
              <w:jc w:val="center"/>
              <w:rPr>
                <w:sz w:val="18"/>
              </w:rPr>
            </w:pPr>
            <w:r>
              <w:rPr>
                <w:sz w:val="18"/>
              </w:rPr>
              <w:t>系统响应时间</w:t>
            </w:r>
          </w:p>
        </w:tc>
        <w:tc>
          <w:tcPr>
            <w:tcW w:w="5679" w:type="dxa"/>
            <w:tcBorders>
              <w:top w:val="single" w:sz="4" w:space="0" w:color="000000"/>
              <w:left w:val="single" w:sz="4" w:space="0" w:color="000000"/>
              <w:bottom w:val="single" w:sz="4" w:space="0" w:color="000000"/>
            </w:tcBorders>
          </w:tcPr>
          <w:p>
            <w:pPr>
              <w:pStyle w:val="TableParagraph"/>
              <w:spacing w:before="40"/>
              <w:ind w:left="48"/>
              <w:rPr>
                <w:rFonts w:ascii="Times New Roman" w:hAnsi="Times New Roman"/>
                <w:sz w:val="18"/>
              </w:rPr>
            </w:pPr>
            <w:r>
              <w:rPr>
                <w:sz w:val="18"/>
              </w:rPr>
              <w:t>≤</w:t>
            </w:r>
            <w:r>
              <w:rPr>
                <w:rFonts w:ascii="Times New Roman" w:hAnsi="Times New Roman"/>
                <w:sz w:val="18"/>
              </w:rPr>
              <w:t>300s</w:t>
            </w:r>
          </w:p>
        </w:tc>
      </w:tr>
      <w:tr>
        <w:tblPrEx>
          <w:tblW w:w="0" w:type="auto"/>
          <w:jc w:val="left"/>
          <w:tblInd w:w="134" w:type="dxa"/>
          <w:tblLayout w:type="fixed"/>
          <w:tblCellMar>
            <w:top w:w="0" w:type="dxa"/>
            <w:left w:w="0" w:type="dxa"/>
            <w:bottom w:w="0" w:type="dxa"/>
            <w:right w:w="0" w:type="dxa"/>
          </w:tblCellMar>
          <w:tblLook w:val="01E0"/>
        </w:tblPrEx>
        <w:trPr>
          <w:trHeight w:val="2808"/>
          <w:jc w:val="left"/>
        </w:trPr>
        <w:tc>
          <w:tcPr>
            <w:tcW w:w="1003" w:type="dxa"/>
            <w:vMerge/>
            <w:tcBorders>
              <w:top w:val="nil"/>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spacing w:before="133"/>
              <w:ind w:left="167" w:right="147"/>
              <w:jc w:val="center"/>
              <w:rPr>
                <w:sz w:val="18"/>
              </w:rPr>
            </w:pPr>
            <w:r>
              <w:rPr>
                <w:sz w:val="18"/>
              </w:rPr>
              <w:t>正确度</w:t>
            </w:r>
          </w:p>
        </w:tc>
        <w:tc>
          <w:tcPr>
            <w:tcW w:w="5679" w:type="dxa"/>
            <w:tcBorders>
              <w:top w:val="single" w:sz="4" w:space="0" w:color="000000"/>
              <w:left w:val="single" w:sz="4" w:space="0" w:color="000000"/>
              <w:bottom w:val="single" w:sz="4" w:space="0" w:color="000000"/>
            </w:tcBorders>
          </w:tcPr>
          <w:p>
            <w:pPr>
              <w:pStyle w:val="TableParagraph"/>
              <w:spacing w:before="38"/>
              <w:ind w:left="48"/>
              <w:rPr>
                <w:sz w:val="18"/>
              </w:rPr>
            </w:pPr>
            <w:r>
              <w:rPr>
                <w:sz w:val="18"/>
              </w:rPr>
              <w:t>当用参比方法测得：</w:t>
            </w:r>
          </w:p>
          <w:p>
            <w:pPr>
              <w:pStyle w:val="TableParagraph"/>
              <w:spacing w:before="82"/>
              <w:ind w:left="48"/>
              <w:rPr>
                <w:sz w:val="18"/>
              </w:rPr>
            </w:pPr>
            <w:r>
              <w:rPr>
                <w:rFonts w:ascii="Times New Roman" w:eastAsia="Times New Roman" w:hAnsi="Times New Roman"/>
                <w:sz w:val="18"/>
              </w:rPr>
              <w:t>a.</w:t>
            </w:r>
            <w:r>
              <w:rPr>
                <w:sz w:val="18"/>
              </w:rPr>
              <w:t>非甲烷总烃浓度（以碳计）平均值＜</w:t>
            </w:r>
            <w:r>
              <w:rPr>
                <w:rFonts w:ascii="Times New Roman" w:eastAsia="Times New Roman" w:hAnsi="Times New Roman"/>
                <w:sz w:val="18"/>
              </w:rPr>
              <w:t>50 mg/m³</w:t>
            </w:r>
            <w:r>
              <w:rPr>
                <w:sz w:val="18"/>
              </w:rPr>
              <w:t>时，绝对误差平均值在</w:t>
            </w:r>
          </w:p>
          <w:p>
            <w:pPr>
              <w:pStyle w:val="TableParagraph"/>
              <w:spacing w:before="81"/>
              <w:ind w:left="48"/>
              <w:rPr>
                <w:sz w:val="18"/>
              </w:rPr>
            </w:pPr>
            <w:r>
              <w:rPr>
                <w:sz w:val="18"/>
              </w:rPr>
              <w:t>±</w:t>
            </w:r>
            <w:r>
              <w:rPr>
                <w:rFonts w:ascii="Times New Roman" w:eastAsia="Times New Roman" w:hAnsi="Times New Roman"/>
                <w:sz w:val="18"/>
              </w:rPr>
              <w:t>20 mg/m³</w:t>
            </w:r>
            <w:r>
              <w:rPr>
                <w:sz w:val="18"/>
              </w:rPr>
              <w:t>内；</w:t>
            </w:r>
          </w:p>
          <w:p>
            <w:pPr>
              <w:pStyle w:val="TableParagraph"/>
              <w:spacing w:before="81" w:line="324" w:lineRule="auto"/>
              <w:ind w:left="48" w:right="25"/>
              <w:rPr>
                <w:sz w:val="18"/>
              </w:rPr>
            </w:pPr>
            <w:r>
              <w:rPr>
                <w:rFonts w:ascii="Times New Roman" w:eastAsia="Times New Roman" w:hAnsi="Times New Roman"/>
                <w:sz w:val="18"/>
              </w:rPr>
              <w:t>b.50 mg/m³</w:t>
            </w:r>
            <w:r>
              <w:rPr>
                <w:sz w:val="18"/>
              </w:rPr>
              <w:t>≤非甲烷总烃浓度（以碳计）平均值＜</w:t>
            </w:r>
            <w:r>
              <w:rPr>
                <w:rFonts w:ascii="Times New Roman" w:eastAsia="Times New Roman" w:hAnsi="Times New Roman"/>
                <w:sz w:val="18"/>
              </w:rPr>
              <w:t>500 mg/m³</w:t>
            </w:r>
            <w:r>
              <w:rPr>
                <w:sz w:val="18"/>
              </w:rPr>
              <w:t xml:space="preserve">时，相对误差的 </w:t>
            </w:r>
            <w:r>
              <w:rPr>
                <w:rFonts w:ascii="Times New Roman" w:eastAsia="Times New Roman" w:hAnsi="Times New Roman"/>
                <w:sz w:val="18"/>
              </w:rPr>
              <w:t>95%</w:t>
            </w:r>
            <w:r>
              <w:rPr>
                <w:sz w:val="18"/>
              </w:rPr>
              <w:t>置信上限≤</w:t>
            </w:r>
            <w:r>
              <w:rPr>
                <w:rFonts w:ascii="Times New Roman" w:eastAsia="Times New Roman" w:hAnsi="Times New Roman"/>
                <w:sz w:val="18"/>
              </w:rPr>
              <w:t>40%</w:t>
            </w:r>
            <w:r>
              <w:rPr>
                <w:sz w:val="18"/>
              </w:rPr>
              <w:t>；</w:t>
            </w:r>
          </w:p>
          <w:p>
            <w:pPr>
              <w:pStyle w:val="TableParagraph"/>
              <w:spacing w:before="2" w:line="324" w:lineRule="auto"/>
              <w:ind w:left="48" w:right="22"/>
              <w:rPr>
                <w:sz w:val="18"/>
              </w:rPr>
            </w:pPr>
            <w:r>
              <w:rPr>
                <w:rFonts w:ascii="Times New Roman" w:eastAsia="Times New Roman" w:hAnsi="Times New Roman"/>
                <w:sz w:val="18"/>
              </w:rPr>
              <w:t>c.</w:t>
            </w:r>
            <w:r>
              <w:rPr>
                <w:spacing w:val="-1"/>
                <w:sz w:val="18"/>
              </w:rPr>
              <w:t>非甲烷总烃浓度</w:t>
            </w:r>
            <w:r>
              <w:rPr>
                <w:sz w:val="18"/>
              </w:rPr>
              <w:t>（以碳计</w:t>
            </w:r>
            <w:r>
              <w:rPr>
                <w:spacing w:val="-3"/>
                <w:sz w:val="18"/>
              </w:rPr>
              <w:t>）</w:t>
            </w:r>
            <w:r>
              <w:rPr>
                <w:sz w:val="18"/>
              </w:rPr>
              <w:t>平均值≥</w:t>
            </w:r>
            <w:r>
              <w:rPr>
                <w:rFonts w:ascii="Times New Roman" w:eastAsia="Times New Roman" w:hAnsi="Times New Roman"/>
                <w:sz w:val="18"/>
              </w:rPr>
              <w:t>500 mg/m³</w:t>
            </w:r>
            <w:r>
              <w:rPr>
                <w:spacing w:val="-8"/>
                <w:sz w:val="18"/>
              </w:rPr>
              <w:t xml:space="preserve">时，相对误差的 </w:t>
            </w:r>
            <w:r>
              <w:rPr>
                <w:rFonts w:ascii="Times New Roman" w:eastAsia="Times New Roman" w:hAnsi="Times New Roman"/>
                <w:sz w:val="18"/>
              </w:rPr>
              <w:t>95%</w:t>
            </w:r>
            <w:r>
              <w:rPr>
                <w:sz w:val="18"/>
              </w:rPr>
              <w:t>置信上限≤</w:t>
            </w:r>
            <w:r>
              <w:rPr>
                <w:rFonts w:ascii="Times New Roman" w:eastAsia="Times New Roman" w:hAnsi="Times New Roman"/>
                <w:sz w:val="18"/>
              </w:rPr>
              <w:t>35%</w:t>
            </w:r>
            <w:r>
              <w:rPr>
                <w:sz w:val="18"/>
              </w:rPr>
              <w:t>。</w:t>
            </w:r>
          </w:p>
          <w:p>
            <w:pPr>
              <w:pStyle w:val="TableParagraph"/>
              <w:spacing w:before="1"/>
              <w:ind w:left="48" w:right="-15"/>
              <w:rPr>
                <w:sz w:val="18"/>
              </w:rPr>
            </w:pPr>
            <w:r>
              <w:rPr>
                <w:rFonts w:ascii="Times New Roman" w:eastAsia="Times New Roman" w:hAnsi="Times New Roman"/>
                <w:sz w:val="18"/>
              </w:rPr>
              <w:t>d.</w:t>
            </w:r>
            <w:r>
              <w:rPr>
                <w:spacing w:val="-2"/>
                <w:sz w:val="18"/>
              </w:rPr>
              <w:t>非甲烷总烃浓度</w:t>
            </w:r>
            <w:r>
              <w:rPr>
                <w:sz w:val="18"/>
              </w:rPr>
              <w:t>（以碳计</w:t>
            </w:r>
            <w:r>
              <w:rPr>
                <w:spacing w:val="-10"/>
                <w:sz w:val="18"/>
              </w:rPr>
              <w:t>）</w:t>
            </w:r>
            <w:r>
              <w:rPr>
                <w:sz w:val="18"/>
              </w:rPr>
              <w:t>平均值和排放限值均＜</w:t>
            </w:r>
            <w:r>
              <w:rPr>
                <w:rFonts w:ascii="Times New Roman" w:eastAsia="Times New Roman" w:hAnsi="Times New Roman"/>
                <w:sz w:val="18"/>
              </w:rPr>
              <w:t>50mg/m³</w:t>
            </w:r>
            <w:r>
              <w:rPr>
                <w:spacing w:val="-3"/>
                <w:sz w:val="18"/>
              </w:rPr>
              <w:t>时，绝对误</w:t>
            </w:r>
          </w:p>
          <w:p>
            <w:pPr>
              <w:pStyle w:val="TableParagraph"/>
              <w:spacing w:before="81"/>
              <w:ind w:left="48"/>
              <w:rPr>
                <w:sz w:val="18"/>
              </w:rPr>
            </w:pPr>
            <w:r>
              <w:rPr>
                <w:sz w:val="18"/>
              </w:rPr>
              <w:t>差平均值在±</w:t>
            </w:r>
            <w:r>
              <w:rPr>
                <w:rFonts w:ascii="Times New Roman" w:eastAsia="Times New Roman" w:hAnsi="Times New Roman"/>
                <w:sz w:val="18"/>
              </w:rPr>
              <w:t>10 mg/m³</w:t>
            </w:r>
            <w:r>
              <w:rPr>
                <w:sz w:val="18"/>
              </w:rPr>
              <w:t>内。</w:t>
            </w:r>
          </w:p>
        </w:tc>
      </w:tr>
      <w:tr>
        <w:tblPrEx>
          <w:tblW w:w="0" w:type="auto"/>
          <w:jc w:val="left"/>
          <w:tblInd w:w="134" w:type="dxa"/>
          <w:tblLayout w:type="fixed"/>
          <w:tblCellMar>
            <w:top w:w="0" w:type="dxa"/>
            <w:left w:w="0" w:type="dxa"/>
            <w:bottom w:w="0" w:type="dxa"/>
            <w:right w:w="0" w:type="dxa"/>
          </w:tblCellMar>
          <w:tblLook w:val="01E0"/>
        </w:tblPrEx>
        <w:trPr>
          <w:trHeight w:val="306"/>
          <w:jc w:val="left"/>
        </w:trPr>
        <w:tc>
          <w:tcPr>
            <w:tcW w:w="1003" w:type="dxa"/>
            <w:vMerge w:val="restart"/>
            <w:tcBorders>
              <w:top w:val="single" w:sz="4" w:space="0" w:color="000000"/>
              <w:right w:val="single" w:sz="4" w:space="0" w:color="000000"/>
            </w:tcBorders>
          </w:tcPr>
          <w:p>
            <w:pPr>
              <w:pStyle w:val="TableParagraph"/>
              <w:rPr>
                <w:rFonts w:ascii="黑体"/>
                <w:sz w:val="18"/>
              </w:rPr>
            </w:pPr>
          </w:p>
          <w:p>
            <w:pPr>
              <w:pStyle w:val="TableParagraph"/>
              <w:spacing w:before="8"/>
              <w:rPr>
                <w:rFonts w:ascii="黑体"/>
                <w:sz w:val="22"/>
              </w:rPr>
            </w:pPr>
          </w:p>
          <w:p>
            <w:pPr>
              <w:pStyle w:val="TableParagraph"/>
              <w:spacing w:line="324" w:lineRule="auto"/>
              <w:ind w:left="143" w:right="122"/>
              <w:rPr>
                <w:sz w:val="18"/>
              </w:rPr>
            </w:pPr>
            <w:r>
              <w:rPr>
                <w:sz w:val="18"/>
              </w:rPr>
              <w:t>氧气连续监测系统</w:t>
            </w:r>
          </w:p>
        </w:tc>
        <w:tc>
          <w:tcPr>
            <w:tcW w:w="708" w:type="dxa"/>
            <w:vMerge w:val="restart"/>
            <w:tcBorders>
              <w:top w:val="single" w:sz="4" w:space="0" w:color="000000"/>
              <w:left w:val="single" w:sz="4" w:space="0" w:color="000000"/>
              <w:right w:val="single" w:sz="4" w:space="0" w:color="000000"/>
            </w:tcBorders>
          </w:tcPr>
          <w:p>
            <w:pPr>
              <w:pStyle w:val="TableParagraph"/>
              <w:rPr>
                <w:rFonts w:ascii="黑体"/>
                <w:sz w:val="20"/>
              </w:rPr>
            </w:pPr>
          </w:p>
          <w:p>
            <w:pPr>
              <w:pStyle w:val="TableParagraph"/>
              <w:rPr>
                <w:rFonts w:ascii="黑体"/>
                <w:sz w:val="20"/>
              </w:rPr>
            </w:pPr>
          </w:p>
          <w:p>
            <w:pPr>
              <w:pStyle w:val="TableParagraph"/>
              <w:spacing w:before="175"/>
              <w:ind w:left="157" w:right="138"/>
              <w:jc w:val="center"/>
              <w:rPr>
                <w:rFonts w:ascii="Times New Roman"/>
                <w:sz w:val="12"/>
              </w:rPr>
            </w:pPr>
            <w:r>
              <w:rPr>
                <w:rFonts w:ascii="Times New Roman"/>
                <w:position w:val="1"/>
                <w:sz w:val="18"/>
              </w:rPr>
              <w:t>O</w:t>
            </w:r>
            <w:r>
              <w:rPr>
                <w:rFonts w:ascii="Times New Roman"/>
                <w:sz w:val="12"/>
              </w:rPr>
              <w:t>2</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38"/>
              <w:ind w:left="166" w:right="148"/>
              <w:jc w:val="center"/>
              <w:rPr>
                <w:sz w:val="18"/>
              </w:rPr>
            </w:pPr>
            <w:r>
              <w:rPr>
                <w:sz w:val="18"/>
              </w:rPr>
              <w:t>示值误差</w:t>
            </w:r>
          </w:p>
        </w:tc>
        <w:tc>
          <w:tcPr>
            <w:tcW w:w="5679" w:type="dxa"/>
            <w:tcBorders>
              <w:top w:val="single" w:sz="4" w:space="0" w:color="000000"/>
              <w:left w:val="single" w:sz="4" w:space="0" w:color="000000"/>
              <w:bottom w:val="single" w:sz="4" w:space="0" w:color="000000"/>
            </w:tcBorders>
          </w:tcPr>
          <w:p>
            <w:pPr>
              <w:pStyle w:val="TableParagraph"/>
              <w:spacing w:before="38"/>
              <w:ind w:left="48"/>
              <w:rPr>
                <w:sz w:val="18"/>
              </w:rPr>
            </w:pPr>
            <w:r>
              <w:rPr>
                <w:sz w:val="18"/>
              </w:rPr>
              <w:t>在±</w:t>
            </w:r>
            <w:r>
              <w:rPr>
                <w:rFonts w:ascii="Times New Roman" w:eastAsia="Times New Roman" w:hAnsi="Times New Roman"/>
                <w:sz w:val="18"/>
              </w:rPr>
              <w:t>5%</w:t>
            </w:r>
            <w:r>
              <w:rPr>
                <w:sz w:val="18"/>
              </w:rPr>
              <w:t>内（相对于标准气标称值）。</w:t>
            </w:r>
          </w:p>
        </w:tc>
      </w:tr>
      <w:tr>
        <w:tblPrEx>
          <w:tblW w:w="0" w:type="auto"/>
          <w:jc w:val="left"/>
          <w:tblInd w:w="134" w:type="dxa"/>
          <w:tblLayout w:type="fixed"/>
          <w:tblCellMar>
            <w:top w:w="0" w:type="dxa"/>
            <w:left w:w="0" w:type="dxa"/>
            <w:bottom w:w="0" w:type="dxa"/>
            <w:right w:w="0" w:type="dxa"/>
          </w:tblCellMar>
          <w:tblLook w:val="01E0"/>
        </w:tblPrEx>
        <w:trPr>
          <w:trHeight w:val="301"/>
          <w:jc w:val="left"/>
        </w:trPr>
        <w:tc>
          <w:tcPr>
            <w:tcW w:w="1003" w:type="dxa"/>
            <w:vMerge/>
            <w:tcBorders>
              <w:top w:val="nil"/>
              <w:right w:val="single" w:sz="4" w:space="0" w:color="000000"/>
            </w:tcBorders>
          </w:tcPr>
          <w:p>
            <w:pPr>
              <w:rPr>
                <w:sz w:val="2"/>
                <w:szCs w:val="2"/>
              </w:rPr>
            </w:pPr>
          </w:p>
        </w:tc>
        <w:tc>
          <w:tcPr>
            <w:tcW w:w="708" w:type="dxa"/>
            <w:vMerge/>
            <w:tcBorders>
              <w:top w:val="nil"/>
              <w:left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33"/>
              <w:ind w:left="166" w:right="148"/>
              <w:jc w:val="center"/>
              <w:rPr>
                <w:sz w:val="18"/>
              </w:rPr>
            </w:pPr>
            <w:r>
              <w:rPr>
                <w:sz w:val="18"/>
              </w:rPr>
              <w:t>系统响应时间</w:t>
            </w:r>
          </w:p>
        </w:tc>
        <w:tc>
          <w:tcPr>
            <w:tcW w:w="5679" w:type="dxa"/>
            <w:tcBorders>
              <w:top w:val="single" w:sz="4" w:space="0" w:color="000000"/>
              <w:left w:val="single" w:sz="4" w:space="0" w:color="000000"/>
              <w:bottom w:val="single" w:sz="4" w:space="0" w:color="000000"/>
            </w:tcBorders>
          </w:tcPr>
          <w:p>
            <w:pPr>
              <w:pStyle w:val="TableParagraph"/>
              <w:spacing w:before="33"/>
              <w:ind w:left="48"/>
              <w:rPr>
                <w:rFonts w:ascii="Times New Roman" w:hAnsi="Times New Roman"/>
                <w:sz w:val="18"/>
              </w:rPr>
            </w:pPr>
            <w:r>
              <w:rPr>
                <w:sz w:val="18"/>
              </w:rPr>
              <w:t>≤</w:t>
            </w:r>
            <w:r>
              <w:rPr>
                <w:rFonts w:ascii="Times New Roman" w:hAnsi="Times New Roman"/>
                <w:sz w:val="18"/>
              </w:rPr>
              <w:t>200s</w:t>
            </w:r>
          </w:p>
        </w:tc>
      </w:tr>
      <w:tr>
        <w:tblPrEx>
          <w:tblW w:w="0" w:type="auto"/>
          <w:jc w:val="left"/>
          <w:tblInd w:w="134" w:type="dxa"/>
          <w:tblLayout w:type="fixed"/>
          <w:tblCellMar>
            <w:top w:w="0" w:type="dxa"/>
            <w:left w:w="0" w:type="dxa"/>
            <w:bottom w:w="0" w:type="dxa"/>
            <w:right w:w="0" w:type="dxa"/>
          </w:tblCellMar>
          <w:tblLook w:val="01E0"/>
        </w:tblPrEx>
        <w:trPr>
          <w:trHeight w:val="301"/>
          <w:jc w:val="left"/>
        </w:trPr>
        <w:tc>
          <w:tcPr>
            <w:tcW w:w="1003" w:type="dxa"/>
            <w:vMerge/>
            <w:tcBorders>
              <w:top w:val="nil"/>
              <w:right w:val="single" w:sz="4" w:space="0" w:color="000000"/>
            </w:tcBorders>
          </w:tcPr>
          <w:p>
            <w:pPr>
              <w:rPr>
                <w:sz w:val="2"/>
                <w:szCs w:val="2"/>
              </w:rPr>
            </w:pPr>
          </w:p>
        </w:tc>
        <w:tc>
          <w:tcPr>
            <w:tcW w:w="708" w:type="dxa"/>
            <w:vMerge/>
            <w:tcBorders>
              <w:top w:val="nil"/>
              <w:left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33"/>
              <w:ind w:left="167" w:right="148"/>
              <w:jc w:val="center"/>
              <w:rPr>
                <w:sz w:val="18"/>
              </w:rPr>
            </w:pPr>
            <w:r>
              <w:rPr>
                <w:sz w:val="18"/>
              </w:rPr>
              <w:t>零点漂移、量程漂移</w:t>
            </w:r>
          </w:p>
        </w:tc>
        <w:tc>
          <w:tcPr>
            <w:tcW w:w="5679" w:type="dxa"/>
            <w:tcBorders>
              <w:top w:val="single" w:sz="4" w:space="0" w:color="000000"/>
              <w:left w:val="single" w:sz="4" w:space="0" w:color="000000"/>
              <w:bottom w:val="single" w:sz="4" w:space="0" w:color="000000"/>
            </w:tcBorders>
          </w:tcPr>
          <w:p>
            <w:pPr>
              <w:pStyle w:val="TableParagraph"/>
              <w:spacing w:before="33"/>
              <w:ind w:left="48"/>
              <w:rPr>
                <w:sz w:val="18"/>
              </w:rPr>
            </w:pPr>
            <w:r>
              <w:rPr>
                <w:sz w:val="18"/>
              </w:rPr>
              <w:t>在±</w:t>
            </w:r>
            <w:r>
              <w:rPr>
                <w:rFonts w:ascii="Times New Roman" w:eastAsia="Times New Roman" w:hAnsi="Times New Roman"/>
                <w:sz w:val="18"/>
              </w:rPr>
              <w:t xml:space="preserve">2.5% F.S. </w:t>
            </w:r>
            <w:r>
              <w:rPr>
                <w:rFonts w:ascii="Times New Roman" w:eastAsia="Times New Roman" w:hAnsi="Times New Roman"/>
                <w:sz w:val="18"/>
                <w:vertAlign w:val="superscript"/>
              </w:rPr>
              <w:t>a</w:t>
            </w:r>
            <w:r>
              <w:rPr>
                <w:rFonts w:ascii="Times New Roman" w:eastAsia="Times New Roman" w:hAnsi="Times New Roman"/>
                <w:sz w:val="18"/>
                <w:vertAlign w:val="baseline"/>
              </w:rPr>
              <w:t xml:space="preserve"> </w:t>
            </w:r>
            <w:r>
              <w:rPr>
                <w:sz w:val="18"/>
                <w:vertAlign w:val="baseline"/>
              </w:rPr>
              <w:t>内。</w:t>
            </w:r>
          </w:p>
        </w:tc>
      </w:tr>
      <w:tr>
        <w:tblPrEx>
          <w:tblW w:w="0" w:type="auto"/>
          <w:jc w:val="left"/>
          <w:tblInd w:w="134" w:type="dxa"/>
          <w:tblLayout w:type="fixed"/>
          <w:tblCellMar>
            <w:top w:w="0" w:type="dxa"/>
            <w:left w:w="0" w:type="dxa"/>
            <w:bottom w:w="0" w:type="dxa"/>
            <w:right w:w="0" w:type="dxa"/>
          </w:tblCellMar>
          <w:tblLook w:val="01E0"/>
        </w:tblPrEx>
        <w:trPr>
          <w:trHeight w:val="621"/>
          <w:jc w:val="left"/>
        </w:trPr>
        <w:tc>
          <w:tcPr>
            <w:tcW w:w="1003" w:type="dxa"/>
            <w:vMerge/>
            <w:tcBorders>
              <w:top w:val="nil"/>
              <w:right w:val="single" w:sz="4" w:space="0" w:color="000000"/>
            </w:tcBorders>
          </w:tcPr>
          <w:p>
            <w:pPr>
              <w:rPr>
                <w:sz w:val="2"/>
                <w:szCs w:val="2"/>
              </w:rPr>
            </w:pPr>
          </w:p>
        </w:tc>
        <w:tc>
          <w:tcPr>
            <w:tcW w:w="708" w:type="dxa"/>
            <w:vMerge/>
            <w:tcBorders>
              <w:top w:val="nil"/>
              <w:left w:val="single" w:sz="4" w:space="0" w:color="000000"/>
              <w:right w:val="single" w:sz="4" w:space="0" w:color="000000"/>
            </w:tcBorders>
          </w:tcPr>
          <w:p>
            <w:pPr>
              <w:rPr>
                <w:sz w:val="2"/>
                <w:szCs w:val="2"/>
              </w:rPr>
            </w:pPr>
          </w:p>
        </w:tc>
        <w:tc>
          <w:tcPr>
            <w:tcW w:w="1985" w:type="dxa"/>
            <w:tcBorders>
              <w:top w:val="single" w:sz="4" w:space="0" w:color="000000"/>
              <w:left w:val="single" w:sz="4" w:space="0" w:color="000000"/>
              <w:right w:val="single" w:sz="4" w:space="0" w:color="000000"/>
            </w:tcBorders>
          </w:tcPr>
          <w:p>
            <w:pPr>
              <w:pStyle w:val="TableParagraph"/>
              <w:spacing w:before="10"/>
              <w:rPr>
                <w:rFonts w:ascii="黑体"/>
                <w:sz w:val="14"/>
              </w:rPr>
            </w:pPr>
          </w:p>
          <w:p>
            <w:pPr>
              <w:pStyle w:val="TableParagraph"/>
              <w:ind w:left="167" w:right="147"/>
              <w:jc w:val="center"/>
              <w:rPr>
                <w:sz w:val="18"/>
              </w:rPr>
            </w:pPr>
            <w:r>
              <w:rPr>
                <w:sz w:val="18"/>
              </w:rPr>
              <w:t>正确度</w:t>
            </w:r>
          </w:p>
        </w:tc>
        <w:tc>
          <w:tcPr>
            <w:tcW w:w="5679" w:type="dxa"/>
            <w:tcBorders>
              <w:top w:val="single" w:sz="4" w:space="0" w:color="000000"/>
              <w:left w:val="single" w:sz="4" w:space="0" w:color="000000"/>
            </w:tcBorders>
          </w:tcPr>
          <w:p>
            <w:pPr>
              <w:pStyle w:val="TableParagraph"/>
              <w:spacing w:before="32"/>
              <w:ind w:left="48"/>
              <w:rPr>
                <w:sz w:val="18"/>
              </w:rPr>
            </w:pPr>
            <w:r>
              <w:rPr>
                <w:position w:val="1"/>
                <w:sz w:val="18"/>
              </w:rPr>
              <w:t xml:space="preserve">当用参比方法测得 </w:t>
            </w:r>
            <w:r>
              <w:rPr>
                <w:rFonts w:ascii="Times New Roman" w:eastAsia="Times New Roman" w:hAnsi="Times New Roman"/>
                <w:position w:val="1"/>
                <w:sz w:val="18"/>
              </w:rPr>
              <w:t>O</w:t>
            </w:r>
            <w:r>
              <w:rPr>
                <w:rFonts w:ascii="Times New Roman" w:eastAsia="Times New Roman" w:hAnsi="Times New Roman"/>
                <w:sz w:val="12"/>
              </w:rPr>
              <w:t>2</w:t>
            </w:r>
            <w:r>
              <w:rPr>
                <w:position w:val="1"/>
                <w:sz w:val="18"/>
              </w:rPr>
              <w:t>＞</w:t>
            </w:r>
            <w:r>
              <w:rPr>
                <w:rFonts w:ascii="Times New Roman" w:eastAsia="Times New Roman" w:hAnsi="Times New Roman"/>
                <w:position w:val="1"/>
                <w:sz w:val="18"/>
              </w:rPr>
              <w:t>5.0%</w:t>
            </w:r>
            <w:r>
              <w:rPr>
                <w:position w:val="1"/>
                <w:sz w:val="18"/>
              </w:rPr>
              <w:t xml:space="preserve">时，相对误差的 </w:t>
            </w:r>
            <w:r>
              <w:rPr>
                <w:rFonts w:ascii="Times New Roman" w:eastAsia="Times New Roman" w:hAnsi="Times New Roman"/>
                <w:position w:val="1"/>
                <w:sz w:val="18"/>
              </w:rPr>
              <w:t>95%</w:t>
            </w:r>
            <w:r>
              <w:rPr>
                <w:position w:val="1"/>
                <w:sz w:val="18"/>
              </w:rPr>
              <w:t>置信上限≤</w:t>
            </w:r>
            <w:r>
              <w:rPr>
                <w:rFonts w:ascii="Times New Roman" w:eastAsia="Times New Roman" w:hAnsi="Times New Roman"/>
                <w:position w:val="1"/>
                <w:sz w:val="18"/>
              </w:rPr>
              <w:t>15%</w:t>
            </w:r>
            <w:r>
              <w:rPr>
                <w:position w:val="1"/>
                <w:sz w:val="18"/>
              </w:rPr>
              <w:t>。</w:t>
            </w:r>
          </w:p>
          <w:p>
            <w:pPr>
              <w:pStyle w:val="TableParagraph"/>
              <w:spacing w:before="82"/>
              <w:ind w:left="48"/>
              <w:rPr>
                <w:sz w:val="18"/>
              </w:rPr>
            </w:pPr>
            <w:r>
              <w:rPr>
                <w:position w:val="1"/>
                <w:sz w:val="18"/>
              </w:rPr>
              <w:t xml:space="preserve">当用参比方法测得 </w:t>
            </w:r>
            <w:r>
              <w:rPr>
                <w:rFonts w:ascii="Times New Roman" w:eastAsia="Times New Roman" w:hAnsi="Times New Roman"/>
                <w:position w:val="1"/>
                <w:sz w:val="18"/>
              </w:rPr>
              <w:t>O</w:t>
            </w:r>
            <w:r>
              <w:rPr>
                <w:rFonts w:ascii="Times New Roman" w:eastAsia="Times New Roman" w:hAnsi="Times New Roman"/>
                <w:sz w:val="12"/>
              </w:rPr>
              <w:t>2</w:t>
            </w:r>
            <w:r>
              <w:rPr>
                <w:position w:val="1"/>
                <w:sz w:val="18"/>
              </w:rPr>
              <w:t>≤</w:t>
            </w:r>
            <w:r>
              <w:rPr>
                <w:rFonts w:ascii="Times New Roman" w:eastAsia="Times New Roman" w:hAnsi="Times New Roman"/>
                <w:position w:val="1"/>
                <w:sz w:val="18"/>
              </w:rPr>
              <w:t>5.0%</w:t>
            </w:r>
            <w:r>
              <w:rPr>
                <w:position w:val="1"/>
                <w:sz w:val="18"/>
              </w:rPr>
              <w:t>时，绝对误差平均值在±</w:t>
            </w:r>
            <w:r>
              <w:rPr>
                <w:rFonts w:ascii="Times New Roman" w:eastAsia="Times New Roman" w:hAnsi="Times New Roman"/>
                <w:position w:val="1"/>
                <w:sz w:val="18"/>
              </w:rPr>
              <w:t>1.0%</w:t>
            </w:r>
            <w:r>
              <w:rPr>
                <w:position w:val="1"/>
                <w:sz w:val="18"/>
              </w:rPr>
              <w:t>内。</w:t>
            </w:r>
          </w:p>
        </w:tc>
      </w:tr>
    </w:tbl>
    <w:p>
      <w:pPr>
        <w:spacing w:after="0"/>
        <w:rPr>
          <w:sz w:val="18"/>
        </w:rPr>
        <w:sectPr>
          <w:headerReference w:type="even" r:id="rId34"/>
          <w:headerReference w:type="default" r:id="rId35"/>
          <w:footerReference w:type="even" r:id="rId36"/>
          <w:footerReference w:type="default" r:id="rId37"/>
          <w:pgSz w:w="11910" w:h="16840"/>
          <w:pgMar w:top="1640" w:right="720" w:bottom="1340" w:left="1000" w:header="1448" w:footer="1140"/>
          <w:pgNumType w:start="6"/>
          <w:cols w:space="708"/>
        </w:sectPr>
      </w:pPr>
    </w:p>
    <w:p>
      <w:pPr>
        <w:pStyle w:val="BodyText"/>
        <w:spacing w:before="4"/>
        <w:rPr>
          <w:rFonts w:ascii="黑体"/>
          <w:sz w:val="29"/>
        </w:rPr>
      </w:pPr>
    </w:p>
    <w:p>
      <w:pPr>
        <w:pStyle w:val="BodyText"/>
        <w:tabs>
          <w:tab w:val="left" w:pos="535"/>
        </w:tabs>
        <w:spacing w:before="71"/>
        <w:ind w:left="8"/>
        <w:jc w:val="center"/>
      </w:pPr>
      <w:r>
        <w:rPr>
          <w:rFonts w:ascii="黑体" w:eastAsia="黑体" w:hint="eastAsia"/>
        </w:rPr>
        <w:t>表1</w:t>
        <w:tab/>
        <w:t>NMHC-CEMS运</w:t>
      </w:r>
      <w:r>
        <w:rPr>
          <w:rFonts w:ascii="黑体" w:eastAsia="黑体" w:hint="eastAsia"/>
          <w:spacing w:val="-3"/>
        </w:rPr>
        <w:t>行</w:t>
      </w:r>
      <w:r>
        <w:rPr>
          <w:rFonts w:ascii="黑体" w:eastAsia="黑体" w:hint="eastAsia"/>
        </w:rPr>
        <w:t>技</w:t>
      </w:r>
      <w:r>
        <w:rPr>
          <w:rFonts w:ascii="黑体" w:eastAsia="黑体" w:hint="eastAsia"/>
          <w:spacing w:val="-3"/>
        </w:rPr>
        <w:t>术</w:t>
      </w:r>
      <w:r>
        <w:rPr>
          <w:rFonts w:ascii="黑体" w:eastAsia="黑体" w:hint="eastAsia"/>
        </w:rPr>
        <w:t>要求</w:t>
      </w:r>
      <w:r>
        <w:rPr>
          <w:spacing w:val="-3"/>
        </w:rPr>
        <w:t>（</w:t>
      </w:r>
      <w:r>
        <w:t>续）</w:t>
      </w:r>
    </w:p>
    <w:p>
      <w:pPr>
        <w:pStyle w:val="BodyText"/>
        <w:spacing w:before="10"/>
        <w:rPr>
          <w:sz w:val="13"/>
        </w:rPr>
      </w:pPr>
    </w:p>
    <w:tbl>
      <w:tblPr>
        <w:tblStyle w:val="TableNormal1"/>
        <w:tblW w:w="0" w:type="auto"/>
        <w:jc w:val="left"/>
        <w:tblInd w:w="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3"/>
        <w:gridCol w:w="708"/>
        <w:gridCol w:w="1985"/>
        <w:gridCol w:w="5679"/>
      </w:tblGrid>
      <w:tr>
        <w:tblPrEx>
          <w:tblW w:w="0" w:type="auto"/>
          <w:jc w:val="left"/>
          <w:tblInd w:w="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13"/>
          <w:jc w:val="left"/>
        </w:trPr>
        <w:tc>
          <w:tcPr>
            <w:tcW w:w="3696" w:type="dxa"/>
            <w:gridSpan w:val="3"/>
            <w:tcBorders>
              <w:bottom w:val="single" w:sz="4" w:space="0" w:color="000000"/>
              <w:right w:val="single" w:sz="4" w:space="0" w:color="000000"/>
            </w:tcBorders>
          </w:tcPr>
          <w:p>
            <w:pPr>
              <w:pStyle w:val="TableParagraph"/>
              <w:spacing w:before="40"/>
              <w:ind w:left="1469" w:right="1451"/>
              <w:jc w:val="center"/>
              <w:rPr>
                <w:sz w:val="18"/>
              </w:rPr>
            </w:pPr>
            <w:r>
              <w:rPr>
                <w:sz w:val="18"/>
              </w:rPr>
              <w:t>检测项目</w:t>
            </w:r>
          </w:p>
        </w:tc>
        <w:tc>
          <w:tcPr>
            <w:tcW w:w="5679" w:type="dxa"/>
            <w:tcBorders>
              <w:left w:val="single" w:sz="4" w:space="0" w:color="000000"/>
              <w:bottom w:val="single" w:sz="4" w:space="0" w:color="000000"/>
            </w:tcBorders>
          </w:tcPr>
          <w:p>
            <w:pPr>
              <w:pStyle w:val="TableParagraph"/>
              <w:spacing w:before="40"/>
              <w:ind w:left="2462" w:right="2442"/>
              <w:jc w:val="center"/>
              <w:rPr>
                <w:sz w:val="18"/>
              </w:rPr>
            </w:pPr>
            <w:r>
              <w:rPr>
                <w:sz w:val="18"/>
              </w:rPr>
              <w:t>技术要求</w:t>
            </w:r>
          </w:p>
        </w:tc>
      </w:tr>
      <w:tr>
        <w:tblPrEx>
          <w:tblW w:w="0" w:type="auto"/>
          <w:jc w:val="left"/>
          <w:tblInd w:w="419" w:type="dxa"/>
          <w:tblLayout w:type="fixed"/>
          <w:tblCellMar>
            <w:top w:w="0" w:type="dxa"/>
            <w:left w:w="0" w:type="dxa"/>
            <w:bottom w:w="0" w:type="dxa"/>
            <w:right w:w="0" w:type="dxa"/>
          </w:tblCellMar>
          <w:tblLook w:val="01E0"/>
        </w:tblPrEx>
        <w:trPr>
          <w:trHeight w:val="623"/>
          <w:jc w:val="left"/>
        </w:trPr>
        <w:tc>
          <w:tcPr>
            <w:tcW w:w="1003" w:type="dxa"/>
            <w:tcBorders>
              <w:top w:val="single" w:sz="4" w:space="0" w:color="000000"/>
              <w:bottom w:val="single" w:sz="4" w:space="0" w:color="000000"/>
              <w:right w:val="single" w:sz="4" w:space="0" w:color="000000"/>
            </w:tcBorders>
          </w:tcPr>
          <w:p>
            <w:pPr>
              <w:pStyle w:val="TableParagraph"/>
              <w:spacing w:before="38"/>
              <w:ind w:left="143"/>
              <w:rPr>
                <w:sz w:val="18"/>
              </w:rPr>
            </w:pPr>
            <w:r>
              <w:rPr>
                <w:sz w:val="18"/>
              </w:rPr>
              <w:t>流速连续</w:t>
            </w:r>
          </w:p>
          <w:p>
            <w:pPr>
              <w:pStyle w:val="TableParagraph"/>
              <w:spacing w:before="81"/>
              <w:ind w:left="143"/>
              <w:rPr>
                <w:sz w:val="18"/>
              </w:rPr>
            </w:pPr>
            <w:r>
              <w:rPr>
                <w:sz w:val="18"/>
              </w:rPr>
              <w:t>监测系统</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2"/>
              <w:rPr>
                <w:sz w:val="15"/>
              </w:rPr>
            </w:pPr>
          </w:p>
          <w:p>
            <w:pPr>
              <w:pStyle w:val="TableParagraph"/>
              <w:ind w:left="157" w:right="140"/>
              <w:jc w:val="center"/>
              <w:rPr>
                <w:sz w:val="18"/>
              </w:rPr>
            </w:pPr>
            <w:r>
              <w:rPr>
                <w:sz w:val="18"/>
              </w:rPr>
              <w:t>流速</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2"/>
              <w:rPr>
                <w:sz w:val="15"/>
              </w:rPr>
            </w:pPr>
          </w:p>
          <w:p>
            <w:pPr>
              <w:pStyle w:val="TableParagraph"/>
              <w:ind w:left="167" w:right="147"/>
              <w:jc w:val="center"/>
              <w:rPr>
                <w:sz w:val="18"/>
              </w:rPr>
            </w:pPr>
            <w:r>
              <w:rPr>
                <w:sz w:val="18"/>
              </w:rPr>
              <w:t>正确度</w:t>
            </w:r>
          </w:p>
        </w:tc>
        <w:tc>
          <w:tcPr>
            <w:tcW w:w="5679" w:type="dxa"/>
            <w:tcBorders>
              <w:top w:val="single" w:sz="4" w:space="0" w:color="000000"/>
              <w:left w:val="single" w:sz="4" w:space="0" w:color="000000"/>
              <w:bottom w:val="single" w:sz="4" w:space="0" w:color="000000"/>
            </w:tcBorders>
          </w:tcPr>
          <w:p>
            <w:pPr>
              <w:pStyle w:val="TableParagraph"/>
              <w:spacing w:before="38"/>
              <w:ind w:left="48"/>
              <w:rPr>
                <w:sz w:val="18"/>
              </w:rPr>
            </w:pPr>
            <w:r>
              <w:rPr>
                <w:spacing w:val="-3"/>
                <w:sz w:val="18"/>
              </w:rPr>
              <w:t>当用参比方法测得流速＞</w:t>
            </w:r>
            <w:r>
              <w:rPr>
                <w:rFonts w:ascii="Times New Roman" w:eastAsia="Times New Roman" w:hAnsi="Times New Roman"/>
                <w:sz w:val="18"/>
              </w:rPr>
              <w:t>10m/s</w:t>
            </w:r>
            <w:r>
              <w:rPr>
                <w:rFonts w:ascii="Times New Roman" w:eastAsia="Times New Roman" w:hAnsi="Times New Roman"/>
                <w:spacing w:val="-19"/>
                <w:sz w:val="18"/>
              </w:rPr>
              <w:t xml:space="preserve"> </w:t>
            </w:r>
            <w:r>
              <w:rPr>
                <w:spacing w:val="-3"/>
                <w:sz w:val="18"/>
              </w:rPr>
              <w:t>时，相对误差不超过±</w:t>
            </w:r>
            <w:r>
              <w:rPr>
                <w:rFonts w:ascii="Times New Roman" w:eastAsia="Times New Roman" w:hAnsi="Times New Roman"/>
                <w:sz w:val="18"/>
              </w:rPr>
              <w:t>10%</w:t>
            </w:r>
            <w:r>
              <w:rPr>
                <w:sz w:val="18"/>
              </w:rPr>
              <w:t>。</w:t>
            </w:r>
          </w:p>
          <w:p>
            <w:pPr>
              <w:pStyle w:val="TableParagraph"/>
              <w:spacing w:before="81"/>
              <w:ind w:left="48"/>
              <w:rPr>
                <w:sz w:val="18"/>
              </w:rPr>
            </w:pPr>
            <w:r>
              <w:rPr>
                <w:spacing w:val="-3"/>
                <w:sz w:val="18"/>
              </w:rPr>
              <w:t>当用参比方法测得流速≤</w:t>
            </w:r>
            <w:r>
              <w:rPr>
                <w:rFonts w:ascii="Times New Roman" w:eastAsia="Times New Roman" w:hAnsi="Times New Roman"/>
                <w:sz w:val="18"/>
              </w:rPr>
              <w:t>10m/s</w:t>
            </w:r>
            <w:r>
              <w:rPr>
                <w:rFonts w:ascii="Times New Roman" w:eastAsia="Times New Roman" w:hAnsi="Times New Roman"/>
                <w:spacing w:val="-19"/>
                <w:sz w:val="18"/>
              </w:rPr>
              <w:t xml:space="preserve"> </w:t>
            </w:r>
            <w:r>
              <w:rPr>
                <w:spacing w:val="-3"/>
                <w:sz w:val="18"/>
              </w:rPr>
              <w:t>时，相对误差不超过±</w:t>
            </w:r>
            <w:r>
              <w:rPr>
                <w:rFonts w:ascii="Times New Roman" w:eastAsia="Times New Roman" w:hAnsi="Times New Roman"/>
                <w:sz w:val="18"/>
              </w:rPr>
              <w:t>12%</w:t>
            </w:r>
            <w:r>
              <w:rPr>
                <w:sz w:val="18"/>
              </w:rPr>
              <w:t>。</w:t>
            </w:r>
          </w:p>
        </w:tc>
      </w:tr>
      <w:tr>
        <w:tblPrEx>
          <w:tblW w:w="0" w:type="auto"/>
          <w:jc w:val="left"/>
          <w:tblInd w:w="419" w:type="dxa"/>
          <w:tblLayout w:type="fixed"/>
          <w:tblCellMar>
            <w:top w:w="0" w:type="dxa"/>
            <w:left w:w="0" w:type="dxa"/>
            <w:bottom w:w="0" w:type="dxa"/>
            <w:right w:w="0" w:type="dxa"/>
          </w:tblCellMar>
          <w:tblLook w:val="01E0"/>
        </w:tblPrEx>
        <w:trPr>
          <w:trHeight w:val="623"/>
          <w:jc w:val="left"/>
        </w:trPr>
        <w:tc>
          <w:tcPr>
            <w:tcW w:w="1003" w:type="dxa"/>
            <w:tcBorders>
              <w:top w:val="single" w:sz="4" w:space="0" w:color="000000"/>
              <w:bottom w:val="single" w:sz="4" w:space="0" w:color="000000"/>
              <w:right w:val="single" w:sz="4" w:space="0" w:color="000000"/>
            </w:tcBorders>
          </w:tcPr>
          <w:p>
            <w:pPr>
              <w:pStyle w:val="TableParagraph"/>
              <w:spacing w:before="38"/>
              <w:ind w:left="143"/>
              <w:rPr>
                <w:sz w:val="18"/>
              </w:rPr>
            </w:pPr>
            <w:r>
              <w:rPr>
                <w:sz w:val="18"/>
              </w:rPr>
              <w:t>温度连续</w:t>
            </w:r>
          </w:p>
          <w:p>
            <w:pPr>
              <w:pStyle w:val="TableParagraph"/>
              <w:spacing w:before="81"/>
              <w:ind w:left="143"/>
              <w:rPr>
                <w:sz w:val="18"/>
              </w:rPr>
            </w:pPr>
            <w:r>
              <w:rPr>
                <w:sz w:val="18"/>
              </w:rPr>
              <w:t>监测系统</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2"/>
              <w:rPr>
                <w:sz w:val="15"/>
              </w:rPr>
            </w:pPr>
          </w:p>
          <w:p>
            <w:pPr>
              <w:pStyle w:val="TableParagraph"/>
              <w:ind w:left="157" w:right="140"/>
              <w:jc w:val="center"/>
              <w:rPr>
                <w:sz w:val="18"/>
              </w:rPr>
            </w:pPr>
            <w:r>
              <w:rPr>
                <w:sz w:val="18"/>
              </w:rPr>
              <w:t>温度</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2"/>
              <w:rPr>
                <w:sz w:val="15"/>
              </w:rPr>
            </w:pPr>
          </w:p>
          <w:p>
            <w:pPr>
              <w:pStyle w:val="TableParagraph"/>
              <w:ind w:left="167" w:right="147"/>
              <w:jc w:val="center"/>
              <w:rPr>
                <w:sz w:val="18"/>
              </w:rPr>
            </w:pPr>
            <w:r>
              <w:rPr>
                <w:sz w:val="18"/>
              </w:rPr>
              <w:t>正确度</w:t>
            </w:r>
          </w:p>
        </w:tc>
        <w:tc>
          <w:tcPr>
            <w:tcW w:w="5679" w:type="dxa"/>
            <w:tcBorders>
              <w:top w:val="single" w:sz="4" w:space="0" w:color="000000"/>
              <w:left w:val="single" w:sz="4" w:space="0" w:color="000000"/>
              <w:bottom w:val="single" w:sz="4" w:space="0" w:color="000000"/>
            </w:tcBorders>
          </w:tcPr>
          <w:p>
            <w:pPr>
              <w:pStyle w:val="TableParagraph"/>
              <w:spacing w:before="2"/>
              <w:rPr>
                <w:sz w:val="15"/>
              </w:rPr>
            </w:pPr>
          </w:p>
          <w:p>
            <w:pPr>
              <w:pStyle w:val="TableParagraph"/>
              <w:ind w:left="48"/>
              <w:rPr>
                <w:sz w:val="18"/>
              </w:rPr>
            </w:pPr>
            <w:r>
              <w:rPr>
                <w:sz w:val="18"/>
              </w:rPr>
              <w:t>绝对误差平均值不超过±</w:t>
            </w:r>
            <w:r>
              <w:rPr>
                <w:rFonts w:ascii="Times New Roman" w:eastAsia="Times New Roman" w:hAnsi="Times New Roman"/>
                <w:sz w:val="18"/>
              </w:rPr>
              <w:t>3</w:t>
            </w:r>
            <w:r>
              <w:rPr>
                <w:sz w:val="18"/>
              </w:rPr>
              <w:t>℃。</w:t>
            </w:r>
          </w:p>
        </w:tc>
      </w:tr>
      <w:tr>
        <w:tblPrEx>
          <w:tblW w:w="0" w:type="auto"/>
          <w:jc w:val="left"/>
          <w:tblInd w:w="419" w:type="dxa"/>
          <w:tblLayout w:type="fixed"/>
          <w:tblCellMar>
            <w:top w:w="0" w:type="dxa"/>
            <w:left w:w="0" w:type="dxa"/>
            <w:bottom w:w="0" w:type="dxa"/>
            <w:right w:w="0" w:type="dxa"/>
          </w:tblCellMar>
          <w:tblLook w:val="01E0"/>
        </w:tblPrEx>
        <w:trPr>
          <w:trHeight w:val="681"/>
          <w:jc w:val="left"/>
        </w:trPr>
        <w:tc>
          <w:tcPr>
            <w:tcW w:w="1003" w:type="dxa"/>
            <w:tcBorders>
              <w:top w:val="single" w:sz="4" w:space="0" w:color="000000"/>
              <w:bottom w:val="single" w:sz="4" w:space="0" w:color="000000"/>
              <w:right w:val="single" w:sz="4" w:space="0" w:color="000000"/>
            </w:tcBorders>
          </w:tcPr>
          <w:p>
            <w:pPr>
              <w:pStyle w:val="TableParagraph"/>
              <w:spacing w:before="67"/>
              <w:ind w:left="143"/>
              <w:rPr>
                <w:sz w:val="18"/>
              </w:rPr>
            </w:pPr>
            <w:r>
              <w:rPr>
                <w:sz w:val="18"/>
              </w:rPr>
              <w:t>湿度连续</w:t>
            </w:r>
          </w:p>
          <w:p>
            <w:pPr>
              <w:pStyle w:val="TableParagraph"/>
              <w:spacing w:before="81"/>
              <w:ind w:left="143"/>
              <w:rPr>
                <w:sz w:val="18"/>
              </w:rPr>
            </w:pPr>
            <w:r>
              <w:rPr>
                <w:sz w:val="18"/>
              </w:rPr>
              <w:t>监测系统</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5"/>
              <w:rPr>
                <w:sz w:val="17"/>
              </w:rPr>
            </w:pPr>
          </w:p>
          <w:p>
            <w:pPr>
              <w:pStyle w:val="TableParagraph"/>
              <w:ind w:left="157" w:right="140"/>
              <w:jc w:val="center"/>
              <w:rPr>
                <w:sz w:val="18"/>
              </w:rPr>
            </w:pPr>
            <w:r>
              <w:rPr>
                <w:sz w:val="18"/>
              </w:rPr>
              <w:t>湿度</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7"/>
              </w:rPr>
            </w:pPr>
          </w:p>
          <w:p>
            <w:pPr>
              <w:pStyle w:val="TableParagraph"/>
              <w:ind w:left="167" w:right="147"/>
              <w:jc w:val="center"/>
              <w:rPr>
                <w:sz w:val="18"/>
              </w:rPr>
            </w:pPr>
            <w:r>
              <w:rPr>
                <w:sz w:val="18"/>
              </w:rPr>
              <w:t>正确度</w:t>
            </w:r>
          </w:p>
        </w:tc>
        <w:tc>
          <w:tcPr>
            <w:tcW w:w="5679" w:type="dxa"/>
            <w:tcBorders>
              <w:top w:val="single" w:sz="4" w:space="0" w:color="000000"/>
              <w:left w:val="single" w:sz="4" w:space="0" w:color="000000"/>
              <w:bottom w:val="single" w:sz="4" w:space="0" w:color="000000"/>
            </w:tcBorders>
          </w:tcPr>
          <w:p>
            <w:pPr>
              <w:pStyle w:val="TableParagraph"/>
              <w:spacing w:before="98"/>
              <w:ind w:left="48"/>
              <w:rPr>
                <w:sz w:val="18"/>
              </w:rPr>
            </w:pPr>
            <w:r>
              <w:rPr>
                <w:sz w:val="18"/>
              </w:rPr>
              <w:t>当用参比方法测得湿度＞</w:t>
            </w:r>
            <w:r>
              <w:rPr>
                <w:rFonts w:ascii="Times New Roman" w:eastAsia="Times New Roman" w:hAnsi="Times New Roman"/>
                <w:sz w:val="18"/>
              </w:rPr>
              <w:t>5.0%</w:t>
            </w:r>
            <w:r>
              <w:rPr>
                <w:sz w:val="18"/>
              </w:rPr>
              <w:t>时，相对误差不超过±</w:t>
            </w:r>
            <w:r>
              <w:rPr>
                <w:rFonts w:ascii="Times New Roman" w:eastAsia="Times New Roman" w:hAnsi="Times New Roman"/>
                <w:sz w:val="18"/>
              </w:rPr>
              <w:t>25%</w:t>
            </w:r>
            <w:r>
              <w:rPr>
                <w:sz w:val="18"/>
              </w:rPr>
              <w:t>。</w:t>
            </w:r>
          </w:p>
          <w:p>
            <w:pPr>
              <w:pStyle w:val="TableParagraph"/>
              <w:spacing w:before="79"/>
              <w:ind w:left="48"/>
              <w:rPr>
                <w:sz w:val="18"/>
              </w:rPr>
            </w:pPr>
            <w:r>
              <w:rPr>
                <w:sz w:val="18"/>
              </w:rPr>
              <w:t>当用参比方法测得湿度≤</w:t>
            </w:r>
            <w:r>
              <w:rPr>
                <w:rFonts w:ascii="Times New Roman" w:eastAsia="Times New Roman" w:hAnsi="Times New Roman"/>
                <w:sz w:val="18"/>
              </w:rPr>
              <w:t>5.0%</w:t>
            </w:r>
            <w:r>
              <w:rPr>
                <w:sz w:val="18"/>
              </w:rPr>
              <w:t>时，绝对误差平均值不超过±</w:t>
            </w:r>
            <w:r>
              <w:rPr>
                <w:rFonts w:ascii="Times New Roman" w:eastAsia="Times New Roman" w:hAnsi="Times New Roman"/>
                <w:sz w:val="18"/>
              </w:rPr>
              <w:t>1.5%</w:t>
            </w:r>
            <w:r>
              <w:rPr>
                <w:sz w:val="18"/>
              </w:rPr>
              <w:t>。</w:t>
            </w:r>
          </w:p>
        </w:tc>
      </w:tr>
      <w:tr>
        <w:tblPrEx>
          <w:tblW w:w="0" w:type="auto"/>
          <w:jc w:val="left"/>
          <w:tblInd w:w="419" w:type="dxa"/>
          <w:tblLayout w:type="fixed"/>
          <w:tblCellMar>
            <w:top w:w="0" w:type="dxa"/>
            <w:left w:w="0" w:type="dxa"/>
            <w:bottom w:w="0" w:type="dxa"/>
            <w:right w:w="0" w:type="dxa"/>
          </w:tblCellMar>
          <w:tblLook w:val="01E0"/>
        </w:tblPrEx>
        <w:trPr>
          <w:trHeight w:val="312"/>
          <w:jc w:val="left"/>
        </w:trPr>
        <w:tc>
          <w:tcPr>
            <w:tcW w:w="9375" w:type="dxa"/>
            <w:gridSpan w:val="4"/>
            <w:tcBorders>
              <w:top w:val="single" w:sz="4" w:space="0" w:color="000000"/>
              <w:bottom w:val="single" w:sz="4" w:space="0" w:color="000000"/>
            </w:tcBorders>
          </w:tcPr>
          <w:p>
            <w:pPr>
              <w:pStyle w:val="TableParagraph"/>
              <w:spacing w:before="38"/>
              <w:ind w:left="371"/>
              <w:rPr>
                <w:sz w:val="18"/>
              </w:rPr>
            </w:pPr>
            <w:r>
              <w:rPr>
                <w:rFonts w:ascii="黑体" w:eastAsia="黑体" w:hint="eastAsia"/>
                <w:sz w:val="18"/>
              </w:rPr>
              <w:t>注：</w:t>
            </w:r>
            <w:r>
              <w:rPr>
                <w:rFonts w:ascii="Times New Roman" w:eastAsia="Times New Roman"/>
                <w:sz w:val="18"/>
              </w:rPr>
              <w:t>NMHC</w:t>
            </w:r>
            <w:r>
              <w:rPr>
                <w:sz w:val="18"/>
              </w:rPr>
              <w:t>排放浓度为以碳计，换算按照</w:t>
            </w:r>
            <w:r>
              <w:rPr>
                <w:rFonts w:ascii="Times New Roman" w:eastAsia="Times New Roman"/>
                <w:sz w:val="18"/>
              </w:rPr>
              <w:t>HJ 1013</w:t>
            </w:r>
            <w:r>
              <w:rPr>
                <w:sz w:val="18"/>
              </w:rPr>
              <w:t>附录</w:t>
            </w:r>
            <w:r>
              <w:rPr>
                <w:rFonts w:ascii="Times New Roman" w:eastAsia="Times New Roman"/>
                <w:sz w:val="18"/>
              </w:rPr>
              <w:t>C</w:t>
            </w:r>
            <w:r>
              <w:rPr>
                <w:sz w:val="18"/>
              </w:rPr>
              <w:t>执行。</w:t>
            </w:r>
          </w:p>
        </w:tc>
      </w:tr>
      <w:tr>
        <w:tblPrEx>
          <w:tblW w:w="0" w:type="auto"/>
          <w:jc w:val="left"/>
          <w:tblInd w:w="419" w:type="dxa"/>
          <w:tblLayout w:type="fixed"/>
          <w:tblCellMar>
            <w:top w:w="0" w:type="dxa"/>
            <w:left w:w="0" w:type="dxa"/>
            <w:bottom w:w="0" w:type="dxa"/>
            <w:right w:w="0" w:type="dxa"/>
          </w:tblCellMar>
          <w:tblLook w:val="01E0"/>
        </w:tblPrEx>
        <w:trPr>
          <w:trHeight w:val="313"/>
          <w:jc w:val="left"/>
        </w:trPr>
        <w:tc>
          <w:tcPr>
            <w:tcW w:w="9375" w:type="dxa"/>
            <w:gridSpan w:val="4"/>
            <w:tcBorders>
              <w:top w:val="single" w:sz="4" w:space="0" w:color="000000"/>
            </w:tcBorders>
          </w:tcPr>
          <w:p>
            <w:pPr>
              <w:pStyle w:val="TableParagraph"/>
              <w:spacing w:before="40"/>
              <w:ind w:left="371"/>
              <w:rPr>
                <w:sz w:val="18"/>
              </w:rPr>
            </w:pPr>
            <w:r>
              <w:rPr>
                <w:rFonts w:ascii="Times New Roman" w:eastAsia="Times New Roman"/>
                <w:position w:val="6"/>
                <w:sz w:val="12"/>
              </w:rPr>
              <w:t xml:space="preserve">a </w:t>
            </w:r>
            <w:r>
              <w:rPr>
                <w:rFonts w:ascii="Times New Roman" w:eastAsia="Times New Roman"/>
                <w:sz w:val="18"/>
              </w:rPr>
              <w:t>F.S.</w:t>
            </w:r>
            <w:r>
              <w:rPr>
                <w:sz w:val="18"/>
              </w:rPr>
              <w:t>表示满量程。</w:t>
            </w:r>
          </w:p>
        </w:tc>
      </w:tr>
    </w:tbl>
    <w:p>
      <w:pPr>
        <w:pStyle w:val="ListParagraph"/>
        <w:numPr>
          <w:ilvl w:val="1"/>
          <w:numId w:val="9"/>
        </w:numPr>
        <w:tabs>
          <w:tab w:val="left" w:pos="944"/>
          <w:tab w:val="left" w:pos="945"/>
        </w:tabs>
        <w:spacing w:before="178" w:after="0" w:line="240" w:lineRule="auto"/>
        <w:ind w:left="944" w:right="0" w:hanging="527"/>
        <w:jc w:val="left"/>
        <w:rPr>
          <w:rFonts w:ascii="黑体" w:eastAsia="黑体" w:hint="eastAsia"/>
          <w:sz w:val="21"/>
        </w:rPr>
      </w:pPr>
      <w:r>
        <w:drawing>
          <wp:anchor distT="0" distB="0" distL="0" distR="0" simplePos="0" relativeHeight="251666432" behindDoc="0" locked="0" layoutInCell="1" allowOverlap="1">
            <wp:simplePos x="0" y="0"/>
            <wp:positionH relativeFrom="page">
              <wp:posOffset>1512112</wp:posOffset>
            </wp:positionH>
            <wp:positionV relativeFrom="paragraph">
              <wp:posOffset>-420682</wp:posOffset>
            </wp:positionV>
            <wp:extent cx="4536320" cy="453632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rPr>
          <w:rFonts w:ascii="黑体" w:eastAsia="黑体" w:hint="eastAsia"/>
          <w:spacing w:val="-1"/>
          <w:sz w:val="21"/>
        </w:rPr>
        <w:t>正确度核查</w:t>
      </w:r>
    </w:p>
    <w:p>
      <w:pPr>
        <w:pStyle w:val="BodyText"/>
        <w:spacing w:before="7"/>
        <w:rPr>
          <w:rFonts w:ascii="黑体"/>
          <w:sz w:val="15"/>
        </w:rPr>
      </w:pPr>
    </w:p>
    <w:p>
      <w:pPr>
        <w:pStyle w:val="ListParagraph"/>
        <w:numPr>
          <w:ilvl w:val="2"/>
          <w:numId w:val="9"/>
        </w:numPr>
        <w:tabs>
          <w:tab w:val="left" w:pos="1154"/>
        </w:tabs>
        <w:spacing w:before="0" w:after="0" w:line="278" w:lineRule="auto"/>
        <w:ind w:left="418" w:right="406" w:firstLine="0"/>
        <w:jc w:val="both"/>
        <w:rPr>
          <w:sz w:val="21"/>
        </w:rPr>
      </w:pPr>
      <w:r>
        <w:rPr>
          <w:spacing w:val="-4"/>
          <w:sz w:val="21"/>
        </w:rPr>
        <w:t xml:space="preserve">正确度核查即连续监测相关标准中的校验。有自动校准功能的测试单元每 </w:t>
      </w:r>
      <w:r>
        <w:rPr>
          <w:sz w:val="21"/>
        </w:rPr>
        <w:t>6</w:t>
      </w:r>
      <w:r>
        <w:rPr>
          <w:spacing w:val="-7"/>
          <w:sz w:val="21"/>
        </w:rPr>
        <w:t xml:space="preserve"> 个月至少做一次正</w:t>
      </w:r>
      <w:r>
        <w:rPr>
          <w:spacing w:val="-3"/>
          <w:sz w:val="21"/>
        </w:rPr>
        <w:t xml:space="preserve">确度核查，无自动校准功能的测试单元每 </w:t>
      </w:r>
      <w:r>
        <w:rPr>
          <w:sz w:val="21"/>
        </w:rPr>
        <w:t>3</w:t>
      </w:r>
      <w:r>
        <w:rPr>
          <w:spacing w:val="-3"/>
          <w:sz w:val="21"/>
        </w:rPr>
        <w:t xml:space="preserve"> 个月至少做一次正确度核查，核查用参比方法测得数据和NMHC-CEMS</w:t>
      </w:r>
      <w:r>
        <w:rPr>
          <w:spacing w:val="-8"/>
          <w:sz w:val="21"/>
        </w:rPr>
        <w:t xml:space="preserve"> 同时段数据进行比对。</w:t>
      </w:r>
    </w:p>
    <w:p>
      <w:pPr>
        <w:pStyle w:val="ListParagraph"/>
        <w:numPr>
          <w:ilvl w:val="2"/>
          <w:numId w:val="9"/>
        </w:numPr>
        <w:tabs>
          <w:tab w:val="left" w:pos="1154"/>
        </w:tabs>
        <w:spacing w:before="0" w:after="0" w:line="278" w:lineRule="auto"/>
        <w:ind w:left="418" w:right="406" w:firstLine="0"/>
        <w:jc w:val="both"/>
        <w:rPr>
          <w:sz w:val="21"/>
        </w:rPr>
      </w:pPr>
      <w:r>
        <w:rPr>
          <w:spacing w:val="-5"/>
          <w:sz w:val="21"/>
        </w:rPr>
        <w:t xml:space="preserve">当正确度核查结果不满足表 </w:t>
      </w:r>
      <w:r>
        <w:rPr>
          <w:sz w:val="21"/>
        </w:rPr>
        <w:t>1</w:t>
      </w:r>
      <w:r>
        <w:rPr>
          <w:spacing w:val="-7"/>
          <w:sz w:val="21"/>
        </w:rPr>
        <w:t xml:space="preserve"> 指标要求时，应对系统进行故障排查和维护，直至符合要求。正</w:t>
      </w:r>
      <w:r>
        <w:rPr>
          <w:spacing w:val="-10"/>
          <w:sz w:val="21"/>
        </w:rPr>
        <w:t xml:space="preserve">确度核查记录参照附录 </w:t>
      </w:r>
      <w:r>
        <w:rPr>
          <w:sz w:val="21"/>
        </w:rPr>
        <w:t>A</w:t>
      </w:r>
      <w:r>
        <w:rPr>
          <w:spacing w:val="-23"/>
          <w:sz w:val="21"/>
        </w:rPr>
        <w:t xml:space="preserve"> 中的表 </w:t>
      </w:r>
      <w:r>
        <w:rPr>
          <w:sz w:val="21"/>
        </w:rPr>
        <w:t>A.3</w:t>
      </w:r>
      <w:r>
        <w:rPr>
          <w:spacing w:val="-9"/>
          <w:sz w:val="21"/>
        </w:rPr>
        <w:t xml:space="preserve"> 表格形式记录。</w:t>
      </w:r>
    </w:p>
    <w:p>
      <w:pPr>
        <w:pStyle w:val="ListParagraph"/>
        <w:numPr>
          <w:ilvl w:val="1"/>
          <w:numId w:val="9"/>
        </w:numPr>
        <w:tabs>
          <w:tab w:val="left" w:pos="944"/>
          <w:tab w:val="left" w:pos="945"/>
        </w:tabs>
        <w:spacing w:before="156" w:after="0" w:line="240" w:lineRule="auto"/>
        <w:ind w:left="944" w:right="0" w:hanging="527"/>
        <w:jc w:val="left"/>
        <w:rPr>
          <w:rFonts w:ascii="黑体" w:eastAsia="黑体" w:hint="eastAsia"/>
          <w:sz w:val="21"/>
        </w:rPr>
      </w:pPr>
      <w:r>
        <w:rPr>
          <w:rFonts w:ascii="黑体" w:eastAsia="黑体" w:hint="eastAsia"/>
          <w:spacing w:val="-1"/>
          <w:sz w:val="21"/>
        </w:rPr>
        <w:t>比对监测</w:t>
      </w:r>
    </w:p>
    <w:p>
      <w:pPr>
        <w:pStyle w:val="BodyText"/>
        <w:spacing w:before="6"/>
        <w:rPr>
          <w:rFonts w:ascii="黑体"/>
          <w:sz w:val="15"/>
        </w:rPr>
      </w:pPr>
    </w:p>
    <w:p>
      <w:pPr>
        <w:pStyle w:val="ListParagraph"/>
        <w:numPr>
          <w:ilvl w:val="2"/>
          <w:numId w:val="9"/>
        </w:numPr>
        <w:tabs>
          <w:tab w:val="left" w:pos="1154"/>
        </w:tabs>
        <w:spacing w:before="0" w:after="0" w:line="240" w:lineRule="auto"/>
        <w:ind w:left="1153" w:right="0" w:hanging="736"/>
        <w:jc w:val="both"/>
        <w:rPr>
          <w:sz w:val="21"/>
        </w:rPr>
      </w:pPr>
      <w:r>
        <w:rPr>
          <w:spacing w:val="-3"/>
          <w:sz w:val="21"/>
        </w:rPr>
        <w:t>排污单位应委托有资质的生态环境领域检验检测机构，每季度自行开展比对监测工作；</w:t>
      </w:r>
    </w:p>
    <w:p>
      <w:pPr>
        <w:pStyle w:val="ListParagraph"/>
        <w:numPr>
          <w:ilvl w:val="2"/>
          <w:numId w:val="9"/>
        </w:numPr>
        <w:tabs>
          <w:tab w:val="left" w:pos="1154"/>
        </w:tabs>
        <w:spacing w:before="44" w:after="0" w:line="278" w:lineRule="auto"/>
        <w:ind w:left="418" w:right="406" w:firstLine="0"/>
        <w:jc w:val="both"/>
        <w:rPr>
          <w:sz w:val="21"/>
        </w:rPr>
      </w:pPr>
      <w:r>
        <w:rPr>
          <w:spacing w:val="-3"/>
          <w:sz w:val="21"/>
        </w:rPr>
        <w:t>属于国家强制检定的仪器与设备，应依法送检，并在检定合格有效期内使用；属于非强制检定</w:t>
      </w:r>
      <w:r>
        <w:rPr>
          <w:spacing w:val="-11"/>
          <w:sz w:val="21"/>
        </w:rPr>
        <w:t>的仪器与设备，应按照相关规范自行校准和期间核查，或送有资质的计量检定机构进行校准，符合要求</w:t>
      </w:r>
      <w:r>
        <w:rPr>
          <w:spacing w:val="-6"/>
          <w:sz w:val="21"/>
        </w:rPr>
        <w:t>并在有效期内使用。</w:t>
      </w:r>
    </w:p>
    <w:p>
      <w:pPr>
        <w:pStyle w:val="ListParagraph"/>
        <w:numPr>
          <w:ilvl w:val="1"/>
          <w:numId w:val="9"/>
        </w:numPr>
        <w:tabs>
          <w:tab w:val="left" w:pos="944"/>
          <w:tab w:val="left" w:pos="945"/>
        </w:tabs>
        <w:spacing w:before="155" w:after="0" w:line="240" w:lineRule="auto"/>
        <w:ind w:left="944" w:right="0" w:hanging="527"/>
        <w:jc w:val="left"/>
        <w:rPr>
          <w:rFonts w:ascii="黑体" w:eastAsia="黑体" w:hint="eastAsia"/>
          <w:sz w:val="21"/>
        </w:rPr>
      </w:pPr>
      <w:r>
        <w:rPr>
          <w:rFonts w:ascii="黑体" w:eastAsia="黑体" w:hint="eastAsia"/>
          <w:spacing w:val="-3"/>
          <w:sz w:val="21"/>
        </w:rPr>
        <w:t>运行维护质量内部监督</w:t>
      </w:r>
    </w:p>
    <w:p>
      <w:pPr>
        <w:pStyle w:val="BodyText"/>
        <w:spacing w:before="7"/>
        <w:rPr>
          <w:rFonts w:ascii="黑体"/>
          <w:sz w:val="15"/>
        </w:rPr>
      </w:pPr>
    </w:p>
    <w:p>
      <w:pPr>
        <w:pStyle w:val="ListParagraph"/>
        <w:numPr>
          <w:ilvl w:val="2"/>
          <w:numId w:val="9"/>
        </w:numPr>
        <w:tabs>
          <w:tab w:val="left" w:pos="1153"/>
          <w:tab w:val="left" w:pos="1154"/>
        </w:tabs>
        <w:spacing w:before="0" w:after="0" w:line="278" w:lineRule="auto"/>
        <w:ind w:left="418" w:right="300" w:firstLine="0"/>
        <w:jc w:val="left"/>
        <w:rPr>
          <w:sz w:val="21"/>
        </w:rPr>
      </w:pPr>
      <w:r>
        <w:rPr>
          <w:spacing w:val="-8"/>
          <w:sz w:val="21"/>
        </w:rPr>
        <w:t>每月由质量监督人员对运行维护环节进行质控检查，主要检查运行维护质量体系文件执行情况、</w:t>
      </w:r>
      <w:r>
        <w:rPr>
          <w:spacing w:val="-6"/>
          <w:sz w:val="21"/>
        </w:rPr>
        <w:t>运行维护行为规范性、</w:t>
      </w:r>
      <w:r>
        <w:rPr>
          <w:sz w:val="21"/>
        </w:rPr>
        <w:t>NMHC-CEMS</w:t>
      </w:r>
      <w:r>
        <w:rPr>
          <w:spacing w:val="-10"/>
          <w:sz w:val="21"/>
        </w:rPr>
        <w:t xml:space="preserve"> 运行状况、运行维护记录填写和保存情况、参比仪器和标准样品有效性等。</w:t>
      </w:r>
    </w:p>
    <w:p>
      <w:pPr>
        <w:pStyle w:val="ListParagraph"/>
        <w:numPr>
          <w:ilvl w:val="2"/>
          <w:numId w:val="9"/>
        </w:numPr>
        <w:tabs>
          <w:tab w:val="left" w:pos="1153"/>
          <w:tab w:val="left" w:pos="1154"/>
        </w:tabs>
        <w:spacing w:before="0" w:after="0" w:line="278" w:lineRule="auto"/>
        <w:ind w:left="418" w:right="408" w:firstLine="0"/>
        <w:jc w:val="left"/>
        <w:rPr>
          <w:sz w:val="21"/>
        </w:rPr>
      </w:pPr>
      <w:r>
        <w:rPr>
          <w:spacing w:val="-3"/>
          <w:sz w:val="21"/>
        </w:rPr>
        <w:t>质量监督人员专职从事运行维护的质量内部监督工作，配备专用的仪器和标准物质开展日常质</w:t>
      </w:r>
      <w:r>
        <w:rPr>
          <w:spacing w:val="-2"/>
          <w:sz w:val="21"/>
        </w:rPr>
        <w:t>量控制工作。</w:t>
      </w:r>
    </w:p>
    <w:p>
      <w:pPr>
        <w:pStyle w:val="BodyText"/>
        <w:spacing w:before="7"/>
        <w:rPr>
          <w:sz w:val="24"/>
        </w:rPr>
      </w:pPr>
    </w:p>
    <w:p>
      <w:pPr>
        <w:pStyle w:val="ListParagraph"/>
        <w:numPr>
          <w:ilvl w:val="0"/>
          <w:numId w:val="9"/>
        </w:numPr>
        <w:tabs>
          <w:tab w:val="left" w:pos="733"/>
          <w:tab w:val="left" w:pos="734"/>
        </w:tabs>
        <w:spacing w:before="0" w:after="0" w:line="240" w:lineRule="auto"/>
        <w:ind w:left="733" w:right="0" w:hanging="316"/>
        <w:jc w:val="left"/>
        <w:rPr>
          <w:rFonts w:ascii="黑体" w:eastAsia="黑体" w:hint="eastAsia"/>
          <w:sz w:val="21"/>
        </w:rPr>
      </w:pPr>
      <w:bookmarkStart w:id="7" w:name="_bookmark7"/>
      <w:bookmarkEnd w:id="7"/>
      <w:r>
        <w:rPr>
          <w:rFonts w:ascii="黑体" w:eastAsia="黑体" w:hint="eastAsia"/>
          <w:spacing w:val="-3"/>
          <w:sz w:val="21"/>
        </w:rPr>
        <w:t>数据审核和处理要求</w:t>
      </w:r>
    </w:p>
    <w:p>
      <w:pPr>
        <w:pStyle w:val="BodyText"/>
        <w:spacing w:before="7"/>
        <w:rPr>
          <w:rFonts w:ascii="黑体"/>
          <w:sz w:val="27"/>
        </w:rPr>
      </w:pPr>
    </w:p>
    <w:p>
      <w:pPr>
        <w:pStyle w:val="ListParagraph"/>
        <w:numPr>
          <w:ilvl w:val="1"/>
          <w:numId w:val="9"/>
        </w:numPr>
        <w:tabs>
          <w:tab w:val="left" w:pos="944"/>
          <w:tab w:val="left" w:pos="945"/>
        </w:tabs>
        <w:spacing w:before="0" w:after="0" w:line="240" w:lineRule="auto"/>
        <w:ind w:left="944" w:right="0" w:hanging="527"/>
        <w:jc w:val="left"/>
        <w:rPr>
          <w:rFonts w:ascii="黑体" w:eastAsia="黑体" w:hint="eastAsia"/>
          <w:sz w:val="21"/>
        </w:rPr>
      </w:pPr>
      <w:r>
        <w:rPr>
          <w:rFonts w:ascii="黑体" w:eastAsia="黑体" w:hint="eastAsia"/>
          <w:sz w:val="21"/>
        </w:rPr>
        <w:t>NMHC-CEMS</w:t>
      </w:r>
      <w:r>
        <w:rPr>
          <w:rFonts w:ascii="黑体" w:eastAsia="黑体" w:hint="eastAsia"/>
          <w:spacing w:val="-12"/>
          <w:sz w:val="21"/>
        </w:rPr>
        <w:t xml:space="preserve"> 数据审核</w:t>
      </w:r>
    </w:p>
    <w:p>
      <w:pPr>
        <w:pStyle w:val="BodyText"/>
        <w:spacing w:before="6"/>
        <w:rPr>
          <w:rFonts w:ascii="黑体"/>
          <w:sz w:val="15"/>
        </w:rPr>
      </w:pPr>
    </w:p>
    <w:p>
      <w:pPr>
        <w:pStyle w:val="ListParagraph"/>
        <w:numPr>
          <w:ilvl w:val="2"/>
          <w:numId w:val="9"/>
        </w:numPr>
        <w:tabs>
          <w:tab w:val="left" w:pos="1154"/>
        </w:tabs>
        <w:spacing w:before="0" w:after="0" w:line="278" w:lineRule="auto"/>
        <w:ind w:left="418" w:right="406" w:firstLine="0"/>
        <w:jc w:val="both"/>
        <w:rPr>
          <w:sz w:val="21"/>
        </w:rPr>
      </w:pPr>
      <w:r>
        <w:rPr>
          <w:spacing w:val="4"/>
          <w:sz w:val="21"/>
        </w:rPr>
        <w:t xml:space="preserve">固定污染源生产状况下，经验收合格的 </w:t>
      </w:r>
      <w:r>
        <w:rPr>
          <w:rFonts w:ascii="Times New Roman" w:eastAsia="Times New Roman"/>
          <w:sz w:val="21"/>
        </w:rPr>
        <w:t>NMHC-CEMS</w:t>
      </w:r>
      <w:r>
        <w:rPr>
          <w:rFonts w:ascii="Times New Roman" w:eastAsia="Times New Roman"/>
          <w:spacing w:val="21"/>
          <w:sz w:val="21"/>
        </w:rPr>
        <w:t xml:space="preserve"> </w:t>
      </w:r>
      <w:r>
        <w:rPr>
          <w:spacing w:val="3"/>
          <w:sz w:val="21"/>
        </w:rPr>
        <w:t>正常运行的时段为数据有效时间段。</w:t>
      </w:r>
      <w:r>
        <w:rPr>
          <w:rFonts w:ascii="Times New Roman" w:eastAsia="Times New Roman"/>
          <w:spacing w:val="3"/>
          <w:sz w:val="21"/>
        </w:rPr>
        <w:t>NMHC-CEMS</w:t>
      </w:r>
      <w:r>
        <w:rPr>
          <w:rFonts w:ascii="Times New Roman" w:eastAsia="Times New Roman"/>
          <w:spacing w:val="47"/>
          <w:sz w:val="21"/>
        </w:rPr>
        <w:t xml:space="preserve"> </w:t>
      </w:r>
      <w:r>
        <w:rPr>
          <w:spacing w:val="-3"/>
          <w:sz w:val="21"/>
        </w:rPr>
        <w:t>非正常运行的时段</w:t>
      </w:r>
      <w:r>
        <w:rPr>
          <w:sz w:val="21"/>
        </w:rPr>
        <w:t>（</w:t>
      </w:r>
      <w:r>
        <w:rPr>
          <w:spacing w:val="-4"/>
          <w:sz w:val="21"/>
        </w:rPr>
        <w:t xml:space="preserve">如故障期间、维修期间、超过本文件 </w:t>
      </w:r>
      <w:r>
        <w:rPr>
          <w:rFonts w:ascii="Times New Roman" w:eastAsia="Times New Roman"/>
          <w:sz w:val="21"/>
        </w:rPr>
        <w:t>7.2</w:t>
      </w:r>
      <w:r>
        <w:rPr>
          <w:rFonts w:ascii="Times New Roman" w:eastAsia="Times New Roman"/>
          <w:spacing w:val="45"/>
          <w:sz w:val="21"/>
        </w:rPr>
        <w:t xml:space="preserve"> </w:t>
      </w:r>
      <w:r>
        <w:rPr>
          <w:spacing w:val="-3"/>
          <w:sz w:val="21"/>
        </w:rPr>
        <w:t>期限未校准时段、失控时段以及有计划的维护保养、校准等时段）均为数据无效时间段。</w:t>
      </w:r>
    </w:p>
    <w:p>
      <w:pPr>
        <w:pStyle w:val="ListParagraph"/>
        <w:numPr>
          <w:ilvl w:val="2"/>
          <w:numId w:val="9"/>
        </w:numPr>
        <w:tabs>
          <w:tab w:val="left" w:pos="1153"/>
          <w:tab w:val="left" w:pos="1154"/>
        </w:tabs>
        <w:spacing w:before="0" w:after="0" w:line="278" w:lineRule="auto"/>
        <w:ind w:left="418" w:right="300" w:firstLine="0"/>
        <w:jc w:val="left"/>
        <w:rPr>
          <w:sz w:val="21"/>
        </w:rPr>
      </w:pPr>
      <w:r>
        <w:rPr>
          <w:spacing w:val="-3"/>
          <w:sz w:val="21"/>
        </w:rPr>
        <w:t xml:space="preserve">污染源停运一个季度以内的，不应停运 </w:t>
      </w:r>
      <w:r>
        <w:rPr>
          <w:rFonts w:ascii="Times New Roman" w:eastAsia="Times New Roman"/>
          <w:sz w:val="21"/>
        </w:rPr>
        <w:t>NMHC-CEMS</w:t>
      </w:r>
      <w:r>
        <w:rPr>
          <w:spacing w:val="-2"/>
          <w:sz w:val="21"/>
        </w:rPr>
        <w:t xml:space="preserve">，日常巡检和维护要求仍按本文件第 </w:t>
      </w:r>
      <w:r>
        <w:rPr>
          <w:rFonts w:ascii="Times New Roman" w:eastAsia="Times New Roman"/>
          <w:spacing w:val="-3"/>
          <w:sz w:val="21"/>
        </w:rPr>
        <w:t>5</w:t>
      </w:r>
      <w:r>
        <w:rPr>
          <w:sz w:val="21"/>
        </w:rPr>
        <w:t>、</w:t>
      </w:r>
      <w:r>
        <w:rPr>
          <w:rFonts w:ascii="Times New Roman" w:eastAsia="Times New Roman"/>
          <w:sz w:val="21"/>
        </w:rPr>
        <w:t>6</w:t>
      </w:r>
      <w:r>
        <w:rPr>
          <w:rFonts w:ascii="Times New Roman" w:eastAsia="Times New Roman"/>
          <w:spacing w:val="11"/>
          <w:sz w:val="21"/>
        </w:rPr>
        <w:t xml:space="preserve"> </w:t>
      </w:r>
      <w:r>
        <w:rPr>
          <w:spacing w:val="-3"/>
          <w:sz w:val="21"/>
        </w:rPr>
        <w:t xml:space="preserve">章执行；停运超过一个季度的，可停运 </w:t>
      </w:r>
      <w:r>
        <w:rPr>
          <w:rFonts w:ascii="Times New Roman" w:eastAsia="Times New Roman"/>
          <w:sz w:val="21"/>
        </w:rPr>
        <w:t>NMHC-CEMS</w:t>
      </w:r>
      <w:r>
        <w:rPr>
          <w:spacing w:val="-3"/>
          <w:sz w:val="21"/>
        </w:rPr>
        <w:t>，但应报当地生态环境主管部门备案。污染源</w:t>
      </w:r>
      <w:r>
        <w:rPr>
          <w:spacing w:val="-11"/>
          <w:sz w:val="21"/>
        </w:rPr>
        <w:t xml:space="preserve">启运前，应提前启运 </w:t>
      </w:r>
      <w:r>
        <w:rPr>
          <w:rFonts w:ascii="Times New Roman" w:eastAsia="Times New Roman"/>
          <w:spacing w:val="-4"/>
          <w:sz w:val="21"/>
        </w:rPr>
        <w:t>NMHC-CEMS</w:t>
      </w:r>
      <w:r>
        <w:rPr>
          <w:spacing w:val="-9"/>
          <w:sz w:val="21"/>
        </w:rPr>
        <w:t xml:space="preserve">，并进行校准，在污染源启运后的两周内对全套 </w:t>
      </w:r>
      <w:r>
        <w:rPr>
          <w:rFonts w:ascii="Times New Roman" w:eastAsia="Times New Roman"/>
          <w:sz w:val="21"/>
        </w:rPr>
        <w:t>NMHC-CEMS</w:t>
      </w:r>
      <w:r>
        <w:rPr>
          <w:rFonts w:ascii="Times New Roman" w:eastAsia="Times New Roman"/>
          <w:spacing w:val="6"/>
          <w:sz w:val="21"/>
        </w:rPr>
        <w:t xml:space="preserve"> </w:t>
      </w:r>
      <w:r>
        <w:rPr>
          <w:sz w:val="21"/>
        </w:rPr>
        <w:t>进行</w:t>
      </w:r>
      <w:r>
        <w:rPr>
          <w:spacing w:val="-3"/>
          <w:sz w:val="21"/>
        </w:rPr>
        <w:t>正确度核查。核查通过的，视为启运期间自动监测数据有效；核查未通过的，启用人工监测。</w:t>
      </w:r>
    </w:p>
    <w:p>
      <w:pPr>
        <w:spacing w:after="0" w:line="278" w:lineRule="auto"/>
        <w:jc w:val="left"/>
        <w:rPr>
          <w:sz w:val="21"/>
        </w:rPr>
      </w:pPr>
      <w:r>
        <w:rPr>
          <w:sz w:val="21"/>
        </w:rPr>
        <w:br/>
      </w:r>
      <w:r>
        <w:rPr>
          <w:sz w:val="21"/>
        </w:rPr>
        <w:br/>
      </w:r>
    </w:p>
    <w:p>
      <w:pPr>
        <w:widowControl/>
        <w:autoSpaceDE/>
        <w:autoSpaceDN/>
        <w:spacing w:before="0" w:after="0" w:line="240" w:lineRule="auto"/>
        <w:ind w:left="0" w:right="0"/>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38" w:history="1">
        <w:r>
          <w:rPr>
            <w:rFonts w:ascii="SimSun" w:eastAsia="SimSun" w:hAnsi="SimSun" w:cs="SimSun"/>
            <w:b/>
            <w:bCs/>
            <w:color w:val="0000EE"/>
            <w:sz w:val="30"/>
            <w:szCs w:val="30"/>
            <w:u w:val="single" w:color="0000EE"/>
          </w:rPr>
          <w:t>https://d.book118.com/808075125072006032</w:t>
        </w:r>
      </w:hyperlink>
    </w:p>
    <w:p>
      <w:pPr>
        <w:spacing w:after="0" w:line="278" w:lineRule="auto"/>
        <w:jc w:val="left"/>
        <w:rPr>
          <w:sz w:val="21"/>
        </w:rPr>
      </w:pPr>
    </w:p>
    <w:sectPr>
      <w:headerReference w:type="even" r:id="rId39"/>
      <w:headerReference w:type="default" r:id="rId40"/>
      <w:footerReference w:type="even" r:id="rId41"/>
      <w:footerReference w:type="default" r:id="rId42"/>
      <w:pgSz w:w="11910" w:h="16840"/>
      <w:pgMar w:top="1640" w:right="720" w:bottom="1340" w:left="1000" w:header="1448" w:footer="1140"/>
      <w:pgNumType w:start="7"/>
      <w:cols w:space="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0"/>
    <w:family w:val="roman"/>
    <w:pitch w:val="variable"/>
    <w:sig w:usb0="00000000" w:usb1="00000000" w:usb2="00000000" w:usb3="00000000" w:csb0="00000001" w:csb1="00000000"/>
  </w:font>
  <w:font w:name="Arial">
    <w:altName w:val="Arial"/>
    <w:charset w:val="00"/>
    <w:family w:val="swiss"/>
    <w:pitch w:val="variable"/>
    <w:sig w:usb0="00000000" w:usb1="00000000" w:usb2="00000000" w:usb3="00000000" w:csb0="00000001" w:csb1="00000000"/>
  </w:font>
  <w:font w:name="黑体">
    <w:altName w:val="黑体"/>
    <w:charset w:val="86"/>
    <w:family w:val="modern"/>
    <w:pitch w:val="fixed"/>
    <w:sig w:usb0="00000000" w:usb1="00000000" w:usb2="00000000" w:usb3="00000000" w:csb0="00040000" w:csb1="00000000"/>
  </w:font>
  <w:font w:name="宋体">
    <w:altName w:val="宋体"/>
    <w:charset w:val="86"/>
    <w:family w:val="auto"/>
    <w:pitch w:val="variable"/>
    <w:sig w:usb0="00000000" w:usb1="00000000" w:usb2="00000000" w:usb3="00000000" w:csb0="00040000" w:csb1="00000000"/>
  </w:font>
  <w:font w:name="Microsoft YaHei UI">
    <w:altName w:val="Microsoft YaHei UI"/>
    <w:charset w:val="86"/>
    <w:family w:val="swiss"/>
    <w:pitch w:val="variable"/>
    <w:sig w:usb0="00000000" w:usb1="00000000" w:usb2="00000000" w:usb3="00000000" w:csb0="00040000" w:csb1="00000000"/>
  </w:font>
  <w:font w:name="Calibri">
    <w:altName w:val="Calibri"/>
    <w:charset w:val="00"/>
    <w:family w:val="swiss"/>
    <w:pitch w:val="variable"/>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width:11.15pt;height:11pt;margin-top:773.91pt;margin-left:65.5pt;mso-position-horizontal-relative:page;mso-position-vertical-relative:page;position:absolute;z-index:-251657216" filled="f" stroked="f">
          <v:textbox inset="0,0,0,0">
            <w:txbxContent>
              <w:p>
                <w:pPr>
                  <w:spacing w:before="0" w:line="220" w:lineRule="exact"/>
                  <w:ind w:left="20" w:right="0" w:firstLine="0"/>
                  <w:jc w:val="left"/>
                  <w:rPr>
                    <w:sz w:val="18"/>
                  </w:rPr>
                </w:pPr>
                <w:r>
                  <w:rPr>
                    <w:sz w:val="18"/>
                  </w:rPr>
                  <w:t>II</w:t>
                </w:r>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width:15.15pt;height:11pt;margin-top:773.91pt;margin-left:515.4pt;mso-position-horizontal-relative:page;mso-position-vertical-relative:page;position:absolute;z-index:-251650048"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3</w:t>
                </w:r>
                <w:r>
                  <w:fldChar w:fldCharType="end"/>
                </w:r>
              </w:p>
            </w:txbxContent>
          </v:textbox>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width:15.15pt;height:11pt;margin-top:773.91pt;margin-left:63.5pt;mso-position-horizontal-relative:page;mso-position-vertical-relative:page;position:absolute;z-index:-251646976"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4</w:t>
                </w:r>
                <w:r>
                  <w:fldChar w:fldCharType="end"/>
                </w:r>
              </w:p>
            </w:txbxContent>
          </v:textbox>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width:15.15pt;height:11pt;margin-top:773.91pt;margin-left:515.4pt;mso-position-horizontal-relative:page;mso-position-vertical-relative:page;position:absolute;z-index:-251648000"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21</w:t>
                </w:r>
                <w:r>
                  <w:fldChar w:fldCharType="end"/>
                </w:r>
              </w:p>
            </w:txbxContent>
          </v:textbox>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width:15.15pt;height:11pt;margin-top:773.91pt;margin-left:63.5pt;mso-position-horizontal-relative:page;mso-position-vertical-relative:page;position:absolute;z-index:-251644928"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22</w:t>
                </w:r>
                <w:r>
                  <w:fldChar w:fldCharType="end"/>
                </w:r>
              </w:p>
            </w:txbxContent>
          </v:textbox>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width:15.15pt;height:11pt;margin-top:773.91pt;margin-left:515.4pt;mso-position-horizontal-relative:page;mso-position-vertical-relative:page;position:absolute;z-index:-251645952"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5</w:t>
                </w:r>
                <w:r>
                  <w:fldChar w:fldCharType="end"/>
                </w:r>
              </w:p>
            </w:txbxContent>
          </v:textbox>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width:15.15pt;height:11pt;margin-top:773.91pt;margin-left:63.5pt;mso-position-horizontal-relative:page;mso-position-vertical-relative:page;position:absolute;z-index:-251642880"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6</w:t>
                </w:r>
                <w:r>
                  <w:fldChar w:fldCharType="end"/>
                </w:r>
              </w:p>
            </w:txbxContent>
          </v:textbox>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width:15.15pt;height:11pt;margin-top:773.91pt;margin-left:515.4pt;mso-position-horizontal-relative:page;mso-position-vertical-relative:page;position:absolute;z-index:-251643904"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21</w:t>
                </w:r>
                <w:r>
                  <w:fldChar w:fldCharType="end"/>
                </w:r>
              </w:p>
            </w:txbxContent>
          </v:textbox>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width:15.15pt;height:11pt;margin-top:773.91pt;margin-left:63.5pt;mso-position-horizontal-relative:page;mso-position-vertical-relative:page;position:absolute;z-index:-251640832"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22</w:t>
                </w:r>
                <w:r>
                  <w:fldChar w:fldCharType="end"/>
                </w:r>
              </w:p>
            </w:txbxContent>
          </v:textbox>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width:15.15pt;height:11pt;margin-top:773.91pt;margin-left:515.4pt;mso-position-horizontal-relative:page;mso-position-vertical-relative:page;position:absolute;z-index:-251641856"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7</w:t>
                </w:r>
                <w: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width:6.5pt;height:11pt;margin-top:773.91pt;margin-left:521.84pt;mso-position-horizontal-relative:page;mso-position-vertical-relative:page;position:absolute;z-index:-251658240" filled="f" stroked="f">
          <v:textbox inset="0,0,0,0">
            <w:txbxContent>
              <w:p>
                <w:pPr>
                  <w:spacing w:before="0" w:line="220" w:lineRule="exact"/>
                  <w:ind w:left="20" w:right="0" w:firstLine="0"/>
                  <w:jc w:val="left"/>
                  <w:rPr>
                    <w:sz w:val="18"/>
                  </w:rPr>
                </w:pPr>
                <w:r>
                  <w:rPr>
                    <w:sz w:val="18"/>
                  </w:rPr>
                  <w:t>I</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width:11.15pt;height:11pt;margin-top:773.91pt;margin-left:65.5pt;mso-position-horizontal-relative:page;mso-position-vertical-relative:page;position:absolute;z-index:-251655168" filled="f" stroked="f">
          <v:textbox inset="0,0,0,0">
            <w:txbxContent>
              <w:p>
                <w:pPr>
                  <w:spacing w:before="0" w:line="220" w:lineRule="exact"/>
                  <w:ind w:left="20" w:right="0" w:firstLine="0"/>
                  <w:jc w:val="left"/>
                  <w:rPr>
                    <w:sz w:val="18"/>
                  </w:rPr>
                </w:pPr>
                <w:r>
                  <w:rPr>
                    <w:sz w:val="18"/>
                  </w:rPr>
                  <w:t>II</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width:6.5pt;height:11pt;margin-top:773.91pt;margin-left:521.84pt;mso-position-horizontal-relative:page;mso-position-vertical-relative:page;position:absolute;z-index:-251656192" filled="f" stroked="f">
          <v:textbox inset="0,0,0,0">
            <w:txbxContent>
              <w:p>
                <w:pPr>
                  <w:spacing w:before="0" w:line="220" w:lineRule="exact"/>
                  <w:ind w:left="20" w:right="0" w:firstLine="0"/>
                  <w:jc w:val="left"/>
                  <w:rPr>
                    <w:sz w:val="18"/>
                  </w:rPr>
                </w:pPr>
                <w:r>
                  <w:rPr>
                    <w:sz w:val="18"/>
                  </w:rPr>
                  <w:t>I</w:t>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width:15.15pt;height:11pt;margin-top:773.91pt;margin-left:63.5pt;mso-position-horizontal-relative:page;mso-position-vertical-relative:page;position:absolute;z-index:-251653120"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22</w:t>
                </w:r>
                <w:r>
                  <w:fldChar w:fldCharType="end"/>
                </w:r>
              </w:p>
            </w:txbxContent>
          </v:textbox>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width:15.15pt;height:11pt;margin-top:773.91pt;margin-left:515.4pt;mso-position-horizontal-relative:page;mso-position-vertical-relative:page;position:absolute;z-index:-251654144"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1</w:t>
                </w:r>
                <w:r>
                  <w:fldChar w:fldCharType="end"/>
                </w:r>
              </w:p>
            </w:txbxContent>
          </v:textbox>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width:15.15pt;height:11pt;margin-top:773.91pt;margin-left:63.5pt;mso-position-horizontal-relative:page;mso-position-vertical-relative:page;position:absolute;z-index:-251651072"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w:t>
                </w:r>
                <w:r>
                  <w:fldChar w:fldCharType="end"/>
                </w:r>
              </w:p>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width:15.15pt;height:11pt;margin-top:773.91pt;margin-left:515.4pt;mso-position-horizontal-relative:page;mso-position-vertical-relative:page;position:absolute;z-index:-251652096"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21</w:t>
                </w:r>
                <w:r>
                  <w:fldChar w:fldCharType="end"/>
                </w:r>
              </w:p>
            </w:txbxContent>
          </v:textbox>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width:15.15pt;height:11pt;margin-top:773.91pt;margin-left:63.5pt;mso-position-horizontal-relative:page;mso-position-vertical-relative:page;position:absolute;z-index:-251649024"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22</w:t>
                </w:r>
                <w:r>
                  <w:fldChar w:fldCharType="end"/>
                </w:r>
              </w:p>
            </w:txbxContent>
          </v:textbox>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width:91.4pt;height:12.6pt;margin-top:71.4pt;margin-left:55.66pt;mso-position-horizontal-relative:page;mso-position-vertical-relative:page;position:absolute;z-index:-251657216"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width:91.45pt;height:12.6pt;margin-top:71.4pt;margin-left:448.38pt;mso-position-horizontal-relative:page;mso-position-vertical-relative:page;position:absolute;z-index:-251650048"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width:91.4pt;height:12.6pt;margin-top:71.4pt;margin-left:55.66pt;mso-position-horizontal-relative:page;mso-position-vertical-relative:page;position:absolute;z-index:-251646976"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width:91.45pt;height:12.6pt;margin-top:71.4pt;margin-left:448.38pt;mso-position-horizontal-relative:page;mso-position-vertical-relative:page;position:absolute;z-index:-251648000"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width:91.4pt;height:12.6pt;margin-top:71.4pt;margin-left:55.66pt;mso-position-horizontal-relative:page;mso-position-vertical-relative:page;position:absolute;z-index:-251644928"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width:91.45pt;height:12.6pt;margin-top:71.4pt;margin-left:448.38pt;mso-position-horizontal-relative:page;mso-position-vertical-relative:page;position:absolute;z-index:-251645952"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width:91.4pt;height:12.6pt;margin-top:71.4pt;margin-left:55.66pt;mso-position-horizontal-relative:page;mso-position-vertical-relative:page;position:absolute;z-index:-251642880"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width:91.45pt;height:12.6pt;margin-top:71.4pt;margin-left:448.38pt;mso-position-horizontal-relative:page;mso-position-vertical-relative:page;position:absolute;z-index:-251643904"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width:91.4pt;height:12.6pt;margin-top:71.4pt;margin-left:55.66pt;mso-position-horizontal-relative:page;mso-position-vertical-relative:page;position:absolute;z-index:-251640832"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width:91.45pt;height:12.6pt;margin-top:71.4pt;margin-left:448.38pt;mso-position-horizontal-relative:page;mso-position-vertical-relative:page;position:absolute;z-index:-251641856"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width:91.45pt;height:12.6pt;margin-top:71.4pt;margin-left:448.38pt;mso-position-horizontal-relative:page;mso-position-vertical-relative:page;position:absolute;z-index:-251658240"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width:91.4pt;height:12.6pt;margin-top:71.4pt;margin-left:55.66pt;mso-position-horizontal-relative:page;mso-position-vertical-relative:page;position:absolute;z-index:-251655168"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width:91.45pt;height:12.6pt;margin-top:71.4pt;margin-left:448.38pt;mso-position-horizontal-relative:page;mso-position-vertical-relative:page;position:absolute;z-index:-251656192"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width:91.4pt;height:12.6pt;margin-top:71.4pt;margin-left:55.66pt;mso-position-horizontal-relative:page;mso-position-vertical-relative:page;position:absolute;z-index:-251653120"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width:91.45pt;height:12.6pt;margin-top:71.4pt;margin-left:448.38pt;mso-position-horizontal-relative:page;mso-position-vertical-relative:page;position:absolute;z-index:-251654144"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width:91.4pt;height:12.6pt;margin-top:71.4pt;margin-left:55.66pt;mso-position-horizontal-relative:page;mso-position-vertical-relative:page;position:absolute;z-index:-251651072"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width:91.45pt;height:12.6pt;margin-top:71.4pt;margin-left:448.38pt;mso-position-horizontal-relative:page;mso-position-vertical-relative:page;position:absolute;z-index:-251652096"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width:91.4pt;height:12.6pt;margin-top:71.4pt;margin-left:55.66pt;mso-position-horizontal-relative:page;mso-position-vertical-relative:page;position:absolute;z-index:-251649024" filled="f" stroked="f">
          <v:textbox inset="0,0,0,0">
            <w:txbxContent>
              <w:p>
                <w:pPr>
                  <w:pStyle w:val="BodyText"/>
                  <w:spacing w:line="251" w:lineRule="exact"/>
                  <w:ind w:left="20"/>
                  <w:rPr>
                    <w:rFonts w:ascii="黑体" w:hAnsi="黑体"/>
                  </w:rPr>
                </w:pPr>
                <w:r>
                  <w:rPr>
                    <w:rFonts w:ascii="黑体" w:hAnsi="黑体"/>
                  </w:rPr>
                  <w:t>DB14/T 2966</w:t>
                </w:r>
                <w:r>
                  <w:t>—</w:t>
                </w:r>
                <w:r>
                  <w:rPr>
                    <w:rFonts w:ascii="黑体" w:hAnsi="黑体"/>
                  </w:rPr>
                  <w:t>2024</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3D56"/>
    <w:multiLevelType w:val="hybridMultilevel"/>
    <w:tmpl w:val="00000000"/>
    <w:lvl w:ilvl="0">
      <w:start w:val="1"/>
      <w:numFmt w:val="decimal"/>
      <w:lvlText w:val="%1"/>
      <w:lvlJc w:val="left"/>
      <w:pPr>
        <w:ind w:left="733" w:hanging="315"/>
        <w:jc w:val="right"/>
      </w:pPr>
      <w:rPr>
        <w:rFonts w:ascii="黑体" w:eastAsia="黑体" w:hAnsi="黑体" w:cs="黑体" w:hint="default"/>
        <w:w w:val="100"/>
        <w:sz w:val="21"/>
        <w:szCs w:val="21"/>
        <w:lang w:val="en-US" w:eastAsia="zh-CN" w:bidi="ar-SA"/>
      </w:rPr>
    </w:lvl>
    <w:lvl w:ilvl="1">
      <w:start w:val="1"/>
      <w:numFmt w:val="decimal"/>
      <w:lvlText w:val="%1.%2"/>
      <w:lvlJc w:val="left"/>
      <w:pPr>
        <w:ind w:left="736" w:hanging="318"/>
        <w:jc w:val="right"/>
      </w:pPr>
      <w:rPr>
        <w:rFonts w:ascii="黑体" w:eastAsia="黑体" w:hAnsi="黑体" w:cs="黑体" w:hint="default"/>
        <w:w w:val="100"/>
        <w:sz w:val="19"/>
        <w:szCs w:val="19"/>
        <w:lang w:val="en-US" w:eastAsia="zh-CN" w:bidi="ar-SA"/>
      </w:rPr>
    </w:lvl>
    <w:lvl w:ilvl="2">
      <w:start w:val="1"/>
      <w:numFmt w:val="decimal"/>
      <w:lvlText w:val="%1.%2.%3"/>
      <w:lvlJc w:val="left"/>
      <w:pPr>
        <w:ind w:left="1153" w:hanging="735"/>
        <w:jc w:val="left"/>
      </w:pPr>
      <w:rPr>
        <w:rFonts w:ascii="黑体" w:eastAsia="黑体" w:hAnsi="黑体" w:cs="黑体" w:hint="default"/>
        <w:w w:val="100"/>
        <w:sz w:val="21"/>
        <w:szCs w:val="21"/>
        <w:lang w:val="en-US" w:eastAsia="zh-CN" w:bidi="ar-SA"/>
      </w:rPr>
    </w:lvl>
    <w:lvl w:ilvl="3">
      <w:start w:val="1"/>
      <w:numFmt w:val="decimal"/>
      <w:lvlText w:val="%1.%2.%3.%4"/>
      <w:lvlJc w:val="left"/>
      <w:pPr>
        <w:ind w:left="133" w:hanging="946"/>
        <w:jc w:val="left"/>
      </w:pPr>
      <w:rPr>
        <w:rFonts w:hint="default"/>
        <w:spacing w:val="-3"/>
        <w:w w:val="100"/>
        <w:lang w:val="en-US" w:eastAsia="zh-CN" w:bidi="ar-SA"/>
      </w:rPr>
    </w:lvl>
    <w:lvl w:ilvl="4">
      <w:start w:val="0"/>
      <w:numFmt w:val="bullet"/>
      <w:lvlText w:val="•"/>
      <w:lvlJc w:val="left"/>
      <w:pPr>
        <w:ind w:left="940" w:hanging="946"/>
      </w:pPr>
      <w:rPr>
        <w:rFonts w:hint="default"/>
        <w:lang w:val="en-US" w:eastAsia="zh-CN" w:bidi="ar-SA"/>
      </w:rPr>
    </w:lvl>
    <w:lvl w:ilvl="5">
      <w:start w:val="0"/>
      <w:numFmt w:val="bullet"/>
      <w:lvlText w:val="•"/>
      <w:lvlJc w:val="left"/>
      <w:pPr>
        <w:ind w:left="1160" w:hanging="946"/>
      </w:pPr>
      <w:rPr>
        <w:rFonts w:hint="default"/>
        <w:lang w:val="en-US" w:eastAsia="zh-CN" w:bidi="ar-SA"/>
      </w:rPr>
    </w:lvl>
    <w:lvl w:ilvl="6">
      <w:start w:val="0"/>
      <w:numFmt w:val="bullet"/>
      <w:lvlText w:val="•"/>
      <w:lvlJc w:val="left"/>
      <w:pPr>
        <w:ind w:left="2965" w:hanging="946"/>
      </w:pPr>
      <w:rPr>
        <w:rFonts w:hint="default"/>
        <w:lang w:val="en-US" w:eastAsia="zh-CN" w:bidi="ar-SA"/>
      </w:rPr>
    </w:lvl>
    <w:lvl w:ilvl="7">
      <w:start w:val="0"/>
      <w:numFmt w:val="bullet"/>
      <w:lvlText w:val="•"/>
      <w:lvlJc w:val="left"/>
      <w:pPr>
        <w:ind w:left="4770" w:hanging="946"/>
      </w:pPr>
      <w:rPr>
        <w:rFonts w:hint="default"/>
        <w:lang w:val="en-US" w:eastAsia="zh-CN" w:bidi="ar-SA"/>
      </w:rPr>
    </w:lvl>
    <w:lvl w:ilvl="8">
      <w:start w:val="0"/>
      <w:numFmt w:val="bullet"/>
      <w:lvlText w:val="•"/>
      <w:lvlJc w:val="left"/>
      <w:pPr>
        <w:ind w:left="6575" w:hanging="946"/>
      </w:pPr>
      <w:rPr>
        <w:rFonts w:hint="default"/>
        <w:lang w:val="en-US" w:eastAsia="zh-CN" w:bidi="ar-SA"/>
      </w:rPr>
    </w:lvl>
  </w:abstractNum>
  <w:abstractNum w:abstractNumId="1">
    <w:nsid w:val="0175EAD3"/>
    <w:multiLevelType w:val="hybridMultilevel"/>
    <w:tmpl w:val="00000000"/>
    <w:lvl w:ilvl="0">
      <w:start w:val="1"/>
      <w:numFmt w:val="lowerLetter"/>
      <w:lvlText w:val="%1)"/>
      <w:lvlJc w:val="left"/>
      <w:pPr>
        <w:ind w:left="1270" w:hanging="428"/>
        <w:jc w:val="left"/>
      </w:pPr>
      <w:rPr>
        <w:rFonts w:ascii="宋体" w:eastAsia="宋体" w:hAnsi="宋体" w:cs="宋体" w:hint="default"/>
        <w:w w:val="100"/>
        <w:sz w:val="21"/>
        <w:szCs w:val="21"/>
        <w:lang w:val="en-US" w:eastAsia="zh-CN" w:bidi="ar-SA"/>
      </w:rPr>
    </w:lvl>
    <w:lvl w:ilvl="1">
      <w:start w:val="0"/>
      <w:numFmt w:val="bullet"/>
      <w:lvlText w:val="•"/>
      <w:lvlJc w:val="left"/>
      <w:pPr>
        <w:ind w:left="2170" w:hanging="428"/>
      </w:pPr>
      <w:rPr>
        <w:rFonts w:hint="default"/>
        <w:lang w:val="en-US" w:eastAsia="zh-CN" w:bidi="ar-SA"/>
      </w:rPr>
    </w:lvl>
    <w:lvl w:ilvl="2">
      <w:start w:val="0"/>
      <w:numFmt w:val="bullet"/>
      <w:lvlText w:val="•"/>
      <w:lvlJc w:val="left"/>
      <w:pPr>
        <w:ind w:left="3061" w:hanging="428"/>
      </w:pPr>
      <w:rPr>
        <w:rFonts w:hint="default"/>
        <w:lang w:val="en-US" w:eastAsia="zh-CN" w:bidi="ar-SA"/>
      </w:rPr>
    </w:lvl>
    <w:lvl w:ilvl="3">
      <w:start w:val="0"/>
      <w:numFmt w:val="bullet"/>
      <w:lvlText w:val="•"/>
      <w:lvlJc w:val="left"/>
      <w:pPr>
        <w:ind w:left="3951" w:hanging="428"/>
      </w:pPr>
      <w:rPr>
        <w:rFonts w:hint="default"/>
        <w:lang w:val="en-US" w:eastAsia="zh-CN" w:bidi="ar-SA"/>
      </w:rPr>
    </w:lvl>
    <w:lvl w:ilvl="4">
      <w:start w:val="0"/>
      <w:numFmt w:val="bullet"/>
      <w:lvlText w:val="•"/>
      <w:lvlJc w:val="left"/>
      <w:pPr>
        <w:ind w:left="4842" w:hanging="428"/>
      </w:pPr>
      <w:rPr>
        <w:rFonts w:hint="default"/>
        <w:lang w:val="en-US" w:eastAsia="zh-CN" w:bidi="ar-SA"/>
      </w:rPr>
    </w:lvl>
    <w:lvl w:ilvl="5">
      <w:start w:val="0"/>
      <w:numFmt w:val="bullet"/>
      <w:lvlText w:val="•"/>
      <w:lvlJc w:val="left"/>
      <w:pPr>
        <w:ind w:left="5733" w:hanging="428"/>
      </w:pPr>
      <w:rPr>
        <w:rFonts w:hint="default"/>
        <w:lang w:val="en-US" w:eastAsia="zh-CN" w:bidi="ar-SA"/>
      </w:rPr>
    </w:lvl>
    <w:lvl w:ilvl="6">
      <w:start w:val="0"/>
      <w:numFmt w:val="bullet"/>
      <w:lvlText w:val="•"/>
      <w:lvlJc w:val="left"/>
      <w:pPr>
        <w:ind w:left="6623" w:hanging="428"/>
      </w:pPr>
      <w:rPr>
        <w:rFonts w:hint="default"/>
        <w:lang w:val="en-US" w:eastAsia="zh-CN" w:bidi="ar-SA"/>
      </w:rPr>
    </w:lvl>
    <w:lvl w:ilvl="7">
      <w:start w:val="0"/>
      <w:numFmt w:val="bullet"/>
      <w:lvlText w:val="•"/>
      <w:lvlJc w:val="left"/>
      <w:pPr>
        <w:ind w:left="7514" w:hanging="428"/>
      </w:pPr>
      <w:rPr>
        <w:rFonts w:hint="default"/>
        <w:lang w:val="en-US" w:eastAsia="zh-CN" w:bidi="ar-SA"/>
      </w:rPr>
    </w:lvl>
    <w:lvl w:ilvl="8">
      <w:start w:val="0"/>
      <w:numFmt w:val="bullet"/>
      <w:lvlText w:val="•"/>
      <w:lvlJc w:val="left"/>
      <w:pPr>
        <w:ind w:left="8405" w:hanging="428"/>
      </w:pPr>
      <w:rPr>
        <w:rFonts w:hint="default"/>
        <w:lang w:val="en-US" w:eastAsia="zh-CN" w:bidi="ar-SA"/>
      </w:rPr>
    </w:lvl>
  </w:abstractNum>
  <w:abstractNum w:abstractNumId="2">
    <w:nsid w:val="05579C44"/>
    <w:multiLevelType w:val="hybridMultilevel"/>
    <w:tmpl w:val="00000000"/>
    <w:lvl w:ilvl="0">
      <w:start w:val="1"/>
      <w:numFmt w:val="lowerLetter"/>
      <w:lvlText w:val="%1)"/>
      <w:lvlJc w:val="left"/>
      <w:pPr>
        <w:ind w:left="418" w:hanging="428"/>
        <w:jc w:val="right"/>
      </w:pPr>
      <w:rPr>
        <w:rFonts w:ascii="宋体" w:eastAsia="宋体" w:hAnsi="宋体" w:cs="宋体" w:hint="default"/>
        <w:w w:val="100"/>
        <w:sz w:val="21"/>
        <w:szCs w:val="21"/>
        <w:lang w:val="en-US" w:eastAsia="zh-CN" w:bidi="ar-SA"/>
      </w:rPr>
    </w:lvl>
    <w:lvl w:ilvl="1">
      <w:start w:val="0"/>
      <w:numFmt w:val="bullet"/>
      <w:lvlText w:val="•"/>
      <w:lvlJc w:val="left"/>
      <w:pPr>
        <w:ind w:left="1396" w:hanging="428"/>
      </w:pPr>
      <w:rPr>
        <w:rFonts w:hint="default"/>
        <w:lang w:val="en-US" w:eastAsia="zh-CN" w:bidi="ar-SA"/>
      </w:rPr>
    </w:lvl>
    <w:lvl w:ilvl="2">
      <w:start w:val="0"/>
      <w:numFmt w:val="bullet"/>
      <w:lvlText w:val="•"/>
      <w:lvlJc w:val="left"/>
      <w:pPr>
        <w:ind w:left="2373" w:hanging="428"/>
      </w:pPr>
      <w:rPr>
        <w:rFonts w:hint="default"/>
        <w:lang w:val="en-US" w:eastAsia="zh-CN" w:bidi="ar-SA"/>
      </w:rPr>
    </w:lvl>
    <w:lvl w:ilvl="3">
      <w:start w:val="0"/>
      <w:numFmt w:val="bullet"/>
      <w:lvlText w:val="•"/>
      <w:lvlJc w:val="left"/>
      <w:pPr>
        <w:ind w:left="3349" w:hanging="428"/>
      </w:pPr>
      <w:rPr>
        <w:rFonts w:hint="default"/>
        <w:lang w:val="en-US" w:eastAsia="zh-CN" w:bidi="ar-SA"/>
      </w:rPr>
    </w:lvl>
    <w:lvl w:ilvl="4">
      <w:start w:val="0"/>
      <w:numFmt w:val="bullet"/>
      <w:lvlText w:val="•"/>
      <w:lvlJc w:val="left"/>
      <w:pPr>
        <w:ind w:left="4326" w:hanging="428"/>
      </w:pPr>
      <w:rPr>
        <w:rFonts w:hint="default"/>
        <w:lang w:val="en-US" w:eastAsia="zh-CN" w:bidi="ar-SA"/>
      </w:rPr>
    </w:lvl>
    <w:lvl w:ilvl="5">
      <w:start w:val="0"/>
      <w:numFmt w:val="bullet"/>
      <w:lvlText w:val="•"/>
      <w:lvlJc w:val="left"/>
      <w:pPr>
        <w:ind w:left="5303" w:hanging="428"/>
      </w:pPr>
      <w:rPr>
        <w:rFonts w:hint="default"/>
        <w:lang w:val="en-US" w:eastAsia="zh-CN" w:bidi="ar-SA"/>
      </w:rPr>
    </w:lvl>
    <w:lvl w:ilvl="6">
      <w:start w:val="0"/>
      <w:numFmt w:val="bullet"/>
      <w:lvlText w:val="•"/>
      <w:lvlJc w:val="left"/>
      <w:pPr>
        <w:ind w:left="6279" w:hanging="428"/>
      </w:pPr>
      <w:rPr>
        <w:rFonts w:hint="default"/>
        <w:lang w:val="en-US" w:eastAsia="zh-CN" w:bidi="ar-SA"/>
      </w:rPr>
    </w:lvl>
    <w:lvl w:ilvl="7">
      <w:start w:val="0"/>
      <w:numFmt w:val="bullet"/>
      <w:lvlText w:val="•"/>
      <w:lvlJc w:val="left"/>
      <w:pPr>
        <w:ind w:left="7256" w:hanging="428"/>
      </w:pPr>
      <w:rPr>
        <w:rFonts w:hint="default"/>
        <w:lang w:val="en-US" w:eastAsia="zh-CN" w:bidi="ar-SA"/>
      </w:rPr>
    </w:lvl>
    <w:lvl w:ilvl="8">
      <w:start w:val="0"/>
      <w:numFmt w:val="bullet"/>
      <w:lvlText w:val="•"/>
      <w:lvlJc w:val="left"/>
      <w:pPr>
        <w:ind w:left="8233" w:hanging="428"/>
      </w:pPr>
      <w:rPr>
        <w:rFonts w:hint="default"/>
        <w:lang w:val="en-US" w:eastAsia="zh-CN" w:bidi="ar-SA"/>
      </w:rPr>
    </w:lvl>
  </w:abstractNum>
  <w:abstractNum w:abstractNumId="3">
    <w:nsid w:val="15C3311E"/>
    <w:multiLevelType w:val="hybridMultilevel"/>
    <w:tmpl w:val="00000000"/>
    <w:lvl w:ilvl="0">
      <w:start w:val="1"/>
      <w:numFmt w:val="decimal"/>
      <w:lvlText w:val="[%1]"/>
      <w:lvlJc w:val="left"/>
      <w:pPr>
        <w:ind w:left="922" w:hanging="370"/>
        <w:jc w:val="left"/>
      </w:pPr>
      <w:rPr>
        <w:rFonts w:ascii="宋体" w:eastAsia="宋体" w:hAnsi="宋体" w:cs="宋体" w:hint="default"/>
        <w:w w:val="100"/>
        <w:sz w:val="21"/>
        <w:szCs w:val="21"/>
        <w:lang w:val="en-US" w:eastAsia="zh-CN" w:bidi="ar-SA"/>
      </w:rPr>
    </w:lvl>
    <w:lvl w:ilvl="1">
      <w:start w:val="0"/>
      <w:numFmt w:val="bullet"/>
      <w:lvlText w:val="•"/>
      <w:lvlJc w:val="left"/>
      <w:pPr>
        <w:ind w:left="1846" w:hanging="370"/>
      </w:pPr>
      <w:rPr>
        <w:rFonts w:hint="default"/>
        <w:lang w:val="en-US" w:eastAsia="zh-CN" w:bidi="ar-SA"/>
      </w:rPr>
    </w:lvl>
    <w:lvl w:ilvl="2">
      <w:start w:val="0"/>
      <w:numFmt w:val="bullet"/>
      <w:lvlText w:val="•"/>
      <w:lvlJc w:val="left"/>
      <w:pPr>
        <w:ind w:left="2773" w:hanging="370"/>
      </w:pPr>
      <w:rPr>
        <w:rFonts w:hint="default"/>
        <w:lang w:val="en-US" w:eastAsia="zh-CN" w:bidi="ar-SA"/>
      </w:rPr>
    </w:lvl>
    <w:lvl w:ilvl="3">
      <w:start w:val="0"/>
      <w:numFmt w:val="bullet"/>
      <w:lvlText w:val="•"/>
      <w:lvlJc w:val="left"/>
      <w:pPr>
        <w:ind w:left="3699" w:hanging="370"/>
      </w:pPr>
      <w:rPr>
        <w:rFonts w:hint="default"/>
        <w:lang w:val="en-US" w:eastAsia="zh-CN" w:bidi="ar-SA"/>
      </w:rPr>
    </w:lvl>
    <w:lvl w:ilvl="4">
      <w:start w:val="0"/>
      <w:numFmt w:val="bullet"/>
      <w:lvlText w:val="•"/>
      <w:lvlJc w:val="left"/>
      <w:pPr>
        <w:ind w:left="4626" w:hanging="370"/>
      </w:pPr>
      <w:rPr>
        <w:rFonts w:hint="default"/>
        <w:lang w:val="en-US" w:eastAsia="zh-CN" w:bidi="ar-SA"/>
      </w:rPr>
    </w:lvl>
    <w:lvl w:ilvl="5">
      <w:start w:val="0"/>
      <w:numFmt w:val="bullet"/>
      <w:lvlText w:val="•"/>
      <w:lvlJc w:val="left"/>
      <w:pPr>
        <w:ind w:left="5553" w:hanging="370"/>
      </w:pPr>
      <w:rPr>
        <w:rFonts w:hint="default"/>
        <w:lang w:val="en-US" w:eastAsia="zh-CN" w:bidi="ar-SA"/>
      </w:rPr>
    </w:lvl>
    <w:lvl w:ilvl="6">
      <w:start w:val="0"/>
      <w:numFmt w:val="bullet"/>
      <w:lvlText w:val="•"/>
      <w:lvlJc w:val="left"/>
      <w:pPr>
        <w:ind w:left="6479" w:hanging="370"/>
      </w:pPr>
      <w:rPr>
        <w:rFonts w:hint="default"/>
        <w:lang w:val="en-US" w:eastAsia="zh-CN" w:bidi="ar-SA"/>
      </w:rPr>
    </w:lvl>
    <w:lvl w:ilvl="7">
      <w:start w:val="0"/>
      <w:numFmt w:val="bullet"/>
      <w:lvlText w:val="•"/>
      <w:lvlJc w:val="left"/>
      <w:pPr>
        <w:ind w:left="7406" w:hanging="370"/>
      </w:pPr>
      <w:rPr>
        <w:rFonts w:hint="default"/>
        <w:lang w:val="en-US" w:eastAsia="zh-CN" w:bidi="ar-SA"/>
      </w:rPr>
    </w:lvl>
    <w:lvl w:ilvl="8">
      <w:start w:val="0"/>
      <w:numFmt w:val="bullet"/>
      <w:lvlText w:val="•"/>
      <w:lvlJc w:val="left"/>
      <w:pPr>
        <w:ind w:left="8333" w:hanging="370"/>
      </w:pPr>
      <w:rPr>
        <w:rFonts w:hint="default"/>
        <w:lang w:val="en-US" w:eastAsia="zh-CN" w:bidi="ar-SA"/>
      </w:rPr>
    </w:lvl>
  </w:abstractNum>
  <w:abstractNum w:abstractNumId="4">
    <w:nsid w:val="196D6709"/>
    <w:multiLevelType w:val="hybridMultilevel"/>
    <w:tmpl w:val="00000000"/>
    <w:lvl w:ilvl="0">
      <w:start w:val="1"/>
      <w:numFmt w:val="lowerLetter"/>
      <w:lvlText w:val="%1)"/>
      <w:lvlJc w:val="left"/>
      <w:pPr>
        <w:ind w:left="1270" w:hanging="428"/>
        <w:jc w:val="left"/>
      </w:pPr>
      <w:rPr>
        <w:rFonts w:ascii="宋体" w:eastAsia="宋体" w:hAnsi="宋体" w:cs="宋体" w:hint="default"/>
        <w:w w:val="100"/>
        <w:sz w:val="21"/>
        <w:szCs w:val="21"/>
        <w:lang w:val="en-US" w:eastAsia="zh-CN" w:bidi="ar-SA"/>
      </w:rPr>
    </w:lvl>
    <w:lvl w:ilvl="1">
      <w:start w:val="0"/>
      <w:numFmt w:val="bullet"/>
      <w:lvlText w:val="•"/>
      <w:lvlJc w:val="left"/>
      <w:pPr>
        <w:ind w:left="2170" w:hanging="428"/>
      </w:pPr>
      <w:rPr>
        <w:rFonts w:hint="default"/>
        <w:lang w:val="en-US" w:eastAsia="zh-CN" w:bidi="ar-SA"/>
      </w:rPr>
    </w:lvl>
    <w:lvl w:ilvl="2">
      <w:start w:val="0"/>
      <w:numFmt w:val="bullet"/>
      <w:lvlText w:val="•"/>
      <w:lvlJc w:val="left"/>
      <w:pPr>
        <w:ind w:left="3061" w:hanging="428"/>
      </w:pPr>
      <w:rPr>
        <w:rFonts w:hint="default"/>
        <w:lang w:val="en-US" w:eastAsia="zh-CN" w:bidi="ar-SA"/>
      </w:rPr>
    </w:lvl>
    <w:lvl w:ilvl="3">
      <w:start w:val="0"/>
      <w:numFmt w:val="bullet"/>
      <w:lvlText w:val="•"/>
      <w:lvlJc w:val="left"/>
      <w:pPr>
        <w:ind w:left="3951" w:hanging="428"/>
      </w:pPr>
      <w:rPr>
        <w:rFonts w:hint="default"/>
        <w:lang w:val="en-US" w:eastAsia="zh-CN" w:bidi="ar-SA"/>
      </w:rPr>
    </w:lvl>
    <w:lvl w:ilvl="4">
      <w:start w:val="0"/>
      <w:numFmt w:val="bullet"/>
      <w:lvlText w:val="•"/>
      <w:lvlJc w:val="left"/>
      <w:pPr>
        <w:ind w:left="4842" w:hanging="428"/>
      </w:pPr>
      <w:rPr>
        <w:rFonts w:hint="default"/>
        <w:lang w:val="en-US" w:eastAsia="zh-CN" w:bidi="ar-SA"/>
      </w:rPr>
    </w:lvl>
    <w:lvl w:ilvl="5">
      <w:start w:val="0"/>
      <w:numFmt w:val="bullet"/>
      <w:lvlText w:val="•"/>
      <w:lvlJc w:val="left"/>
      <w:pPr>
        <w:ind w:left="5733" w:hanging="428"/>
      </w:pPr>
      <w:rPr>
        <w:rFonts w:hint="default"/>
        <w:lang w:val="en-US" w:eastAsia="zh-CN" w:bidi="ar-SA"/>
      </w:rPr>
    </w:lvl>
    <w:lvl w:ilvl="6">
      <w:start w:val="0"/>
      <w:numFmt w:val="bullet"/>
      <w:lvlText w:val="•"/>
      <w:lvlJc w:val="left"/>
      <w:pPr>
        <w:ind w:left="6623" w:hanging="428"/>
      </w:pPr>
      <w:rPr>
        <w:rFonts w:hint="default"/>
        <w:lang w:val="en-US" w:eastAsia="zh-CN" w:bidi="ar-SA"/>
      </w:rPr>
    </w:lvl>
    <w:lvl w:ilvl="7">
      <w:start w:val="0"/>
      <w:numFmt w:val="bullet"/>
      <w:lvlText w:val="•"/>
      <w:lvlJc w:val="left"/>
      <w:pPr>
        <w:ind w:left="7514" w:hanging="428"/>
      </w:pPr>
      <w:rPr>
        <w:rFonts w:hint="default"/>
        <w:lang w:val="en-US" w:eastAsia="zh-CN" w:bidi="ar-SA"/>
      </w:rPr>
    </w:lvl>
    <w:lvl w:ilvl="8">
      <w:start w:val="0"/>
      <w:numFmt w:val="bullet"/>
      <w:lvlText w:val="•"/>
      <w:lvlJc w:val="left"/>
      <w:pPr>
        <w:ind w:left="8405" w:hanging="428"/>
      </w:pPr>
      <w:rPr>
        <w:rFonts w:hint="default"/>
        <w:lang w:val="en-US" w:eastAsia="zh-CN" w:bidi="ar-SA"/>
      </w:rPr>
    </w:lvl>
  </w:abstractNum>
  <w:abstractNum w:abstractNumId="5">
    <w:nsid w:val="1BED0556"/>
    <w:multiLevelType w:val="hybridMultilevel"/>
    <w:tmpl w:val="00000000"/>
    <w:lvl w:ilvl="0">
      <w:start w:val="1"/>
      <w:numFmt w:val="lowerLetter"/>
      <w:lvlText w:val="%1)"/>
      <w:lvlJc w:val="left"/>
      <w:pPr>
        <w:ind w:left="985" w:hanging="428"/>
        <w:jc w:val="right"/>
      </w:pPr>
      <w:rPr>
        <w:rFonts w:ascii="宋体" w:eastAsia="宋体" w:hAnsi="宋体" w:cs="宋体" w:hint="default"/>
        <w:w w:val="100"/>
        <w:sz w:val="21"/>
        <w:szCs w:val="21"/>
        <w:lang w:val="en-US" w:eastAsia="zh-CN" w:bidi="ar-SA"/>
      </w:rPr>
    </w:lvl>
    <w:lvl w:ilvl="1">
      <w:start w:val="0"/>
      <w:numFmt w:val="bullet"/>
      <w:lvlText w:val="•"/>
      <w:lvlJc w:val="left"/>
      <w:pPr>
        <w:ind w:left="1900" w:hanging="428"/>
      </w:pPr>
      <w:rPr>
        <w:rFonts w:hint="default"/>
        <w:lang w:val="en-US" w:eastAsia="zh-CN" w:bidi="ar-SA"/>
      </w:rPr>
    </w:lvl>
    <w:lvl w:ilvl="2">
      <w:start w:val="0"/>
      <w:numFmt w:val="bullet"/>
      <w:lvlText w:val="•"/>
      <w:lvlJc w:val="left"/>
      <w:pPr>
        <w:ind w:left="2821" w:hanging="428"/>
      </w:pPr>
      <w:rPr>
        <w:rFonts w:hint="default"/>
        <w:lang w:val="en-US" w:eastAsia="zh-CN" w:bidi="ar-SA"/>
      </w:rPr>
    </w:lvl>
    <w:lvl w:ilvl="3">
      <w:start w:val="0"/>
      <w:numFmt w:val="bullet"/>
      <w:lvlText w:val="•"/>
      <w:lvlJc w:val="left"/>
      <w:pPr>
        <w:ind w:left="3741" w:hanging="428"/>
      </w:pPr>
      <w:rPr>
        <w:rFonts w:hint="default"/>
        <w:lang w:val="en-US" w:eastAsia="zh-CN" w:bidi="ar-SA"/>
      </w:rPr>
    </w:lvl>
    <w:lvl w:ilvl="4">
      <w:start w:val="0"/>
      <w:numFmt w:val="bullet"/>
      <w:lvlText w:val="•"/>
      <w:lvlJc w:val="left"/>
      <w:pPr>
        <w:ind w:left="4662" w:hanging="428"/>
      </w:pPr>
      <w:rPr>
        <w:rFonts w:hint="default"/>
        <w:lang w:val="en-US" w:eastAsia="zh-CN" w:bidi="ar-SA"/>
      </w:rPr>
    </w:lvl>
    <w:lvl w:ilvl="5">
      <w:start w:val="0"/>
      <w:numFmt w:val="bullet"/>
      <w:lvlText w:val="•"/>
      <w:lvlJc w:val="left"/>
      <w:pPr>
        <w:ind w:left="5583" w:hanging="428"/>
      </w:pPr>
      <w:rPr>
        <w:rFonts w:hint="default"/>
        <w:lang w:val="en-US" w:eastAsia="zh-CN" w:bidi="ar-SA"/>
      </w:rPr>
    </w:lvl>
    <w:lvl w:ilvl="6">
      <w:start w:val="0"/>
      <w:numFmt w:val="bullet"/>
      <w:lvlText w:val="•"/>
      <w:lvlJc w:val="left"/>
      <w:pPr>
        <w:ind w:left="6503" w:hanging="428"/>
      </w:pPr>
      <w:rPr>
        <w:rFonts w:hint="default"/>
        <w:lang w:val="en-US" w:eastAsia="zh-CN" w:bidi="ar-SA"/>
      </w:rPr>
    </w:lvl>
    <w:lvl w:ilvl="7">
      <w:start w:val="0"/>
      <w:numFmt w:val="bullet"/>
      <w:lvlText w:val="•"/>
      <w:lvlJc w:val="left"/>
      <w:pPr>
        <w:ind w:left="7424" w:hanging="428"/>
      </w:pPr>
      <w:rPr>
        <w:rFonts w:hint="default"/>
        <w:lang w:val="en-US" w:eastAsia="zh-CN" w:bidi="ar-SA"/>
      </w:rPr>
    </w:lvl>
    <w:lvl w:ilvl="8">
      <w:start w:val="0"/>
      <w:numFmt w:val="bullet"/>
      <w:lvlText w:val="•"/>
      <w:lvlJc w:val="left"/>
      <w:pPr>
        <w:ind w:left="8345" w:hanging="428"/>
      </w:pPr>
      <w:rPr>
        <w:rFonts w:hint="default"/>
        <w:lang w:val="en-US" w:eastAsia="zh-CN" w:bidi="ar-SA"/>
      </w:rPr>
    </w:lvl>
  </w:abstractNum>
  <w:abstractNum w:abstractNumId="6">
    <w:nsid w:val="31B62149"/>
    <w:multiLevelType w:val="hybridMultilevel"/>
    <w:tmpl w:val="00000000"/>
    <w:lvl w:ilvl="0">
      <w:start w:val="1"/>
      <w:numFmt w:val="lowerLetter"/>
      <w:lvlText w:val="%1)"/>
      <w:lvlJc w:val="left"/>
      <w:pPr>
        <w:ind w:left="133" w:hanging="428"/>
        <w:jc w:val="left"/>
      </w:pPr>
      <w:rPr>
        <w:rFonts w:ascii="宋体" w:eastAsia="宋体" w:hAnsi="宋体" w:cs="宋体" w:hint="default"/>
        <w:w w:val="100"/>
        <w:sz w:val="21"/>
        <w:szCs w:val="21"/>
        <w:lang w:val="en-US" w:eastAsia="zh-CN" w:bidi="ar-SA"/>
      </w:rPr>
    </w:lvl>
    <w:lvl w:ilvl="1">
      <w:start w:val="0"/>
      <w:numFmt w:val="bullet"/>
      <w:lvlText w:val="•"/>
      <w:lvlJc w:val="left"/>
      <w:pPr>
        <w:ind w:left="1144" w:hanging="428"/>
      </w:pPr>
      <w:rPr>
        <w:rFonts w:hint="default"/>
        <w:lang w:val="en-US" w:eastAsia="zh-CN" w:bidi="ar-SA"/>
      </w:rPr>
    </w:lvl>
    <w:lvl w:ilvl="2">
      <w:start w:val="0"/>
      <w:numFmt w:val="bullet"/>
      <w:lvlText w:val="•"/>
      <w:lvlJc w:val="left"/>
      <w:pPr>
        <w:ind w:left="2149" w:hanging="428"/>
      </w:pPr>
      <w:rPr>
        <w:rFonts w:hint="default"/>
        <w:lang w:val="en-US" w:eastAsia="zh-CN" w:bidi="ar-SA"/>
      </w:rPr>
    </w:lvl>
    <w:lvl w:ilvl="3">
      <w:start w:val="0"/>
      <w:numFmt w:val="bullet"/>
      <w:lvlText w:val="•"/>
      <w:lvlJc w:val="left"/>
      <w:pPr>
        <w:ind w:left="3153" w:hanging="428"/>
      </w:pPr>
      <w:rPr>
        <w:rFonts w:hint="default"/>
        <w:lang w:val="en-US" w:eastAsia="zh-CN" w:bidi="ar-SA"/>
      </w:rPr>
    </w:lvl>
    <w:lvl w:ilvl="4">
      <w:start w:val="0"/>
      <w:numFmt w:val="bullet"/>
      <w:lvlText w:val="•"/>
      <w:lvlJc w:val="left"/>
      <w:pPr>
        <w:ind w:left="4158" w:hanging="428"/>
      </w:pPr>
      <w:rPr>
        <w:rFonts w:hint="default"/>
        <w:lang w:val="en-US" w:eastAsia="zh-CN" w:bidi="ar-SA"/>
      </w:rPr>
    </w:lvl>
    <w:lvl w:ilvl="5">
      <w:start w:val="0"/>
      <w:numFmt w:val="bullet"/>
      <w:lvlText w:val="•"/>
      <w:lvlJc w:val="left"/>
      <w:pPr>
        <w:ind w:left="5163" w:hanging="428"/>
      </w:pPr>
      <w:rPr>
        <w:rFonts w:hint="default"/>
        <w:lang w:val="en-US" w:eastAsia="zh-CN" w:bidi="ar-SA"/>
      </w:rPr>
    </w:lvl>
    <w:lvl w:ilvl="6">
      <w:start w:val="0"/>
      <w:numFmt w:val="bullet"/>
      <w:lvlText w:val="•"/>
      <w:lvlJc w:val="left"/>
      <w:pPr>
        <w:ind w:left="6167" w:hanging="428"/>
      </w:pPr>
      <w:rPr>
        <w:rFonts w:hint="default"/>
        <w:lang w:val="en-US" w:eastAsia="zh-CN" w:bidi="ar-SA"/>
      </w:rPr>
    </w:lvl>
    <w:lvl w:ilvl="7">
      <w:start w:val="0"/>
      <w:numFmt w:val="bullet"/>
      <w:lvlText w:val="•"/>
      <w:lvlJc w:val="left"/>
      <w:pPr>
        <w:ind w:left="7172" w:hanging="428"/>
      </w:pPr>
      <w:rPr>
        <w:rFonts w:hint="default"/>
        <w:lang w:val="en-US" w:eastAsia="zh-CN" w:bidi="ar-SA"/>
      </w:rPr>
    </w:lvl>
    <w:lvl w:ilvl="8">
      <w:start w:val="0"/>
      <w:numFmt w:val="bullet"/>
      <w:lvlText w:val="•"/>
      <w:lvlJc w:val="left"/>
      <w:pPr>
        <w:ind w:left="8177" w:hanging="428"/>
      </w:pPr>
      <w:rPr>
        <w:rFonts w:hint="default"/>
        <w:lang w:val="en-US" w:eastAsia="zh-CN" w:bidi="ar-SA"/>
      </w:rPr>
    </w:lvl>
  </w:abstractNum>
  <w:abstractNum w:abstractNumId="7">
    <w:nsid w:val="604A58A6"/>
    <w:multiLevelType w:val="hybridMultilevel"/>
    <w:tmpl w:val="00000000"/>
    <w:lvl w:ilvl="0">
      <w:start w:val="1"/>
      <w:numFmt w:val="decimal"/>
      <w:lvlText w:val="%1"/>
      <w:lvlJc w:val="left"/>
      <w:pPr>
        <w:ind w:left="735" w:hanging="317"/>
        <w:jc w:val="left"/>
      </w:pPr>
      <w:rPr>
        <w:rFonts w:ascii="宋体" w:eastAsia="宋体" w:hAnsi="宋体" w:cs="宋体" w:hint="default"/>
        <w:w w:val="100"/>
        <w:sz w:val="21"/>
        <w:szCs w:val="21"/>
        <w:lang w:val="en-US" w:eastAsia="zh-CN" w:bidi="ar-SA"/>
      </w:rPr>
    </w:lvl>
    <w:lvl w:ilvl="1">
      <w:start w:val="0"/>
      <w:numFmt w:val="bullet"/>
      <w:lvlText w:val="•"/>
      <w:lvlJc w:val="left"/>
      <w:pPr>
        <w:ind w:left="1684" w:hanging="317"/>
      </w:pPr>
      <w:rPr>
        <w:rFonts w:hint="default"/>
        <w:lang w:val="en-US" w:eastAsia="zh-CN" w:bidi="ar-SA"/>
      </w:rPr>
    </w:lvl>
    <w:lvl w:ilvl="2">
      <w:start w:val="0"/>
      <w:numFmt w:val="bullet"/>
      <w:lvlText w:val="•"/>
      <w:lvlJc w:val="left"/>
      <w:pPr>
        <w:ind w:left="2629" w:hanging="317"/>
      </w:pPr>
      <w:rPr>
        <w:rFonts w:hint="default"/>
        <w:lang w:val="en-US" w:eastAsia="zh-CN" w:bidi="ar-SA"/>
      </w:rPr>
    </w:lvl>
    <w:lvl w:ilvl="3">
      <w:start w:val="0"/>
      <w:numFmt w:val="bullet"/>
      <w:lvlText w:val="•"/>
      <w:lvlJc w:val="left"/>
      <w:pPr>
        <w:ind w:left="3573" w:hanging="317"/>
      </w:pPr>
      <w:rPr>
        <w:rFonts w:hint="default"/>
        <w:lang w:val="en-US" w:eastAsia="zh-CN" w:bidi="ar-SA"/>
      </w:rPr>
    </w:lvl>
    <w:lvl w:ilvl="4">
      <w:start w:val="0"/>
      <w:numFmt w:val="bullet"/>
      <w:lvlText w:val="•"/>
      <w:lvlJc w:val="left"/>
      <w:pPr>
        <w:ind w:left="4518" w:hanging="317"/>
      </w:pPr>
      <w:rPr>
        <w:rFonts w:hint="default"/>
        <w:lang w:val="en-US" w:eastAsia="zh-CN" w:bidi="ar-SA"/>
      </w:rPr>
    </w:lvl>
    <w:lvl w:ilvl="5">
      <w:start w:val="0"/>
      <w:numFmt w:val="bullet"/>
      <w:lvlText w:val="•"/>
      <w:lvlJc w:val="left"/>
      <w:pPr>
        <w:ind w:left="5463" w:hanging="317"/>
      </w:pPr>
      <w:rPr>
        <w:rFonts w:hint="default"/>
        <w:lang w:val="en-US" w:eastAsia="zh-CN" w:bidi="ar-SA"/>
      </w:rPr>
    </w:lvl>
    <w:lvl w:ilvl="6">
      <w:start w:val="0"/>
      <w:numFmt w:val="bullet"/>
      <w:lvlText w:val="•"/>
      <w:lvlJc w:val="left"/>
      <w:pPr>
        <w:ind w:left="6407" w:hanging="317"/>
      </w:pPr>
      <w:rPr>
        <w:rFonts w:hint="default"/>
        <w:lang w:val="en-US" w:eastAsia="zh-CN" w:bidi="ar-SA"/>
      </w:rPr>
    </w:lvl>
    <w:lvl w:ilvl="7">
      <w:start w:val="0"/>
      <w:numFmt w:val="bullet"/>
      <w:lvlText w:val="•"/>
      <w:lvlJc w:val="left"/>
      <w:pPr>
        <w:ind w:left="7352" w:hanging="317"/>
      </w:pPr>
      <w:rPr>
        <w:rFonts w:hint="default"/>
        <w:lang w:val="en-US" w:eastAsia="zh-CN" w:bidi="ar-SA"/>
      </w:rPr>
    </w:lvl>
    <w:lvl w:ilvl="8">
      <w:start w:val="0"/>
      <w:numFmt w:val="bullet"/>
      <w:lvlText w:val="•"/>
      <w:lvlJc w:val="left"/>
      <w:pPr>
        <w:ind w:left="8297" w:hanging="317"/>
      </w:pPr>
      <w:rPr>
        <w:rFonts w:hint="default"/>
        <w:lang w:val="en-US" w:eastAsia="zh-CN" w:bidi="ar-SA"/>
      </w:rPr>
    </w:lvl>
  </w:abstractNum>
  <w:abstractNum w:abstractNumId="8">
    <w:nsid w:val="7F784E8D"/>
    <w:multiLevelType w:val="hybridMultilevel"/>
    <w:tmpl w:val="00000000"/>
    <w:lvl w:ilvl="0">
      <w:start w:val="1"/>
      <w:numFmt w:val="decimal"/>
      <w:lvlText w:val="%1"/>
      <w:lvlJc w:val="left"/>
      <w:pPr>
        <w:ind w:left="733" w:hanging="315"/>
        <w:jc w:val="right"/>
      </w:pPr>
      <w:rPr>
        <w:rFonts w:ascii="黑体" w:eastAsia="黑体" w:hAnsi="黑体" w:cs="黑体" w:hint="default"/>
        <w:w w:val="100"/>
        <w:sz w:val="21"/>
        <w:szCs w:val="21"/>
        <w:lang w:val="en-US" w:eastAsia="zh-CN" w:bidi="ar-SA"/>
      </w:rPr>
    </w:lvl>
    <w:lvl w:ilvl="1">
      <w:start w:val="1"/>
      <w:numFmt w:val="decimal"/>
      <w:lvlText w:val="%1.%2"/>
      <w:lvlJc w:val="left"/>
      <w:pPr>
        <w:ind w:left="736" w:hanging="318"/>
        <w:jc w:val="right"/>
      </w:pPr>
      <w:rPr>
        <w:rFonts w:ascii="黑体" w:eastAsia="黑体" w:hAnsi="黑体" w:cs="黑体" w:hint="default"/>
        <w:w w:val="100"/>
        <w:sz w:val="19"/>
        <w:szCs w:val="19"/>
        <w:lang w:val="en-US" w:eastAsia="zh-CN" w:bidi="ar-SA"/>
      </w:rPr>
    </w:lvl>
    <w:lvl w:ilvl="2">
      <w:start w:val="1"/>
      <w:numFmt w:val="decimal"/>
      <w:lvlText w:val="%1.%2.%3"/>
      <w:lvlJc w:val="left"/>
      <w:pPr>
        <w:ind w:left="1153" w:hanging="735"/>
        <w:jc w:val="left"/>
      </w:pPr>
      <w:rPr>
        <w:rFonts w:ascii="黑体" w:eastAsia="黑体" w:hAnsi="黑体" w:cs="黑体" w:hint="default"/>
        <w:w w:val="100"/>
        <w:sz w:val="21"/>
        <w:szCs w:val="21"/>
        <w:lang w:val="en-US" w:eastAsia="zh-CN" w:bidi="ar-SA"/>
      </w:rPr>
    </w:lvl>
    <w:lvl w:ilvl="3">
      <w:start w:val="1"/>
      <w:numFmt w:val="decimal"/>
      <w:lvlText w:val="%1.%2.%3.%4"/>
      <w:lvlJc w:val="left"/>
      <w:pPr>
        <w:ind w:left="133" w:hanging="946"/>
        <w:jc w:val="left"/>
      </w:pPr>
      <w:rPr>
        <w:rFonts w:hint="default"/>
        <w:spacing w:val="-3"/>
        <w:w w:val="100"/>
        <w:lang w:val="en-US" w:eastAsia="zh-CN" w:bidi="ar-SA"/>
      </w:rPr>
    </w:lvl>
    <w:lvl w:ilvl="4">
      <w:start w:val="0"/>
      <w:numFmt w:val="bullet"/>
      <w:lvlText w:val="•"/>
      <w:lvlJc w:val="left"/>
      <w:pPr>
        <w:ind w:left="940" w:hanging="946"/>
      </w:pPr>
      <w:rPr>
        <w:rFonts w:hint="default"/>
        <w:lang w:val="en-US" w:eastAsia="zh-CN" w:bidi="ar-SA"/>
      </w:rPr>
    </w:lvl>
    <w:lvl w:ilvl="5">
      <w:start w:val="0"/>
      <w:numFmt w:val="bullet"/>
      <w:lvlText w:val="•"/>
      <w:lvlJc w:val="left"/>
      <w:pPr>
        <w:ind w:left="1160" w:hanging="946"/>
      </w:pPr>
      <w:rPr>
        <w:rFonts w:hint="default"/>
        <w:lang w:val="en-US" w:eastAsia="zh-CN" w:bidi="ar-SA"/>
      </w:rPr>
    </w:lvl>
    <w:lvl w:ilvl="6">
      <w:start w:val="0"/>
      <w:numFmt w:val="bullet"/>
      <w:lvlText w:val="•"/>
      <w:lvlJc w:val="left"/>
      <w:pPr>
        <w:ind w:left="2965" w:hanging="946"/>
      </w:pPr>
      <w:rPr>
        <w:rFonts w:hint="default"/>
        <w:lang w:val="en-US" w:eastAsia="zh-CN" w:bidi="ar-SA"/>
      </w:rPr>
    </w:lvl>
    <w:lvl w:ilvl="7">
      <w:start w:val="0"/>
      <w:numFmt w:val="bullet"/>
      <w:lvlText w:val="•"/>
      <w:lvlJc w:val="left"/>
      <w:pPr>
        <w:ind w:left="4770" w:hanging="946"/>
      </w:pPr>
      <w:rPr>
        <w:rFonts w:hint="default"/>
        <w:lang w:val="en-US" w:eastAsia="zh-CN" w:bidi="ar-SA"/>
      </w:rPr>
    </w:lvl>
    <w:lvl w:ilvl="8">
      <w:start w:val="0"/>
      <w:numFmt w:val="bullet"/>
      <w:lvlText w:val="•"/>
      <w:lvlJc w:val="left"/>
      <w:pPr>
        <w:ind w:left="6575" w:hanging="946"/>
      </w:pPr>
      <w:rPr>
        <w:rFonts w:hint="default"/>
        <w:lang w:val="en-US" w:eastAsia="zh-CN" w:bidi="ar-SA"/>
      </w:rPr>
    </w:lvl>
  </w:abstractNum>
  <w:num w:numId="1">
    <w:abstractNumId w:val="3"/>
  </w:num>
  <w:num w:numId="2">
    <w:abstractNumId w:val="2"/>
  </w:num>
  <w:num w:numId="3">
    <w:abstractNumId w:val="1"/>
  </w:num>
  <w:num w:numId="4">
    <w:abstractNumId w:val="5"/>
  </w:num>
  <w:num w:numId="5">
    <w:abstractNumId w:val="6"/>
  </w:num>
  <w:num w:numId="6">
    <w:abstractNumId w:val="4"/>
  </w:num>
  <w:num w:numId="7">
    <w:abstractNumId w:val="8"/>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宋体" w:eastAsia="宋体" w:hAnsi="宋体" w:cs="宋体"/>
      <w:lang w:val="en-US" w:eastAsia="zh-CN" w:bidi="ar-SA"/>
    </w:rPr>
  </w:style>
  <w:style w:type="paragraph" w:styleId="Heading1">
    <w:name w:val="heading 1"/>
    <w:basedOn w:val="Normal"/>
    <w:uiPriority w:val="1"/>
    <w:qFormat/>
    <w:pPr>
      <w:spacing w:before="54"/>
      <w:jc w:val="center"/>
      <w:outlineLvl w:val="0"/>
    </w:pPr>
    <w:rPr>
      <w:rFonts w:ascii="黑体" w:eastAsia="黑体" w:hAnsi="黑体" w:cs="黑体"/>
      <w:sz w:val="32"/>
      <w:szCs w:val="32"/>
      <w:lang w:val="en-US" w:eastAsia="zh-CN"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宋体" w:eastAsia="宋体" w:hAnsi="宋体" w:cs="宋体"/>
      <w:sz w:val="21"/>
      <w:szCs w:val="21"/>
      <w:lang w:val="en-US" w:eastAsia="zh-CN" w:bidi="ar-SA"/>
    </w:rPr>
  </w:style>
  <w:style w:type="paragraph" w:styleId="Title">
    <w:name w:val="Title"/>
    <w:basedOn w:val="Normal"/>
    <w:uiPriority w:val="1"/>
    <w:qFormat/>
    <w:pPr>
      <w:spacing w:before="60"/>
      <w:ind w:left="6921"/>
      <w:jc w:val="center"/>
    </w:pPr>
    <w:rPr>
      <w:rFonts w:ascii="Times New Roman" w:eastAsia="Times New Roman" w:hAnsi="Times New Roman" w:cs="Times New Roman"/>
      <w:b/>
      <w:bCs/>
      <w:sz w:val="96"/>
      <w:szCs w:val="96"/>
      <w:lang w:val="en-US" w:eastAsia="zh-CN" w:bidi="ar-SA"/>
    </w:rPr>
  </w:style>
  <w:style w:type="paragraph" w:styleId="ListParagraph">
    <w:name w:val="List Paragraph"/>
    <w:basedOn w:val="Normal"/>
    <w:uiPriority w:val="1"/>
    <w:qFormat/>
    <w:pPr>
      <w:ind w:left="1270" w:hanging="428"/>
    </w:pPr>
    <w:rPr>
      <w:rFonts w:ascii="宋体" w:eastAsia="宋体" w:hAnsi="宋体" w:cs="宋体"/>
      <w:lang w:val="en-US" w:eastAsia="zh-CN" w:bidi="ar-SA"/>
    </w:rPr>
  </w:style>
  <w:style w:type="paragraph" w:customStyle="1" w:styleId="TableParagraph">
    <w:name w:val="Table Paragraph"/>
    <w:basedOn w:val="Normal"/>
    <w:uiPriority w:val="1"/>
    <w:qFormat/>
    <w:rPr>
      <w:rFonts w:ascii="宋体" w:eastAsia="宋体" w:hAnsi="宋体" w:cs="宋体"/>
      <w:lang w:val="en-US" w:eastAsia="zh-CN" w:bidi="ar-SA"/>
    </w:rPr>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table" w:customStyle="1" w:styleId="TableNormal1">
    <w:name w:val="Table Normal_1"/>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header" Target="header4.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header" Target="header5.xml" /><Relationship Id="rId15" Type="http://schemas.openxmlformats.org/officeDocument/2006/relationships/header" Target="header6.xml" /><Relationship Id="rId16" Type="http://schemas.openxmlformats.org/officeDocument/2006/relationships/footer" Target="footer5.xml" /><Relationship Id="rId17" Type="http://schemas.openxmlformats.org/officeDocument/2006/relationships/footer" Target="footer6.xml" /><Relationship Id="rId18" Type="http://schemas.openxmlformats.org/officeDocument/2006/relationships/header" Target="header7.xml" /><Relationship Id="rId19" Type="http://schemas.openxmlformats.org/officeDocument/2006/relationships/header" Target="header8.xml" /><Relationship Id="rId2" Type="http://schemas.openxmlformats.org/officeDocument/2006/relationships/webSettings" Target="webSettings.xml" /><Relationship Id="rId20" Type="http://schemas.openxmlformats.org/officeDocument/2006/relationships/footer" Target="footer7.xml" /><Relationship Id="rId21" Type="http://schemas.openxmlformats.org/officeDocument/2006/relationships/footer" Target="footer8.xml" /><Relationship Id="rId22" Type="http://schemas.openxmlformats.org/officeDocument/2006/relationships/header" Target="header9.xml" /><Relationship Id="rId23" Type="http://schemas.openxmlformats.org/officeDocument/2006/relationships/header" Target="header10.xml" /><Relationship Id="rId24" Type="http://schemas.openxmlformats.org/officeDocument/2006/relationships/footer" Target="footer9.xml" /><Relationship Id="rId25" Type="http://schemas.openxmlformats.org/officeDocument/2006/relationships/footer" Target="foot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footer" Target="footer11.xml" /><Relationship Id="rId29" Type="http://schemas.openxmlformats.org/officeDocument/2006/relationships/footer" Target="footer12.xml" /><Relationship Id="rId3" Type="http://schemas.openxmlformats.org/officeDocument/2006/relationships/fontTable" Target="fontTable.xml" /><Relationship Id="rId30" Type="http://schemas.openxmlformats.org/officeDocument/2006/relationships/header" Target="header13.xml" /><Relationship Id="rId31" Type="http://schemas.openxmlformats.org/officeDocument/2006/relationships/header" Target="header14.xml" /><Relationship Id="rId32" Type="http://schemas.openxmlformats.org/officeDocument/2006/relationships/footer" Target="footer13.xml" /><Relationship Id="rId33" Type="http://schemas.openxmlformats.org/officeDocument/2006/relationships/footer" Target="footer14.xml" /><Relationship Id="rId34" Type="http://schemas.openxmlformats.org/officeDocument/2006/relationships/header" Target="header15.xml" /><Relationship Id="rId35" Type="http://schemas.openxmlformats.org/officeDocument/2006/relationships/header" Target="header16.xml" /><Relationship Id="rId36" Type="http://schemas.openxmlformats.org/officeDocument/2006/relationships/footer" Target="footer15.xml" /><Relationship Id="rId37" Type="http://schemas.openxmlformats.org/officeDocument/2006/relationships/footer" Target="footer16.xml" /><Relationship Id="rId38" Type="http://schemas.openxmlformats.org/officeDocument/2006/relationships/hyperlink" Target="https://d.book118.com/808075125072006032" TargetMode="External" /><Relationship Id="rId39" Type="http://schemas.openxmlformats.org/officeDocument/2006/relationships/header" Target="header17.xml" /><Relationship Id="rId4" Type="http://schemas.openxmlformats.org/officeDocument/2006/relationships/image" Target="media/image1.png" /><Relationship Id="rId40" Type="http://schemas.openxmlformats.org/officeDocument/2006/relationships/header" Target="header18.xml" /><Relationship Id="rId41" Type="http://schemas.openxmlformats.org/officeDocument/2006/relationships/footer" Target="footer17.xml" /><Relationship Id="rId42" Type="http://schemas.openxmlformats.org/officeDocument/2006/relationships/footer" Target="footer18.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yangqing</dc:creator>
  <cp:revision>0</cp:revision>
  <dcterms:created xsi:type="dcterms:W3CDTF">2024-01-30T11:49:57Z</dcterms:created>
  <dcterms:modified xsi:type="dcterms:W3CDTF">2024-01-30T11:49:57Z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2024-01-18T00:00:00Z</vt:filetime>
  </property>
  <property fmtid="{D5CDD505-2E9C-101B-9397-08002B2CF9AE}" pid="3" name="Creator">
    <vt:lpwstr>Microsoft® Word 2013</vt:lpwstr>
  </property>
  <property fmtid="{D5CDD505-2E9C-101B-9397-08002B2CF9AE}" pid="4" name="LastSaved">
    <vt:filetime>2024-01-30T00:00:00Z</vt:filetime>
  </property>
</Properties>
</file>