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4" w:lineRule="auto"/>
        <w:rPr>
          <w:rFonts w:ascii="Arial"/>
          <w:sz w:val="21"/>
        </w:rPr>
      </w:pPr>
    </w:p>
    <w:p>
      <w:pPr>
        <w:spacing w:before="98" w:line="221" w:lineRule="auto"/>
        <w:ind w:left="3254"/>
        <w:outlineLvl w:val="0"/>
        <w:rPr>
          <w:rFonts w:ascii="SimHei" w:eastAsia="SimHei" w:hAnsi="SimHei" w:cs="SimHei"/>
          <w:sz w:val="30"/>
          <w:szCs w:val="30"/>
        </w:rPr>
      </w:pPr>
      <w:r>
        <w:rPr>
          <w:rFonts w:ascii="SimHei" w:eastAsia="SimHei" w:hAnsi="SimHei" w:cs="SimHei"/>
          <w:b/>
          <w:bCs/>
          <w:spacing w:val="5"/>
          <w:sz w:val="30"/>
          <w:szCs w:val="30"/>
        </w:rPr>
        <w:t>浮子流量计检定规程</w:t>
      </w:r>
    </w:p>
    <w:p>
      <w:pPr>
        <w:spacing w:line="270" w:lineRule="auto"/>
        <w:rPr>
          <w:rFonts w:ascii="Arial"/>
          <w:sz w:val="21"/>
        </w:rPr>
      </w:pPr>
    </w:p>
    <w:p>
      <w:pPr>
        <w:spacing w:line="271" w:lineRule="auto"/>
        <w:rPr>
          <w:rFonts w:ascii="Arial"/>
          <w:sz w:val="21"/>
        </w:rPr>
      </w:pPr>
    </w:p>
    <w:p>
      <w:pPr>
        <w:spacing w:before="78" w:line="223" w:lineRule="auto"/>
        <w:ind w:left="23"/>
        <w:rPr>
          <w:rFonts w:ascii="SimHei" w:eastAsia="SimHei" w:hAnsi="SimHei" w:cs="SimHei"/>
          <w:sz w:val="24"/>
          <w:szCs w:val="24"/>
        </w:rPr>
      </w:pPr>
      <w:r>
        <w:rPr>
          <w:rFonts w:ascii="SimHei" w:eastAsia="SimHei" w:hAnsi="SimHei" w:cs="SimHei"/>
          <w:b/>
          <w:bCs/>
          <w:spacing w:val="-12"/>
          <w:sz w:val="24"/>
          <w:szCs w:val="24"/>
        </w:rPr>
        <w:t>1</w:t>
      </w:r>
      <w:r>
        <w:rPr>
          <w:rFonts w:ascii="SimHei" w:eastAsia="SimHei" w:hAnsi="SimHei" w:cs="SimHei"/>
          <w:spacing w:val="5"/>
          <w:sz w:val="24"/>
          <w:szCs w:val="24"/>
        </w:rPr>
        <w:t xml:space="preserve">  </w:t>
      </w:r>
      <w:r>
        <w:rPr>
          <w:rFonts w:ascii="SimHei" w:eastAsia="SimHei" w:hAnsi="SimHei" w:cs="SimHei"/>
          <w:b/>
          <w:bCs/>
          <w:spacing w:val="-12"/>
          <w:sz w:val="24"/>
          <w:szCs w:val="24"/>
        </w:rPr>
        <w:t>范围</w:t>
      </w:r>
    </w:p>
    <w:p>
      <w:pPr>
        <w:pStyle w:val="BodyText"/>
        <w:spacing w:before="232" w:line="256" w:lineRule="auto"/>
        <w:ind w:left="19" w:right="17" w:firstLine="499"/>
      </w:pPr>
      <w:r>
        <w:rPr>
          <w:spacing w:val="3"/>
        </w:rPr>
        <w:t>本规程适用于浮子流量计(以下简称流量计)的型式评价、首次检定、后续检定和使</w:t>
      </w:r>
      <w:r>
        <w:rPr>
          <w:spacing w:val="10"/>
        </w:rPr>
        <w:t xml:space="preserve"> </w:t>
      </w:r>
      <w:r>
        <w:rPr>
          <w:spacing w:val="-8"/>
        </w:rPr>
        <w:t>用中检验。</w:t>
      </w:r>
    </w:p>
    <w:p>
      <w:pPr>
        <w:spacing w:before="270" w:line="222" w:lineRule="auto"/>
        <w:ind w:left="23"/>
        <w:rPr>
          <w:rFonts w:ascii="SimHei" w:eastAsia="SimHei" w:hAnsi="SimHei" w:cs="SimHei"/>
          <w:sz w:val="24"/>
          <w:szCs w:val="24"/>
        </w:rPr>
      </w:pPr>
      <w:r>
        <w:rPr>
          <w:rFonts w:ascii="SimHei" w:eastAsia="SimHei" w:hAnsi="SimHei" w:cs="SimHei"/>
          <w:b/>
          <w:bCs/>
          <w:spacing w:val="-1"/>
          <w:sz w:val="24"/>
          <w:szCs w:val="24"/>
        </w:rPr>
        <w:t>2</w:t>
      </w:r>
      <w:r>
        <w:rPr>
          <w:rFonts w:ascii="SimHei" w:eastAsia="SimHei" w:hAnsi="SimHei" w:cs="SimHei"/>
          <w:spacing w:val="-1"/>
          <w:sz w:val="24"/>
          <w:szCs w:val="24"/>
        </w:rPr>
        <w:t xml:space="preserve">  </w:t>
      </w:r>
      <w:r>
        <w:rPr>
          <w:rFonts w:ascii="SimHei" w:eastAsia="SimHei" w:hAnsi="SimHei" w:cs="SimHei"/>
          <w:b/>
          <w:bCs/>
          <w:spacing w:val="-1"/>
          <w:sz w:val="24"/>
          <w:szCs w:val="24"/>
        </w:rPr>
        <w:t>引用文献</w:t>
      </w:r>
    </w:p>
    <w:p>
      <w:pPr>
        <w:pStyle w:val="BodyText"/>
        <w:spacing w:before="255" w:line="251" w:lineRule="auto"/>
        <w:ind w:left="519" w:right="1750"/>
      </w:pPr>
      <w:r>
        <w:rPr>
          <w:spacing w:val="2"/>
        </w:rPr>
        <w:t>下列标准、规程所包含的条文，通过引用而构成为本规程的条文。</w:t>
      </w:r>
      <w:r>
        <w:rPr>
          <w:spacing w:val="10"/>
        </w:rPr>
        <w:t xml:space="preserve"> </w:t>
      </w:r>
      <w:r>
        <w:t>JB</w:t>
      </w:r>
      <w:r>
        <w:rPr>
          <w:spacing w:val="1"/>
        </w:rPr>
        <w:t>/T 6844—1993</w:t>
      </w:r>
      <w:r>
        <w:rPr>
          <w:spacing w:val="109"/>
        </w:rPr>
        <w:t xml:space="preserve"> </w:t>
      </w:r>
      <w:r>
        <w:rPr>
          <w:spacing w:val="1"/>
        </w:rPr>
        <w:t>金属管浮子流量计</w:t>
      </w:r>
    </w:p>
    <w:p>
      <w:pPr>
        <w:pStyle w:val="BodyText"/>
        <w:spacing w:before="86" w:line="218" w:lineRule="auto"/>
        <w:ind w:left="519"/>
      </w:pPr>
      <w:r>
        <w:t>JB</w:t>
      </w:r>
      <w:r>
        <w:rPr>
          <w:spacing w:val="1"/>
        </w:rPr>
        <w:t>/T 9255—1999</w:t>
      </w:r>
      <w:r>
        <w:rPr>
          <w:spacing w:val="100"/>
        </w:rPr>
        <w:t xml:space="preserve"> </w:t>
      </w:r>
      <w:r>
        <w:rPr>
          <w:spacing w:val="1"/>
        </w:rPr>
        <w:t>玻璃转子流量计</w:t>
      </w:r>
    </w:p>
    <w:p>
      <w:pPr>
        <w:pStyle w:val="BodyText"/>
        <w:spacing w:before="87" w:line="219" w:lineRule="auto"/>
        <w:ind w:left="519"/>
      </w:pPr>
      <w:r>
        <w:rPr>
          <w:spacing w:val="2"/>
        </w:rPr>
        <w:t>使用本规程时，应注意使用上述引用文献的现行有</w:t>
      </w:r>
      <w:r>
        <w:rPr>
          <w:spacing w:val="1"/>
        </w:rPr>
        <w:t>效版本。</w:t>
      </w:r>
    </w:p>
    <w:p>
      <w:pPr>
        <w:spacing w:before="283" w:line="222" w:lineRule="auto"/>
        <w:ind w:left="23"/>
        <w:rPr>
          <w:rFonts w:ascii="SimHei" w:eastAsia="SimHei" w:hAnsi="SimHei" w:cs="SimHei"/>
          <w:sz w:val="24"/>
          <w:szCs w:val="24"/>
        </w:rPr>
      </w:pPr>
      <w:r>
        <w:rPr>
          <w:rFonts w:ascii="SimHei" w:eastAsia="SimHei" w:hAnsi="SimHei" w:cs="SimHei"/>
          <w:b/>
          <w:bCs/>
          <w:spacing w:val="-2"/>
          <w:sz w:val="24"/>
          <w:szCs w:val="24"/>
        </w:rPr>
        <w:t>3</w:t>
      </w:r>
      <w:r>
        <w:rPr>
          <w:rFonts w:ascii="SimHei" w:eastAsia="SimHei" w:hAnsi="SimHei" w:cs="SimHei"/>
          <w:spacing w:val="11"/>
          <w:sz w:val="24"/>
          <w:szCs w:val="24"/>
        </w:rPr>
        <w:t xml:space="preserve">  </w:t>
      </w:r>
      <w:r>
        <w:rPr>
          <w:rFonts w:ascii="SimHei" w:eastAsia="SimHei" w:hAnsi="SimHei" w:cs="SimHei"/>
          <w:b/>
          <w:bCs/>
          <w:spacing w:val="-2"/>
          <w:sz w:val="24"/>
          <w:szCs w:val="24"/>
        </w:rPr>
        <w:t>术语和定义</w:t>
      </w:r>
    </w:p>
    <w:p>
      <w:pPr>
        <w:pStyle w:val="BodyText"/>
        <w:spacing w:before="263" w:line="260" w:lineRule="auto"/>
        <w:ind w:left="518" w:right="5283" w:hanging="499"/>
      </w:pPr>
      <w:r>
        <w:t>3.1</w:t>
      </w:r>
      <w:r>
        <w:rPr>
          <w:spacing w:val="112"/>
        </w:rPr>
        <w:t xml:space="preserve"> </w:t>
      </w:r>
      <w:r>
        <w:t>流量上限值</w:t>
      </w:r>
      <w:r>
        <w:rPr>
          <w:spacing w:val="110"/>
        </w:rPr>
        <w:t xml:space="preserve"> </w:t>
      </w:r>
      <w:r>
        <w:rPr>
          <w:rFonts w:ascii="Times New Roman" w:eastAsia="Times New Roman" w:hAnsi="Times New Roman" w:cs="Times New Roman"/>
        </w:rPr>
        <w:t xml:space="preserve">maximum  flow-rate </w:t>
      </w:r>
      <w:r>
        <w:t>流量计所能测量的流量最高值。</w:t>
      </w:r>
    </w:p>
    <w:p>
      <w:pPr>
        <w:pStyle w:val="BodyText"/>
        <w:spacing w:before="86" w:line="248" w:lineRule="auto"/>
        <w:ind w:left="518" w:right="5283" w:hanging="499"/>
      </w:pPr>
      <w:r>
        <w:rPr>
          <w:spacing w:val="1"/>
        </w:rPr>
        <w:t xml:space="preserve">3.2  流量下限值  </w:t>
      </w:r>
      <w:r>
        <w:rPr>
          <w:rFonts w:ascii="Times New Roman" w:eastAsia="Times New Roman" w:hAnsi="Times New Roman" w:cs="Times New Roman"/>
        </w:rPr>
        <w:t>minimum</w:t>
      </w:r>
      <w:r>
        <w:rPr>
          <w:rFonts w:ascii="Times New Roman" w:eastAsia="Times New Roman" w:hAnsi="Times New Roman" w:cs="Times New Roman"/>
          <w:spacing w:val="1"/>
        </w:rPr>
        <w:t xml:space="preserve">  </w:t>
      </w:r>
      <w:r>
        <w:rPr>
          <w:rFonts w:ascii="Times New Roman" w:eastAsia="Times New Roman" w:hAnsi="Times New Roman" w:cs="Times New Roman"/>
        </w:rPr>
        <w:t>flow</w:t>
      </w:r>
      <w:r>
        <w:rPr>
          <w:rFonts w:ascii="Times New Roman" w:eastAsia="Times New Roman" w:hAnsi="Times New Roman" w:cs="Times New Roman"/>
          <w:spacing w:val="1"/>
        </w:rPr>
        <w:t>-</w:t>
      </w:r>
      <w:r>
        <w:rPr>
          <w:rFonts w:ascii="Times New Roman" w:eastAsia="Times New Roman" w:hAnsi="Times New Roman" w:cs="Times New Roman"/>
        </w:rPr>
        <w:t>rate</w:t>
      </w:r>
      <w:r>
        <w:rPr>
          <w:rFonts w:ascii="Times New Roman" w:eastAsia="Times New Roman" w:hAnsi="Times New Roman" w:cs="Times New Roman"/>
          <w:spacing w:val="7"/>
        </w:rPr>
        <w:t xml:space="preserve"> </w:t>
      </w:r>
      <w:r>
        <w:t>流量计所能测量的流量最低值。</w:t>
      </w:r>
    </w:p>
    <w:p>
      <w:pPr>
        <w:pStyle w:val="BodyText"/>
        <w:spacing w:before="88" w:line="212" w:lineRule="auto"/>
        <w:ind w:left="19"/>
        <w:rPr>
          <w:rFonts w:ascii="Times New Roman" w:eastAsia="Times New Roman" w:hAnsi="Times New Roman" w:cs="Times New Roman"/>
        </w:rPr>
      </w:pPr>
      <w:r>
        <w:rPr>
          <w:spacing w:val="1"/>
        </w:rPr>
        <w:t xml:space="preserve">3.3  正行程检定  </w:t>
      </w:r>
      <w:r>
        <w:rPr>
          <w:rFonts w:ascii="Times New Roman" w:eastAsia="Times New Roman" w:hAnsi="Times New Roman" w:cs="Times New Roman"/>
        </w:rPr>
        <w:t>positive</w:t>
      </w:r>
      <w:r>
        <w:rPr>
          <w:rFonts w:ascii="Times New Roman" w:eastAsia="Times New Roman" w:hAnsi="Times New Roman" w:cs="Times New Roman"/>
          <w:spacing w:val="1"/>
        </w:rPr>
        <w:t>-</w:t>
      </w:r>
      <w:r>
        <w:rPr>
          <w:rFonts w:ascii="Times New Roman" w:eastAsia="Times New Roman" w:hAnsi="Times New Roman" w:cs="Times New Roman"/>
        </w:rPr>
        <w:t>stroke</w:t>
      </w:r>
      <w:r>
        <w:rPr>
          <w:rFonts w:ascii="Times New Roman" w:eastAsia="Times New Roman" w:hAnsi="Times New Roman" w:cs="Times New Roman"/>
          <w:spacing w:val="45"/>
        </w:rPr>
        <w:t xml:space="preserve"> </w:t>
      </w:r>
      <w:r>
        <w:rPr>
          <w:rFonts w:ascii="Times New Roman" w:eastAsia="Times New Roman" w:hAnsi="Times New Roman" w:cs="Times New Roman"/>
        </w:rPr>
        <w:t>calibration</w:t>
      </w:r>
    </w:p>
    <w:p>
      <w:pPr>
        <w:pStyle w:val="BodyText"/>
        <w:spacing w:before="90" w:line="260" w:lineRule="auto"/>
        <w:ind w:left="19" w:right="10" w:firstLine="499"/>
      </w:pPr>
      <w:r>
        <w:rPr>
          <w:spacing w:val="4"/>
        </w:rPr>
        <w:t>从流量计的流量下限到流量计的流量上限逐点</w:t>
      </w:r>
      <w:r>
        <w:rPr>
          <w:spacing w:val="3"/>
        </w:rPr>
        <w:t>进行检定，并从小于检定点的流量调</w:t>
      </w:r>
      <w:r>
        <w:t xml:space="preserve"> </w:t>
      </w:r>
      <w:r>
        <w:rPr>
          <w:spacing w:val="-2"/>
        </w:rPr>
        <w:t>至检定点，称为正行程检定。</w:t>
      </w:r>
    </w:p>
    <w:p>
      <w:pPr>
        <w:pStyle w:val="BodyText"/>
        <w:spacing w:before="78" w:line="212" w:lineRule="auto"/>
        <w:ind w:left="19"/>
        <w:rPr>
          <w:rFonts w:ascii="Times New Roman" w:eastAsia="Times New Roman" w:hAnsi="Times New Roman" w:cs="Times New Roman"/>
        </w:rPr>
      </w:pPr>
      <w:r>
        <w:t xml:space="preserve">3.4  反行程检定  </w:t>
      </w:r>
      <w:r>
        <w:rPr>
          <w:rFonts w:ascii="Times New Roman" w:eastAsia="Times New Roman" w:hAnsi="Times New Roman" w:cs="Times New Roman"/>
        </w:rPr>
        <w:t>negative-stroke  calibration</w:t>
      </w:r>
    </w:p>
    <w:p>
      <w:pPr>
        <w:pStyle w:val="BodyText"/>
        <w:spacing w:before="90" w:line="260" w:lineRule="auto"/>
        <w:ind w:left="19" w:right="10" w:firstLine="499"/>
      </w:pPr>
      <w:r>
        <w:rPr>
          <w:spacing w:val="4"/>
        </w:rPr>
        <w:t>从流量计的流量上限到流量计的流量下限逐点</w:t>
      </w:r>
      <w:r>
        <w:rPr>
          <w:spacing w:val="3"/>
        </w:rPr>
        <w:t>进行检定，并从大于检定点的流量调</w:t>
      </w:r>
      <w:r>
        <w:t xml:space="preserve"> </w:t>
      </w:r>
      <w:r>
        <w:rPr>
          <w:spacing w:val="-2"/>
        </w:rPr>
        <w:t>至检定点，称为反行程检定。</w:t>
      </w:r>
    </w:p>
    <w:p>
      <w:pPr>
        <w:pStyle w:val="BodyText"/>
        <w:spacing w:before="107" w:line="221" w:lineRule="auto"/>
        <w:ind w:left="19"/>
        <w:rPr>
          <w:rFonts w:ascii="Times New Roman" w:eastAsia="Times New Roman" w:hAnsi="Times New Roman" w:cs="Times New Roman"/>
        </w:rPr>
      </w:pPr>
      <w:r>
        <w:t>3.5</w:t>
      </w:r>
      <w:r>
        <w:rPr>
          <w:spacing w:val="17"/>
        </w:rPr>
        <w:t xml:space="preserve">  </w:t>
      </w:r>
      <w:r>
        <w:t xml:space="preserve">指示流量  </w:t>
      </w:r>
      <w:r>
        <w:rPr>
          <w:rFonts w:ascii="Times New Roman" w:eastAsia="Times New Roman" w:hAnsi="Times New Roman" w:cs="Times New Roman"/>
        </w:rPr>
        <w:t>index</w:t>
      </w:r>
      <w:r>
        <w:rPr>
          <w:rFonts w:ascii="Times New Roman" w:eastAsia="Times New Roman" w:hAnsi="Times New Roman" w:cs="Times New Roman"/>
          <w:spacing w:val="31"/>
          <w:w w:val="101"/>
        </w:rPr>
        <w:t xml:space="preserve"> </w:t>
      </w:r>
      <w:r>
        <w:rPr>
          <w:rFonts w:ascii="Times New Roman" w:eastAsia="Times New Roman" w:hAnsi="Times New Roman" w:cs="Times New Roman"/>
        </w:rPr>
        <w:t>flow-r</w:t>
      </w:r>
      <w:r>
        <w:rPr>
          <w:rFonts w:ascii="Times New Roman" w:eastAsia="Times New Roman" w:hAnsi="Times New Roman" w:cs="Times New Roman"/>
          <w:spacing w:val="-1"/>
        </w:rPr>
        <w:t>ate</w:t>
      </w:r>
    </w:p>
    <w:p>
      <w:pPr>
        <w:pStyle w:val="BodyText"/>
        <w:spacing w:before="61" w:line="219" w:lineRule="auto"/>
        <w:ind w:left="519"/>
      </w:pPr>
      <w:r>
        <w:rPr>
          <w:spacing w:val="3"/>
        </w:rPr>
        <w:t>流量计的指示流量是浮子工作直径位置处或指示器指针所指</w:t>
      </w:r>
      <w:r>
        <w:rPr>
          <w:spacing w:val="2"/>
        </w:rPr>
        <w:t>示的流量。</w:t>
      </w:r>
    </w:p>
    <w:p>
      <w:pPr>
        <w:pStyle w:val="BodyText"/>
        <w:spacing w:before="106" w:line="219" w:lineRule="auto"/>
        <w:ind w:left="19"/>
        <w:rPr>
          <w:rFonts w:ascii="Times New Roman" w:eastAsia="Times New Roman" w:hAnsi="Times New Roman" w:cs="Times New Roman"/>
        </w:rPr>
      </w:pPr>
      <w:r>
        <w:rPr>
          <w:spacing w:val="1"/>
        </w:rPr>
        <w:t xml:space="preserve">3.6  标准状态下的流量  </w:t>
      </w:r>
      <w:r>
        <w:rPr>
          <w:rFonts w:ascii="Times New Roman" w:eastAsia="Times New Roman" w:hAnsi="Times New Roman" w:cs="Times New Roman"/>
        </w:rPr>
        <w:t>reference</w:t>
      </w:r>
      <w:r>
        <w:rPr>
          <w:rFonts w:ascii="Times New Roman" w:eastAsia="Times New Roman" w:hAnsi="Times New Roman" w:cs="Times New Roman"/>
          <w:spacing w:val="30"/>
          <w:w w:val="101"/>
        </w:rPr>
        <w:t xml:space="preserve"> </w:t>
      </w:r>
      <w:r>
        <w:rPr>
          <w:rFonts w:ascii="Times New Roman" w:eastAsia="Times New Roman" w:hAnsi="Times New Roman" w:cs="Times New Roman"/>
        </w:rPr>
        <w:t>condition</w:t>
      </w:r>
      <w:r>
        <w:rPr>
          <w:rFonts w:ascii="Times New Roman" w:eastAsia="Times New Roman" w:hAnsi="Times New Roman" w:cs="Times New Roman"/>
          <w:spacing w:val="30"/>
          <w:w w:val="101"/>
        </w:rPr>
        <w:t xml:space="preserve"> </w:t>
      </w:r>
      <w:r>
        <w:rPr>
          <w:rFonts w:ascii="Times New Roman" w:eastAsia="Times New Roman" w:hAnsi="Times New Roman" w:cs="Times New Roman"/>
        </w:rPr>
        <w:t>flow</w:t>
      </w:r>
      <w:r>
        <w:rPr>
          <w:rFonts w:ascii="Times New Roman" w:eastAsia="Times New Roman" w:hAnsi="Times New Roman" w:cs="Times New Roman"/>
          <w:spacing w:val="1"/>
        </w:rPr>
        <w:t>-</w:t>
      </w:r>
      <w:r>
        <w:rPr>
          <w:rFonts w:ascii="Times New Roman" w:eastAsia="Times New Roman" w:hAnsi="Times New Roman" w:cs="Times New Roman"/>
        </w:rPr>
        <w:t>rate</w:t>
      </w:r>
    </w:p>
    <w:p>
      <w:pPr>
        <w:pStyle w:val="BodyText"/>
        <w:spacing w:before="64" w:line="260" w:lineRule="auto"/>
        <w:ind w:left="19" w:right="20" w:firstLine="499"/>
      </w:pPr>
      <w:r>
        <w:rPr>
          <w:spacing w:val="4"/>
        </w:rPr>
        <w:t xml:space="preserve">流体温度为20℃、绝对压力为101325 </w:t>
      </w:r>
      <w:r>
        <w:t>Pa</w:t>
      </w:r>
      <w:r>
        <w:rPr>
          <w:spacing w:val="-38"/>
        </w:rPr>
        <w:t xml:space="preserve"> </w:t>
      </w:r>
      <w:r>
        <w:rPr>
          <w:spacing w:val="4"/>
        </w:rPr>
        <w:t>的状态称为标准状态，在此状态下的流量</w:t>
      </w:r>
      <w:r>
        <w:t xml:space="preserve"> </w:t>
      </w:r>
      <w:r>
        <w:rPr>
          <w:spacing w:val="-1"/>
        </w:rPr>
        <w:t>定义为标准状态下的流量。</w:t>
      </w:r>
    </w:p>
    <w:p>
      <w:pPr>
        <w:pStyle w:val="BodyText"/>
        <w:spacing w:before="75" w:line="219" w:lineRule="auto"/>
        <w:ind w:left="19"/>
        <w:rPr>
          <w:rFonts w:ascii="Times New Roman" w:eastAsia="Times New Roman" w:hAnsi="Times New Roman" w:cs="Times New Roman"/>
        </w:rPr>
        <w:sectPr>
          <w:headerReference w:type="default" r:id="rId4"/>
          <w:footerReference w:type="default" r:id="rId5"/>
          <w:pgSz w:w="11750" w:h="16650"/>
          <w:pgMar w:top="1780" w:right="1069" w:bottom="849" w:left="1380" w:header="1472" w:footer="680" w:gutter="0"/>
          <w:cols w:space="708"/>
        </w:sectPr>
      </w:pPr>
      <w:r>
        <w:t xml:space="preserve">3.7  刻度流量  </w:t>
      </w:r>
      <w:r>
        <w:rPr>
          <w:rFonts w:ascii="Times New Roman" w:eastAsia="Times New Roman" w:hAnsi="Times New Roman" w:cs="Times New Roman"/>
        </w:rPr>
        <w:t>scale</w:t>
      </w:r>
      <w:r>
        <w:rPr>
          <w:rFonts w:ascii="Times New Roman" w:eastAsia="Times New Roman" w:hAnsi="Times New Roman" w:cs="Times New Roman"/>
          <w:spacing w:val="46"/>
        </w:rPr>
        <w:t xml:space="preserve"> </w:t>
      </w:r>
      <w:r>
        <w:rPr>
          <w:rFonts w:ascii="Times New Roman" w:eastAsia="Times New Roman" w:hAnsi="Times New Roman" w:cs="Times New Roman"/>
        </w:rPr>
        <w:t>flow-rate</w:t>
      </w:r>
    </w:p>
    <w:p>
      <w:pPr>
        <w:pStyle w:val="BodyText"/>
        <w:spacing w:before="56" w:line="280" w:lineRule="auto"/>
        <w:ind w:left="19" w:right="18" w:firstLine="499"/>
        <w:jc w:val="both"/>
      </w:pPr>
      <w:r>
        <w:rPr>
          <w:spacing w:val="3"/>
        </w:rPr>
        <w:t>流量计的刻度所代表的流量，即在流量计的透明锥管上或刻度板上的一组刻度标记</w:t>
      </w:r>
      <w:r>
        <w:rPr>
          <w:spacing w:val="12"/>
        </w:rPr>
        <w:t xml:space="preserve"> </w:t>
      </w:r>
      <w:r>
        <w:rPr>
          <w:spacing w:val="3"/>
        </w:rPr>
        <w:t>(刻度线和数字的组合)。流量计的刻度流量通常以流量、百分数或毫米高度</w:t>
      </w:r>
      <w:r>
        <w:rPr>
          <w:spacing w:val="2"/>
        </w:rPr>
        <w:t>形式标记在</w:t>
      </w:r>
      <w:r>
        <w:t xml:space="preserve"> </w:t>
      </w:r>
      <w:r>
        <w:rPr>
          <w:spacing w:val="6"/>
        </w:rPr>
        <w:t xml:space="preserve">透明锥管或刻度板上，并在其流量计明显部位处标明刻度介质的名称、温度、压力(密 </w:t>
      </w:r>
      <w:r>
        <w:rPr>
          <w:spacing w:val="-5"/>
        </w:rPr>
        <w:t>度)和计量单位。</w:t>
      </w:r>
    </w:p>
    <w:p>
      <w:pPr>
        <w:pStyle w:val="BodyText"/>
        <w:spacing w:before="95" w:line="221" w:lineRule="auto"/>
        <w:ind w:left="19"/>
        <w:rPr>
          <w:rFonts w:ascii="Times New Roman" w:eastAsia="Times New Roman" w:hAnsi="Times New Roman" w:cs="Times New Roman"/>
        </w:rPr>
      </w:pPr>
      <w:r>
        <w:rPr>
          <w:spacing w:val="-1"/>
        </w:rPr>
        <w:t>3.8</w:t>
      </w:r>
      <w:r>
        <w:rPr>
          <w:spacing w:val="22"/>
        </w:rPr>
        <w:t xml:space="preserve">  </w:t>
      </w:r>
      <w:r>
        <w:rPr>
          <w:spacing w:val="-1"/>
        </w:rPr>
        <w:t>引用误差</w:t>
      </w:r>
      <w:r>
        <w:rPr>
          <w:spacing w:val="108"/>
        </w:rPr>
        <w:t xml:space="preserve"> </w:t>
      </w:r>
      <w:r>
        <w:rPr>
          <w:rFonts w:ascii="Times New Roman" w:eastAsia="Times New Roman" w:hAnsi="Times New Roman" w:cs="Times New Roman"/>
          <w:spacing w:val="-1"/>
        </w:rPr>
        <w:t>fiducial error</w:t>
      </w:r>
    </w:p>
    <w:p>
      <w:pPr>
        <w:pStyle w:val="BodyText"/>
        <w:spacing w:before="81" w:line="219" w:lineRule="auto"/>
        <w:ind w:left="519"/>
      </w:pPr>
      <w:r>
        <w:rPr>
          <w:spacing w:val="1"/>
        </w:rPr>
        <w:t>绝对误差值与流量上限值之比，以百分数表示。</w:t>
      </w:r>
    </w:p>
    <w:p>
      <w:pPr>
        <w:spacing w:line="219" w:lineRule="auto"/>
        <w:sectPr>
          <w:headerReference w:type="default" r:id="rId6"/>
          <w:footerReference w:type="default" r:id="rId7"/>
          <w:type w:val="nextPage"/>
          <w:pgSz w:w="11750" w:h="16650"/>
          <w:pgMar w:top="1780" w:right="1069" w:bottom="849" w:left="1380" w:header="1472" w:footer="680" w:gutter="0"/>
          <w:pgNumType w:start="2"/>
          <w:cols w:space="708"/>
          <w:titlePg w:val="0"/>
        </w:sectPr>
      </w:pPr>
    </w:p>
    <w:p>
      <w:pPr>
        <w:pStyle w:val="BodyText"/>
        <w:spacing w:before="249" w:line="248" w:lineRule="auto"/>
        <w:ind w:left="508" w:right="3393" w:hanging="479"/>
      </w:pPr>
      <w:r>
        <w:drawing>
          <wp:anchor distT="0" distB="0" distL="0" distR="0" simplePos="0" relativeHeight="251658240" behindDoc="0" locked="0" layoutInCell="0" allowOverlap="1">
            <wp:simplePos x="0" y="0"/>
            <wp:positionH relativeFrom="page">
              <wp:posOffset>4032283</wp:posOffset>
            </wp:positionH>
            <wp:positionV relativeFrom="page">
              <wp:posOffset>5467380</wp:posOffset>
            </wp:positionV>
            <wp:extent cx="1924032" cy="321940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924032" cy="3219402"/>
                    </a:xfrm>
                    <a:prstGeom prst="rect">
                      <a:avLst/>
                    </a:prstGeom>
                  </pic:spPr>
                </pic:pic>
              </a:graphicData>
            </a:graphic>
          </wp:anchor>
        </w:drawing>
      </w:r>
      <w:r>
        <w:t>3.9  流量测量上限值数系</w:t>
      </w:r>
      <w:r>
        <w:rPr>
          <w:spacing w:val="107"/>
        </w:rPr>
        <w:t xml:space="preserve"> </w:t>
      </w:r>
      <w:r>
        <w:rPr>
          <w:rFonts w:ascii="Times New Roman" w:eastAsia="Times New Roman" w:hAnsi="Times New Roman" w:cs="Times New Roman"/>
        </w:rPr>
        <w:t>series</w:t>
      </w:r>
      <w:r>
        <w:rPr>
          <w:rFonts w:ascii="Times New Roman" w:eastAsia="Times New Roman" w:hAnsi="Times New Roman" w:cs="Times New Roman"/>
          <w:spacing w:val="44"/>
          <w:w w:val="101"/>
        </w:rPr>
        <w:t xml:space="preserve"> </w:t>
      </w:r>
      <w:r>
        <w:rPr>
          <w:rFonts w:ascii="Times New Roman" w:eastAsia="Times New Roman" w:hAnsi="Times New Roman" w:cs="Times New Roman"/>
        </w:rPr>
        <w:t>to</w:t>
      </w:r>
      <w:r>
        <w:rPr>
          <w:rFonts w:ascii="Times New Roman" w:eastAsia="Times New Roman" w:hAnsi="Times New Roman" w:cs="Times New Roman"/>
          <w:spacing w:val="43"/>
          <w:w w:val="101"/>
        </w:rPr>
        <w:t xml:space="preserve"> </w:t>
      </w:r>
      <w:r>
        <w:rPr>
          <w:rFonts w:ascii="Times New Roman" w:eastAsia="Times New Roman" w:hAnsi="Times New Roman" w:cs="Times New Roman"/>
        </w:rPr>
        <w:t>maximum</w:t>
      </w:r>
      <w:r>
        <w:rPr>
          <w:rFonts w:ascii="Times New Roman" w:eastAsia="Times New Roman" w:hAnsi="Times New Roman" w:cs="Times New Roman"/>
          <w:spacing w:val="51"/>
        </w:rPr>
        <w:t xml:space="preserve"> </w:t>
      </w:r>
      <w:r>
        <w:rPr>
          <w:rFonts w:ascii="Times New Roman" w:eastAsia="Times New Roman" w:hAnsi="Times New Roman" w:cs="Times New Roman"/>
        </w:rPr>
        <w:t>fl</w:t>
      </w:r>
      <w:r>
        <w:rPr>
          <w:rFonts w:ascii="Times New Roman" w:eastAsia="Times New Roman" w:hAnsi="Times New Roman" w:cs="Times New Roman"/>
          <w:spacing w:val="-1"/>
        </w:rPr>
        <w:t>ow-rate</w:t>
      </w:r>
      <w:r>
        <w:rPr>
          <w:rFonts w:ascii="Times New Roman" w:eastAsia="Times New Roman" w:hAnsi="Times New Roman" w:cs="Times New Roman"/>
        </w:rPr>
        <w:t xml:space="preserve"> </w:t>
      </w:r>
      <w:r>
        <w:t>流量计的上限流量值所对应的数系列。</w:t>
      </w:r>
    </w:p>
    <w:p>
      <w:pPr>
        <w:pStyle w:val="BodyText"/>
        <w:spacing w:before="58" w:line="212" w:lineRule="auto"/>
        <w:ind w:left="29"/>
        <w:rPr>
          <w:rFonts w:ascii="Times New Roman" w:eastAsia="Times New Roman" w:hAnsi="Times New Roman" w:cs="Times New Roman"/>
        </w:rPr>
      </w:pPr>
      <w:r>
        <w:rPr>
          <w:spacing w:val="1"/>
        </w:rPr>
        <w:t xml:space="preserve">3.10  流通面积  </w:t>
      </w:r>
      <w:r>
        <w:rPr>
          <w:rFonts w:ascii="Times New Roman" w:eastAsia="Times New Roman" w:hAnsi="Times New Roman" w:cs="Times New Roman"/>
        </w:rPr>
        <w:t>annular</w:t>
      </w:r>
      <w:r>
        <w:rPr>
          <w:rFonts w:ascii="Times New Roman" w:eastAsia="Times New Roman" w:hAnsi="Times New Roman" w:cs="Times New Roman"/>
          <w:spacing w:val="34"/>
        </w:rPr>
        <w:t xml:space="preserve"> </w:t>
      </w:r>
      <w:r>
        <w:rPr>
          <w:rFonts w:ascii="Times New Roman" w:eastAsia="Times New Roman" w:hAnsi="Times New Roman" w:cs="Times New Roman"/>
        </w:rPr>
        <w:t>space</w:t>
      </w:r>
    </w:p>
    <w:p>
      <w:pPr>
        <w:pStyle w:val="BodyText"/>
        <w:spacing w:before="111" w:line="219" w:lineRule="auto"/>
        <w:ind w:left="509"/>
      </w:pPr>
      <w:r>
        <w:rPr>
          <w:spacing w:val="2"/>
        </w:rPr>
        <w:t>流量计锥管内径与浮子工作直径之间的有效环隙横截面积。</w:t>
      </w:r>
    </w:p>
    <w:p>
      <w:pPr>
        <w:pStyle w:val="BodyText"/>
        <w:spacing w:before="79" w:line="223" w:lineRule="auto"/>
        <w:ind w:left="29"/>
        <w:rPr>
          <w:rFonts w:ascii="Times New Roman" w:eastAsia="Times New Roman" w:hAnsi="Times New Roman" w:cs="Times New Roman"/>
        </w:rPr>
      </w:pPr>
      <w:r>
        <w:rPr>
          <w:spacing w:val="-1"/>
        </w:rPr>
        <w:t>3.11</w:t>
      </w:r>
      <w:r>
        <w:rPr>
          <w:spacing w:val="20"/>
        </w:rPr>
        <w:t xml:space="preserve">  </w:t>
      </w:r>
      <w:r>
        <w:rPr>
          <w:spacing w:val="-1"/>
        </w:rPr>
        <w:t xml:space="preserve">回差  </w:t>
      </w:r>
      <w:r>
        <w:rPr>
          <w:rFonts w:ascii="Times New Roman" w:eastAsia="Times New Roman" w:hAnsi="Times New Roman" w:cs="Times New Roman"/>
          <w:spacing w:val="-1"/>
        </w:rPr>
        <w:t>back deviation</w:t>
      </w:r>
    </w:p>
    <w:p>
      <w:pPr>
        <w:pStyle w:val="BodyText"/>
        <w:spacing w:before="35" w:line="400" w:lineRule="exact"/>
        <w:ind w:right="36"/>
        <w:jc w:val="right"/>
      </w:pPr>
      <w:r>
        <w:rPr>
          <w:spacing w:val="3"/>
          <w:position w:val="11"/>
        </w:rPr>
        <w:t>流量计同一个流量点正、反行程检定得到的各自实际流量的平均值之差与流量上限</w:t>
      </w:r>
    </w:p>
    <w:p>
      <w:pPr>
        <w:pStyle w:val="BodyText"/>
        <w:spacing w:line="219" w:lineRule="auto"/>
        <w:ind w:left="29"/>
      </w:pPr>
      <w:r>
        <w:rPr>
          <w:spacing w:val="1"/>
        </w:rPr>
        <w:t>值的比值，以百分数表示。</w:t>
      </w:r>
    </w:p>
    <w:p>
      <w:pPr>
        <w:spacing w:before="230" w:line="221" w:lineRule="auto"/>
        <w:ind w:left="33"/>
        <w:rPr>
          <w:rFonts w:ascii="SimHei" w:eastAsia="SimHei" w:hAnsi="SimHei" w:cs="SimHei"/>
          <w:sz w:val="24"/>
          <w:szCs w:val="24"/>
        </w:rPr>
      </w:pPr>
      <w:r>
        <w:rPr>
          <w:rFonts w:ascii="SimHei" w:eastAsia="SimHei" w:hAnsi="SimHei" w:cs="SimHei"/>
          <w:b/>
          <w:bCs/>
          <w:spacing w:val="-5"/>
          <w:sz w:val="24"/>
          <w:szCs w:val="24"/>
        </w:rPr>
        <w:t>4</w:t>
      </w:r>
      <w:r>
        <w:rPr>
          <w:rFonts w:ascii="SimHei" w:eastAsia="SimHei" w:hAnsi="SimHei" w:cs="SimHei"/>
          <w:spacing w:val="103"/>
          <w:sz w:val="24"/>
          <w:szCs w:val="24"/>
        </w:rPr>
        <w:t xml:space="preserve"> </w:t>
      </w:r>
      <w:r>
        <w:rPr>
          <w:rFonts w:ascii="SimHei" w:eastAsia="SimHei" w:hAnsi="SimHei" w:cs="SimHei"/>
          <w:b/>
          <w:bCs/>
          <w:spacing w:val="-5"/>
          <w:sz w:val="24"/>
          <w:szCs w:val="24"/>
        </w:rPr>
        <w:t>概述</w:t>
      </w:r>
    </w:p>
    <w:p>
      <w:pPr>
        <w:pStyle w:val="BodyText"/>
        <w:spacing w:before="237" w:line="263" w:lineRule="auto"/>
        <w:ind w:left="29" w:right="38" w:firstLine="479"/>
        <w:jc w:val="both"/>
      </w:pPr>
      <w:r>
        <w:rPr>
          <w:spacing w:val="3"/>
        </w:rPr>
        <w:t>流量计主要用于液体、气体的流量测量。根据设计原理，流量计在测量过程中始终</w:t>
      </w:r>
      <w:r>
        <w:rPr>
          <w:spacing w:val="11"/>
        </w:rPr>
        <w:t xml:space="preserve"> </w:t>
      </w:r>
      <w:r>
        <w:rPr>
          <w:spacing w:val="3"/>
        </w:rPr>
        <w:t>保持浮子前后的压力降不变，通过改变流通面积来改变流量。因此，该流量计又称为恒</w:t>
      </w:r>
      <w:r>
        <w:rPr>
          <w:spacing w:val="6"/>
        </w:rPr>
        <w:t xml:space="preserve"> </w:t>
      </w:r>
      <w:r>
        <w:t>压降流量计、变面积式流量计和转子流量计。</w:t>
      </w:r>
    </w:p>
    <w:p>
      <w:pPr>
        <w:pStyle w:val="BodyText"/>
        <w:spacing w:before="86" w:line="220" w:lineRule="auto"/>
        <w:ind w:left="29"/>
      </w:pPr>
      <w:r>
        <w:rPr>
          <w:spacing w:val="1"/>
        </w:rPr>
        <w:t>4.1</w:t>
      </w:r>
      <w:r>
        <w:rPr>
          <w:spacing w:val="101"/>
        </w:rPr>
        <w:t xml:space="preserve"> </w:t>
      </w:r>
      <w:r>
        <w:rPr>
          <w:spacing w:val="1"/>
        </w:rPr>
        <w:t>结构型式</w:t>
      </w:r>
    </w:p>
    <w:p>
      <w:pPr>
        <w:pStyle w:val="BodyText"/>
        <w:spacing w:before="74" w:line="219" w:lineRule="auto"/>
        <w:ind w:left="29"/>
      </w:pPr>
      <w:r>
        <w:rPr>
          <w:spacing w:val="2"/>
        </w:rPr>
        <w:t>4.1.1</w:t>
      </w:r>
      <w:r>
        <w:rPr>
          <w:spacing w:val="122"/>
        </w:rPr>
        <w:t xml:space="preserve"> </w:t>
      </w:r>
      <w:r>
        <w:rPr>
          <w:spacing w:val="2"/>
        </w:rPr>
        <w:t>玻璃管浮子流量计的结构型式</w:t>
      </w:r>
    </w:p>
    <w:p>
      <w:pPr>
        <w:pStyle w:val="BodyText"/>
        <w:spacing w:before="56" w:line="268" w:lineRule="auto"/>
        <w:ind w:left="29" w:right="14" w:firstLine="479"/>
        <w:jc w:val="both"/>
      </w:pPr>
      <w:r>
        <w:rPr>
          <w:spacing w:val="4"/>
        </w:rPr>
        <w:t>玻璃管浮子流量计(简称玻璃管流量计)通常由玻璃锥管，浮子，密封垫圈</w:t>
      </w:r>
      <w:r>
        <w:rPr>
          <w:spacing w:val="3"/>
        </w:rPr>
        <w:t>，上、下</w:t>
      </w:r>
      <w:r>
        <w:t xml:space="preserve"> </w:t>
      </w:r>
      <w:r>
        <w:rPr>
          <w:spacing w:val="3"/>
        </w:rPr>
        <w:t>止挡，支撑板和上、下基座等部件组成。按管路的连接方式有法兰连接式、螺纹连接式</w:t>
      </w:r>
      <w:r>
        <w:rPr>
          <w:spacing w:val="4"/>
        </w:rPr>
        <w:t xml:space="preserve"> </w:t>
      </w:r>
      <w:r>
        <w:rPr>
          <w:spacing w:val="3"/>
        </w:rPr>
        <w:t>和软管连接等结构型式，有的流量计还带有流量调节</w:t>
      </w:r>
      <w:r>
        <w:rPr>
          <w:spacing w:val="2"/>
        </w:rPr>
        <w:t>阀。视工作介质的不同，流量计又</w:t>
      </w:r>
      <w:r>
        <w:t xml:space="preserve"> </w:t>
      </w:r>
      <w:r>
        <w:rPr>
          <w:spacing w:val="6"/>
        </w:rPr>
        <w:t>有普通型和耐腐蚀型之分，常见流量计结构如图1所示。</w:t>
      </w:r>
    </w:p>
    <w:p>
      <w:pPr>
        <w:spacing w:before="115" w:line="5180" w:lineRule="exact"/>
        <w:ind w:firstLine="1369"/>
      </w:pPr>
      <w:r>
        <w:rPr>
          <w:position w:val="-103"/>
        </w:rPr>
        <w:drawing>
          <wp:inline distT="0" distB="0" distL="0" distR="0">
            <wp:extent cx="1866879" cy="328928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866879" cy="3289287"/>
                    </a:xfrm>
                    <a:prstGeom prst="rect">
                      <a:avLst/>
                    </a:prstGeom>
                  </pic:spPr>
                </pic:pic>
              </a:graphicData>
            </a:graphic>
          </wp:inline>
        </w:drawing>
      </w:r>
    </w:p>
    <w:p>
      <w:pPr>
        <w:pStyle w:val="BodyText"/>
        <w:spacing w:before="220" w:line="219" w:lineRule="auto"/>
        <w:ind w:left="3459"/>
      </w:pPr>
      <w:r>
        <w:rPr>
          <w:spacing w:val="-21"/>
        </w:rPr>
        <w:t>图1  玻璃管流量计示意图</w:t>
      </w:r>
    </w:p>
    <w:p>
      <w:pPr>
        <w:pStyle w:val="BodyText"/>
        <w:spacing w:before="62" w:line="219" w:lineRule="auto"/>
        <w:ind w:left="509"/>
        <w:rPr>
          <w:sz w:val="19"/>
          <w:szCs w:val="19"/>
        </w:rPr>
        <w:sectPr>
          <w:headerReference w:type="default" r:id="rId10"/>
          <w:footerReference w:type="default" r:id="rId11"/>
          <w:pgSz w:w="11750" w:h="16650"/>
          <w:pgMar w:top="1750" w:right="1069" w:bottom="849" w:left="1370" w:header="1452" w:footer="680" w:gutter="0"/>
          <w:pgNumType w:start="3"/>
          <w:cols w:space="708"/>
        </w:sectPr>
      </w:pPr>
      <w:r>
        <w:rPr>
          <w:spacing w:val="-7"/>
          <w:sz w:val="19"/>
          <w:szCs w:val="19"/>
        </w:rPr>
        <w:t>1一基座；2—止挡；3—支板螺丝；4一密封圈；5—压盖；6—压盖螺丝；7—浮子；</w:t>
      </w:r>
      <w:r>
        <w:rPr>
          <w:spacing w:val="-8"/>
          <w:sz w:val="19"/>
          <w:szCs w:val="19"/>
        </w:rPr>
        <w:t>8—锥管；9—支撑板</w:t>
      </w:r>
    </w:p>
    <w:p>
      <w:pPr>
        <w:pStyle w:val="BodyText"/>
        <w:spacing w:before="158" w:line="219" w:lineRule="auto"/>
        <w:ind w:left="29"/>
      </w:pPr>
      <w:r>
        <w:rPr>
          <w:spacing w:val="3"/>
        </w:rPr>
        <w:t>4.1.2  金属管浮子流量计的结构型式</w:t>
      </w:r>
    </w:p>
    <w:p>
      <w:pPr>
        <w:pStyle w:val="BodyText"/>
        <w:spacing w:before="43" w:line="256" w:lineRule="auto"/>
        <w:ind w:left="29" w:right="36" w:firstLine="479"/>
      </w:pPr>
      <w:r>
        <w:rPr>
          <w:spacing w:val="3"/>
        </w:rPr>
        <w:t>金属管浮子流量计(简称金属管流量计)按其输出型式可分为指示型、电远传型以及</w:t>
      </w:r>
      <w:r>
        <w:rPr>
          <w:spacing w:val="11"/>
        </w:rPr>
        <w:t xml:space="preserve"> </w:t>
      </w:r>
      <w:r>
        <w:rPr>
          <w:spacing w:val="3"/>
        </w:rPr>
        <w:t>其他结构型式的金属管流量计。金属管流量计由传感器和指示器两大部件组成，其传感</w:t>
      </w:r>
    </w:p>
    <w:p>
      <w:pPr>
        <w:spacing w:line="256" w:lineRule="auto"/>
        <w:sectPr>
          <w:headerReference w:type="default" r:id="rId12"/>
          <w:footerReference w:type="default" r:id="rId13"/>
          <w:type w:val="nextPage"/>
          <w:pgSz w:w="11750" w:h="16650"/>
          <w:pgMar w:top="1750" w:right="1069" w:bottom="849" w:left="1370" w:header="1452" w:footer="680" w:gutter="0"/>
          <w:pgNumType w:start="4"/>
          <w:cols w:space="708"/>
          <w:titlePg w:val="0"/>
        </w:sectPr>
      </w:pPr>
    </w:p>
    <w:p>
      <w:pPr>
        <w:spacing w:line="263" w:lineRule="auto"/>
        <w:rPr>
          <w:rFonts w:ascii="Arial"/>
          <w:sz w:val="21"/>
        </w:rPr>
      </w:pPr>
    </w:p>
    <w:p>
      <w:pPr>
        <w:pStyle w:val="BodyText"/>
        <w:spacing w:before="78" w:line="218" w:lineRule="auto"/>
      </w:pPr>
      <w:r>
        <w:rPr>
          <w:spacing w:val="1"/>
        </w:rPr>
        <w:t>器按结构和材料的不同，又分为普通型、夹套型、耐腐型和防爆型等。</w:t>
      </w:r>
    </w:p>
    <w:p>
      <w:pPr>
        <w:pStyle w:val="BodyText"/>
        <w:spacing w:before="98" w:line="219" w:lineRule="auto"/>
      </w:pPr>
      <w:hyperlink r:id="rId14" w:history="1">
        <w:r>
          <w:rPr>
            <w:spacing w:val="2"/>
          </w:rPr>
          <w:t>4.1.2.1</w:t>
        </w:r>
      </w:hyperlink>
      <w:r>
        <w:rPr>
          <w:spacing w:val="118"/>
        </w:rPr>
        <w:t xml:space="preserve"> </w:t>
      </w:r>
      <w:r>
        <w:rPr>
          <w:spacing w:val="2"/>
        </w:rPr>
        <w:t>指示型金属管流量计</w:t>
      </w:r>
    </w:p>
    <w:p>
      <w:pPr>
        <w:pStyle w:val="BodyText"/>
        <w:spacing w:before="45" w:line="259" w:lineRule="auto"/>
        <w:ind w:right="51" w:firstLine="509"/>
      </w:pPr>
      <w:r>
        <w:rPr>
          <w:spacing w:val="4"/>
        </w:rPr>
        <w:t>指示型金属管流量计通常是由壳体、导向环、浮</w:t>
      </w:r>
      <w:r>
        <w:rPr>
          <w:spacing w:val="3"/>
        </w:rPr>
        <w:t>子、导杆指示器等组成，其示意图</w:t>
      </w:r>
      <w:r>
        <w:t xml:space="preserve"> </w:t>
      </w:r>
      <w:r>
        <w:rPr>
          <w:spacing w:val="7"/>
        </w:rPr>
        <w:t>如图2所示，指示器又由平衡机构、刻度盘、指针</w:t>
      </w:r>
      <w:r>
        <w:rPr>
          <w:spacing w:val="6"/>
        </w:rPr>
        <w:t>等组成。</w:t>
      </w:r>
    </w:p>
    <w:p>
      <w:pPr>
        <w:pStyle w:val="BodyText"/>
        <w:spacing w:before="85" w:line="219" w:lineRule="auto"/>
      </w:pPr>
      <w:hyperlink r:id="rId15" w:history="1">
        <w:r>
          <w:rPr>
            <w:spacing w:val="1"/>
          </w:rPr>
          <w:t>4.1.2.2</w:t>
        </w:r>
      </w:hyperlink>
      <w:r>
        <w:rPr>
          <w:spacing w:val="21"/>
        </w:rPr>
        <w:t xml:space="preserve">  </w:t>
      </w:r>
      <w:r>
        <w:rPr>
          <w:spacing w:val="1"/>
        </w:rPr>
        <w:t>电远传型金属管流量计</w:t>
      </w:r>
    </w:p>
    <w:p>
      <w:pPr>
        <w:pStyle w:val="BodyText"/>
        <w:spacing w:before="46" w:line="255" w:lineRule="auto"/>
        <w:ind w:right="52" w:firstLine="509"/>
      </w:pPr>
      <w:r>
        <w:rPr>
          <w:spacing w:val="4"/>
        </w:rPr>
        <w:t>电远传型金属管流量计是在指示型金属管流量</w:t>
      </w:r>
      <w:r>
        <w:rPr>
          <w:spacing w:val="3"/>
        </w:rPr>
        <w:t>计的结构基础上，在其平衡机构处增</w:t>
      </w:r>
      <w:r>
        <w:t xml:space="preserve"> </w:t>
      </w:r>
      <w:r>
        <w:rPr>
          <w:spacing w:val="1"/>
        </w:rPr>
        <w:t>加了四连杆(或凸轮)机构和转换器。</w:t>
      </w:r>
    </w:p>
    <w:p>
      <w:pPr>
        <w:pStyle w:val="BodyText"/>
        <w:spacing w:before="68" w:line="220" w:lineRule="auto"/>
      </w:pPr>
      <w:r>
        <w:rPr>
          <w:spacing w:val="-3"/>
        </w:rPr>
        <w:t>4.2</w:t>
      </w:r>
      <w:r>
        <w:rPr>
          <w:spacing w:val="20"/>
        </w:rPr>
        <w:t xml:space="preserve">  </w:t>
      </w:r>
      <w:r>
        <w:rPr>
          <w:spacing w:val="-3"/>
        </w:rPr>
        <w:t>工作原理</w:t>
      </w:r>
    </w:p>
    <w:p>
      <w:pPr>
        <w:pStyle w:val="BodyText"/>
        <w:spacing w:before="41" w:line="269" w:lineRule="auto"/>
        <w:ind w:right="60" w:firstLine="509"/>
        <w:jc w:val="both"/>
      </w:pPr>
      <w:r>
        <w:rPr>
          <w:spacing w:val="3"/>
        </w:rPr>
        <w:t>流体自下而上流经锥形管时，被浮子节流，在浮子的上、下游之间产生差压，浮子</w:t>
      </w:r>
      <w:r>
        <w:rPr>
          <w:spacing w:val="12"/>
        </w:rPr>
        <w:t xml:space="preserve"> </w:t>
      </w:r>
      <w:r>
        <w:rPr>
          <w:spacing w:val="3"/>
        </w:rPr>
        <w:t>在此差压作用下上升。当浮子所受的差压力、重力、浮力及粘性力的合力为零时，浮子</w:t>
      </w:r>
      <w:r>
        <w:rPr>
          <w:spacing w:val="6"/>
        </w:rPr>
        <w:t xml:space="preserve"> </w:t>
      </w:r>
      <w:r>
        <w:rPr>
          <w:spacing w:val="3"/>
        </w:rPr>
        <w:t>处于平衡位置。因此，流体流量与浮子的上升高度，即与流量计的流通面积之间存在着</w:t>
      </w:r>
      <w:r>
        <w:rPr>
          <w:spacing w:val="8"/>
        </w:rPr>
        <w:t xml:space="preserve"> </w:t>
      </w:r>
      <w:r>
        <w:rPr>
          <w:spacing w:val="-6"/>
        </w:rPr>
        <w:t>一定的比例关系。</w:t>
      </w:r>
    </w:p>
    <w:p>
      <w:pPr>
        <w:pStyle w:val="BodyText"/>
        <w:spacing w:before="42" w:line="411" w:lineRule="exact"/>
        <w:ind w:left="509"/>
      </w:pPr>
      <w:r>
        <w:rPr>
          <w:spacing w:val="3"/>
          <w:position w:val="12"/>
        </w:rPr>
        <w:t>指示型金属管流量计是将浮子的位移通过磁耦合传出，经传动机构带动指针指示其</w:t>
      </w:r>
    </w:p>
    <w:p>
      <w:pPr>
        <w:pStyle w:val="BodyText"/>
        <w:spacing w:line="219" w:lineRule="auto"/>
      </w:pPr>
      <w:r>
        <w:rPr>
          <w:spacing w:val="-4"/>
        </w:rPr>
        <w:t>流量值。</w:t>
      </w:r>
    </w:p>
    <w:p>
      <w:pPr>
        <w:spacing w:before="136" w:line="4409" w:lineRule="exact"/>
        <w:ind w:firstLine="2970"/>
      </w:pPr>
      <w:r>
        <w:rPr>
          <w:position w:val="-88"/>
        </w:rPr>
        <w:drawing>
          <wp:inline distT="0" distB="0" distL="0" distR="0">
            <wp:extent cx="2139886" cy="280029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2139886" cy="2800298"/>
                    </a:xfrm>
                    <a:prstGeom prst="rect">
                      <a:avLst/>
                    </a:prstGeom>
                  </pic:spPr>
                </pic:pic>
              </a:graphicData>
            </a:graphic>
          </wp:inline>
        </w:drawing>
      </w:r>
    </w:p>
    <w:p>
      <w:pPr>
        <w:pStyle w:val="BodyText"/>
        <w:spacing w:before="241" w:line="219" w:lineRule="auto"/>
        <w:ind w:left="3470"/>
      </w:pPr>
      <w:r>
        <w:rPr>
          <w:spacing w:val="-21"/>
        </w:rPr>
        <w:t>图2  金属管流量计示意图</w:t>
      </w:r>
    </w:p>
    <w:p>
      <w:pPr>
        <w:pStyle w:val="BodyText"/>
        <w:spacing w:before="101" w:line="219" w:lineRule="auto"/>
        <w:ind w:left="2330"/>
        <w:rPr>
          <w:sz w:val="19"/>
          <w:szCs w:val="19"/>
        </w:rPr>
      </w:pPr>
      <w:r>
        <w:rPr>
          <w:spacing w:val="-8"/>
          <w:sz w:val="19"/>
          <w:szCs w:val="19"/>
        </w:rPr>
        <w:t>1一壳体；2—导向环；3—浮子；4—导管座；5—本体法兰；</w:t>
      </w:r>
    </w:p>
    <w:p>
      <w:pPr>
        <w:spacing w:before="36" w:line="213" w:lineRule="auto"/>
        <w:ind w:left="2859"/>
        <w:rPr>
          <w:rFonts w:ascii="SimHei" w:eastAsia="SimHei" w:hAnsi="SimHei" w:cs="SimHei"/>
          <w:sz w:val="19"/>
          <w:szCs w:val="19"/>
        </w:rPr>
      </w:pPr>
      <w:r>
        <w:rPr>
          <w:rFonts w:ascii="SimHei" w:eastAsia="SimHei" w:hAnsi="SimHei" w:cs="SimHei"/>
          <w:spacing w:val="-7"/>
          <w:sz w:val="19"/>
          <w:szCs w:val="19"/>
        </w:rPr>
        <w:t>6—密封垫；7—上法兰；8—导管；9—指示器</w:t>
      </w:r>
    </w:p>
    <w:p>
      <w:pPr>
        <w:pStyle w:val="BodyText"/>
        <w:spacing w:before="162" w:line="263" w:lineRule="auto"/>
        <w:ind w:right="6" w:firstLine="569"/>
        <w:jc w:val="both"/>
        <w:sectPr>
          <w:headerReference w:type="default" r:id="rId17"/>
          <w:footerReference w:type="default" r:id="rId18"/>
          <w:pgSz w:w="11750" w:h="16650"/>
          <w:pgMar w:top="1614" w:right="827" w:bottom="929" w:left="1590" w:header="1448" w:footer="760" w:gutter="0"/>
          <w:pgNumType w:start="5"/>
          <w:cols w:space="708"/>
        </w:sectPr>
      </w:pPr>
      <w:r>
        <w:rPr>
          <w:spacing w:val="3"/>
        </w:rPr>
        <w:t>电远传型金属管流量计则将浮子升起的高度通过磁钢的耦合传给四连杆机构，经四</w:t>
      </w:r>
      <w:r>
        <w:rPr>
          <w:spacing w:val="6"/>
        </w:rPr>
        <w:t xml:space="preserve"> </w:t>
      </w:r>
      <w:r>
        <w:rPr>
          <w:spacing w:val="3"/>
        </w:rPr>
        <w:t>连杆机构的调整使指针及连杆具有与流量成线性的位移，再通过第二套四连杆机构带动</w:t>
      </w:r>
      <w:r>
        <w:rPr>
          <w:spacing w:val="11"/>
        </w:rPr>
        <w:t xml:space="preserve"> </w:t>
      </w:r>
      <w:r>
        <w:rPr>
          <w:spacing w:val="2"/>
        </w:rPr>
        <w:t>铁芯相对差动变压器产生位移，所产生的差动电势经转换器转换成标准电信号输出。</w:t>
      </w:r>
    </w:p>
    <w:p>
      <w:pPr>
        <w:spacing w:before="282" w:line="222" w:lineRule="auto"/>
        <w:ind w:left="3"/>
        <w:rPr>
          <w:rFonts w:ascii="SimHei" w:eastAsia="SimHei" w:hAnsi="SimHei" w:cs="SimHei"/>
          <w:sz w:val="24"/>
          <w:szCs w:val="24"/>
        </w:rPr>
      </w:pPr>
      <w:r>
        <w:rPr>
          <w:rFonts w:ascii="SimHei" w:eastAsia="SimHei" w:hAnsi="SimHei" w:cs="SimHei"/>
          <w:b/>
          <w:bCs/>
          <w:spacing w:val="-1"/>
          <w:sz w:val="24"/>
          <w:szCs w:val="24"/>
        </w:rPr>
        <w:t>5</w:t>
      </w:r>
      <w:r>
        <w:rPr>
          <w:rFonts w:ascii="SimHei" w:eastAsia="SimHei" w:hAnsi="SimHei" w:cs="SimHei"/>
          <w:spacing w:val="27"/>
          <w:sz w:val="24"/>
          <w:szCs w:val="24"/>
        </w:rPr>
        <w:t xml:space="preserve">  </w:t>
      </w:r>
      <w:r>
        <w:rPr>
          <w:rFonts w:ascii="SimHei" w:eastAsia="SimHei" w:hAnsi="SimHei" w:cs="SimHei"/>
          <w:b/>
          <w:bCs/>
          <w:spacing w:val="-1"/>
          <w:sz w:val="24"/>
          <w:szCs w:val="24"/>
        </w:rPr>
        <w:t>计量性能要求</w:t>
      </w:r>
    </w:p>
    <w:p>
      <w:pPr>
        <w:pStyle w:val="BodyText"/>
        <w:spacing w:before="265" w:line="219" w:lineRule="auto"/>
      </w:pPr>
      <w:r>
        <w:rPr>
          <w:spacing w:val="1"/>
        </w:rPr>
        <w:t>5.1</w:t>
      </w:r>
      <w:r>
        <w:rPr>
          <w:spacing w:val="43"/>
        </w:rPr>
        <w:t xml:space="preserve">  </w:t>
      </w:r>
      <w:r>
        <w:rPr>
          <w:spacing w:val="1"/>
        </w:rPr>
        <w:t>准确度等级和最大允许误差</w:t>
      </w:r>
    </w:p>
    <w:p>
      <w:pPr>
        <w:pStyle w:val="BodyText"/>
        <w:spacing w:before="45" w:line="263" w:lineRule="auto"/>
        <w:ind w:firstLine="560"/>
      </w:pPr>
      <w:r>
        <w:rPr>
          <w:spacing w:val="7"/>
        </w:rPr>
        <w:t>表1所示为流量计的准确度等级。特殊用途的流量计，其准确度等级、最大允</w:t>
      </w:r>
      <w:r>
        <w:rPr>
          <w:spacing w:val="6"/>
        </w:rPr>
        <w:t>许误</w:t>
      </w:r>
      <w:r>
        <w:t xml:space="preserve"> </w:t>
      </w:r>
      <w:r>
        <w:rPr>
          <w:spacing w:val="1"/>
        </w:rPr>
        <w:t>差可以按企业标准或使用说明书的规定。</w:t>
      </w:r>
    </w:p>
    <w:p>
      <w:pPr>
        <w:spacing w:line="263" w:lineRule="auto"/>
        <w:sectPr>
          <w:headerReference w:type="default" r:id="rId19"/>
          <w:footerReference w:type="default" r:id="rId20"/>
          <w:type w:val="nextPage"/>
          <w:pgSz w:w="11750" w:h="16650"/>
          <w:pgMar w:top="1614" w:right="827" w:bottom="929" w:left="1590" w:header="1448" w:footer="760" w:gutter="0"/>
          <w:pgNumType w:start="6"/>
          <w:cols w:space="708"/>
          <w:titlePg w:val="0"/>
        </w:sectPr>
      </w:pPr>
    </w:p>
    <w:p>
      <w:pPr>
        <w:pStyle w:val="BodyText"/>
        <w:spacing w:before="230" w:line="219" w:lineRule="auto"/>
        <w:ind w:left="6"/>
      </w:pPr>
      <w:r>
        <w:rPr>
          <w:spacing w:val="2"/>
        </w:rPr>
        <w:t>5.2</w:t>
      </w:r>
      <w:r>
        <w:rPr>
          <w:spacing w:val="54"/>
        </w:rPr>
        <w:t xml:space="preserve">  </w:t>
      </w:r>
      <w:r>
        <w:rPr>
          <w:spacing w:val="2"/>
        </w:rPr>
        <w:t>示值误差</w:t>
      </w:r>
    </w:p>
    <w:p>
      <w:pPr>
        <w:pStyle w:val="BodyText"/>
        <w:spacing w:before="104" w:line="345" w:lineRule="exact"/>
        <w:ind w:left="536"/>
      </w:pPr>
      <w:r>
        <w:rPr>
          <w:spacing w:val="7"/>
          <w:position w:val="7"/>
        </w:rPr>
        <w:t>流量计的示值误差采用引用误差，应不超过表1的规定。</w:t>
      </w:r>
    </w:p>
    <w:p>
      <w:pPr>
        <w:pStyle w:val="BodyText"/>
        <w:spacing w:before="1" w:line="222" w:lineRule="auto"/>
        <w:ind w:left="6"/>
      </w:pPr>
      <w:r>
        <w:rPr>
          <w:spacing w:val="-3"/>
        </w:rPr>
        <w:t>5.3</w:t>
      </w:r>
      <w:r>
        <w:rPr>
          <w:spacing w:val="8"/>
        </w:rPr>
        <w:t xml:space="preserve">  </w:t>
      </w:r>
      <w:r>
        <w:rPr>
          <w:spacing w:val="-3"/>
        </w:rPr>
        <w:t>回差</w:t>
      </w:r>
    </w:p>
    <w:p>
      <w:pPr>
        <w:pStyle w:val="BodyText"/>
        <w:spacing w:before="85" w:line="219" w:lineRule="auto"/>
        <w:ind w:left="536"/>
      </w:pPr>
      <w:r>
        <w:rPr>
          <w:spacing w:val="7"/>
        </w:rPr>
        <w:t>流量计的最大允许回差应不超过表1的规定。</w:t>
      </w:r>
    </w:p>
    <w:p>
      <w:pPr>
        <w:spacing w:before="159" w:line="221" w:lineRule="auto"/>
        <w:ind w:left="2869"/>
        <w:rPr>
          <w:rFonts w:ascii="SimHei" w:eastAsia="SimHei" w:hAnsi="SimHei" w:cs="SimHei"/>
          <w:sz w:val="24"/>
          <w:szCs w:val="24"/>
        </w:rPr>
      </w:pPr>
      <w:r>
        <w:rPr>
          <w:rFonts w:ascii="SimHei" w:eastAsia="SimHei" w:hAnsi="SimHei" w:cs="SimHei"/>
          <w:b/>
          <w:bCs/>
          <w:spacing w:val="-24"/>
          <w:sz w:val="24"/>
          <w:szCs w:val="24"/>
        </w:rPr>
        <w:t>表1</w:t>
      </w:r>
      <w:r>
        <w:rPr>
          <w:rFonts w:ascii="SimHei" w:eastAsia="SimHei" w:hAnsi="SimHei" w:cs="SimHei"/>
          <w:spacing w:val="67"/>
          <w:sz w:val="24"/>
          <w:szCs w:val="24"/>
        </w:rPr>
        <w:t xml:space="preserve"> </w:t>
      </w:r>
      <w:r>
        <w:rPr>
          <w:rFonts w:ascii="SimHei" w:eastAsia="SimHei" w:hAnsi="SimHei" w:cs="SimHei"/>
          <w:b/>
          <w:bCs/>
          <w:spacing w:val="-24"/>
          <w:sz w:val="24"/>
          <w:szCs w:val="24"/>
        </w:rPr>
        <w:t>准确度等级、最大允许误差和回差</w:t>
      </w:r>
    </w:p>
    <w:p>
      <w:pPr>
        <w:spacing w:line="63" w:lineRule="exact"/>
      </w:pPr>
    </w:p>
    <w:tbl>
      <w:tblPr>
        <w:tblStyle w:val="TableNormal0"/>
        <w:tblW w:w="9270" w:type="dxa"/>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23"/>
        <w:gridCol w:w="1439"/>
        <w:gridCol w:w="1438"/>
        <w:gridCol w:w="1448"/>
        <w:gridCol w:w="1448"/>
        <w:gridCol w:w="1374"/>
      </w:tblGrid>
      <w:tr>
        <w:tblPrEx>
          <w:tblW w:w="9270" w:type="dxa"/>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2123" w:type="dxa"/>
            <w:vAlign w:val="top"/>
          </w:tcPr>
          <w:p>
            <w:pPr>
              <w:pStyle w:val="TableText"/>
              <w:spacing w:before="101" w:line="219" w:lineRule="auto"/>
              <w:ind w:left="508"/>
            </w:pPr>
            <w:r>
              <w:rPr>
                <w:b/>
                <w:bCs/>
                <w:spacing w:val="-4"/>
              </w:rPr>
              <w:t>准确度等级</w:t>
            </w:r>
          </w:p>
        </w:tc>
        <w:tc>
          <w:tcPr>
            <w:tcW w:w="1439" w:type="dxa"/>
            <w:vAlign w:val="top"/>
          </w:tcPr>
          <w:p>
            <w:pPr>
              <w:pStyle w:val="TableText"/>
              <w:spacing w:before="159" w:line="184" w:lineRule="auto"/>
              <w:ind w:left="541"/>
            </w:pPr>
            <w:r>
              <w:rPr>
                <w:spacing w:val="-6"/>
              </w:rPr>
              <w:t>1.0</w:t>
            </w:r>
          </w:p>
        </w:tc>
        <w:tc>
          <w:tcPr>
            <w:tcW w:w="1438" w:type="dxa"/>
            <w:vAlign w:val="top"/>
          </w:tcPr>
          <w:p>
            <w:pPr>
              <w:pStyle w:val="TableText"/>
              <w:spacing w:before="159" w:line="184" w:lineRule="auto"/>
              <w:ind w:left="543"/>
            </w:pPr>
            <w:r>
              <w:rPr>
                <w:spacing w:val="-6"/>
              </w:rPr>
              <w:t>1.5</w:t>
            </w:r>
          </w:p>
        </w:tc>
        <w:tc>
          <w:tcPr>
            <w:tcW w:w="1448" w:type="dxa"/>
            <w:vAlign w:val="top"/>
          </w:tcPr>
          <w:p>
            <w:pPr>
              <w:pStyle w:val="TableText"/>
              <w:spacing w:before="160" w:line="183" w:lineRule="auto"/>
              <w:ind w:left="554"/>
            </w:pPr>
            <w:r>
              <w:rPr>
                <w:spacing w:val="-3"/>
              </w:rPr>
              <w:t>2.5</w:t>
            </w:r>
          </w:p>
        </w:tc>
        <w:tc>
          <w:tcPr>
            <w:tcW w:w="1448" w:type="dxa"/>
            <w:vAlign w:val="top"/>
          </w:tcPr>
          <w:p>
            <w:pPr>
              <w:pStyle w:val="TableText"/>
              <w:spacing w:before="160" w:line="183" w:lineRule="auto"/>
              <w:ind w:left="556"/>
            </w:pPr>
            <w:r>
              <w:rPr>
                <w:spacing w:val="-2"/>
              </w:rPr>
              <w:t>4.0</w:t>
            </w:r>
          </w:p>
        </w:tc>
        <w:tc>
          <w:tcPr>
            <w:tcW w:w="1374" w:type="dxa"/>
            <w:vAlign w:val="top"/>
          </w:tcPr>
          <w:p>
            <w:pPr>
              <w:pStyle w:val="TableText"/>
              <w:spacing w:before="160" w:line="183" w:lineRule="auto"/>
              <w:ind w:left="518"/>
            </w:pPr>
            <w:r>
              <w:rPr>
                <w:spacing w:val="-3"/>
              </w:rPr>
              <w:t>5.0</w:t>
            </w:r>
          </w:p>
        </w:tc>
      </w:tr>
      <w:tr>
        <w:tblPrEx>
          <w:tblW w:w="9270" w:type="dxa"/>
          <w:tblInd w:w="96" w:type="dxa"/>
          <w:tblLayout w:type="fixed"/>
        </w:tblPrEx>
        <w:trPr>
          <w:trHeight w:val="406"/>
        </w:trPr>
        <w:tc>
          <w:tcPr>
            <w:tcW w:w="2123" w:type="dxa"/>
            <w:vAlign w:val="top"/>
          </w:tcPr>
          <w:p>
            <w:pPr>
              <w:pStyle w:val="TableText"/>
              <w:spacing w:before="102" w:line="219" w:lineRule="auto"/>
              <w:ind w:left="224"/>
            </w:pPr>
            <w:r>
              <w:rPr>
                <w:spacing w:val="5"/>
              </w:rPr>
              <w:t>最大允许误差(%)</w:t>
            </w:r>
          </w:p>
        </w:tc>
        <w:tc>
          <w:tcPr>
            <w:tcW w:w="1439" w:type="dxa"/>
            <w:vAlign w:val="top"/>
          </w:tcPr>
          <w:p>
            <w:pPr>
              <w:pStyle w:val="TableText"/>
              <w:spacing w:before="134" w:line="235" w:lineRule="auto"/>
              <w:ind w:left="492"/>
              <w:rPr>
                <w:sz w:val="17"/>
                <w:szCs w:val="17"/>
              </w:rPr>
            </w:pPr>
            <w:r>
              <w:rPr>
                <w:spacing w:val="-6"/>
                <w:sz w:val="17"/>
                <w:szCs w:val="17"/>
              </w:rPr>
              <w:t>±1.0</w:t>
            </w:r>
          </w:p>
        </w:tc>
        <w:tc>
          <w:tcPr>
            <w:tcW w:w="1438" w:type="dxa"/>
            <w:vAlign w:val="top"/>
          </w:tcPr>
          <w:p>
            <w:pPr>
              <w:pStyle w:val="TableText"/>
              <w:spacing w:before="120" w:line="231" w:lineRule="auto"/>
              <w:ind w:left="432"/>
            </w:pPr>
            <w:r>
              <w:rPr>
                <w:spacing w:val="-7"/>
              </w:rPr>
              <w:t>±1.5</w:t>
            </w:r>
          </w:p>
        </w:tc>
        <w:tc>
          <w:tcPr>
            <w:tcW w:w="1448" w:type="dxa"/>
            <w:vAlign w:val="top"/>
          </w:tcPr>
          <w:p>
            <w:pPr>
              <w:pStyle w:val="TableText"/>
              <w:spacing w:before="134" w:line="235" w:lineRule="auto"/>
              <w:ind w:left="505"/>
              <w:rPr>
                <w:sz w:val="17"/>
                <w:szCs w:val="17"/>
              </w:rPr>
            </w:pPr>
            <w:r>
              <w:rPr>
                <w:spacing w:val="-6"/>
                <w:sz w:val="17"/>
                <w:szCs w:val="17"/>
              </w:rPr>
              <w:t>±2.5</w:t>
            </w:r>
          </w:p>
        </w:tc>
        <w:tc>
          <w:tcPr>
            <w:tcW w:w="1448" w:type="dxa"/>
            <w:vAlign w:val="top"/>
          </w:tcPr>
          <w:p>
            <w:pPr>
              <w:pStyle w:val="TableText"/>
              <w:spacing w:before="134" w:line="235" w:lineRule="auto"/>
              <w:ind w:left="506"/>
              <w:rPr>
                <w:sz w:val="17"/>
                <w:szCs w:val="17"/>
              </w:rPr>
            </w:pPr>
            <w:r>
              <w:rPr>
                <w:spacing w:val="-6"/>
                <w:sz w:val="17"/>
                <w:szCs w:val="17"/>
              </w:rPr>
              <w:t>±4.0</w:t>
            </w:r>
          </w:p>
        </w:tc>
        <w:tc>
          <w:tcPr>
            <w:tcW w:w="1374" w:type="dxa"/>
            <w:vAlign w:val="top"/>
          </w:tcPr>
          <w:p>
            <w:pPr>
              <w:pStyle w:val="TableText"/>
              <w:spacing w:before="134" w:line="235" w:lineRule="auto"/>
              <w:ind w:left="468"/>
              <w:rPr>
                <w:sz w:val="17"/>
                <w:szCs w:val="17"/>
              </w:rPr>
            </w:pPr>
            <w:r>
              <w:rPr>
                <w:spacing w:val="-6"/>
                <w:sz w:val="17"/>
                <w:szCs w:val="17"/>
              </w:rPr>
              <w:t>±5.0</w:t>
            </w:r>
          </w:p>
        </w:tc>
      </w:tr>
      <w:tr>
        <w:tblPrEx>
          <w:tblW w:w="9270" w:type="dxa"/>
          <w:tblInd w:w="96" w:type="dxa"/>
          <w:tblLayout w:type="fixed"/>
        </w:tblPrEx>
        <w:trPr>
          <w:trHeight w:val="412"/>
        </w:trPr>
        <w:tc>
          <w:tcPr>
            <w:tcW w:w="2123" w:type="dxa"/>
            <w:vAlign w:val="top"/>
          </w:tcPr>
          <w:p>
            <w:pPr>
              <w:pStyle w:val="TableText"/>
              <w:spacing w:before="106" w:line="219" w:lineRule="auto"/>
              <w:ind w:left="284"/>
            </w:pPr>
            <w:r>
              <w:rPr>
                <w:spacing w:val="-2"/>
              </w:rPr>
              <w:t>最大允许回差(%</w:t>
            </w:r>
          </w:p>
        </w:tc>
        <w:tc>
          <w:tcPr>
            <w:tcW w:w="1439" w:type="dxa"/>
            <w:vAlign w:val="top"/>
          </w:tcPr>
          <w:p>
            <w:pPr>
              <w:pStyle w:val="TableText"/>
              <w:spacing w:before="161" w:line="184" w:lineRule="auto"/>
              <w:ind w:left="541"/>
            </w:pPr>
            <w:r>
              <w:rPr>
                <w:spacing w:val="-6"/>
              </w:rPr>
              <w:t>1.0</w:t>
            </w:r>
          </w:p>
        </w:tc>
        <w:tc>
          <w:tcPr>
            <w:tcW w:w="1438" w:type="dxa"/>
            <w:vAlign w:val="top"/>
          </w:tcPr>
          <w:p>
            <w:pPr>
              <w:pStyle w:val="TableText"/>
              <w:spacing w:before="161" w:line="184" w:lineRule="auto"/>
              <w:ind w:left="543"/>
            </w:pPr>
            <w:r>
              <w:rPr>
                <w:spacing w:val="-6"/>
              </w:rPr>
              <w:t>1.5</w:t>
            </w:r>
          </w:p>
        </w:tc>
        <w:tc>
          <w:tcPr>
            <w:tcW w:w="1448" w:type="dxa"/>
            <w:vAlign w:val="top"/>
          </w:tcPr>
          <w:p>
            <w:pPr>
              <w:pStyle w:val="TableText"/>
              <w:spacing w:before="162" w:line="183" w:lineRule="auto"/>
              <w:ind w:left="554"/>
            </w:pPr>
            <w:r>
              <w:rPr>
                <w:spacing w:val="-3"/>
              </w:rPr>
              <w:t>2.5</w:t>
            </w:r>
          </w:p>
        </w:tc>
        <w:tc>
          <w:tcPr>
            <w:tcW w:w="1448" w:type="dxa"/>
            <w:vAlign w:val="top"/>
          </w:tcPr>
          <w:p>
            <w:pPr>
              <w:pStyle w:val="TableText"/>
              <w:spacing w:before="162" w:line="183" w:lineRule="auto"/>
              <w:ind w:left="556"/>
            </w:pPr>
            <w:r>
              <w:rPr>
                <w:spacing w:val="-2"/>
              </w:rPr>
              <w:t>4.0</w:t>
            </w:r>
          </w:p>
        </w:tc>
        <w:tc>
          <w:tcPr>
            <w:tcW w:w="1374" w:type="dxa"/>
            <w:vAlign w:val="top"/>
          </w:tcPr>
          <w:p>
            <w:pPr>
              <w:pStyle w:val="TableText"/>
              <w:spacing w:before="162" w:line="183" w:lineRule="auto"/>
              <w:ind w:left="518"/>
            </w:pPr>
            <w:r>
              <w:rPr>
                <w:spacing w:val="-3"/>
              </w:rPr>
              <w:t>5.0</w:t>
            </w:r>
          </w:p>
        </w:tc>
      </w:tr>
    </w:tbl>
    <w:p>
      <w:pPr>
        <w:spacing w:line="460" w:lineRule="auto"/>
        <w:rPr>
          <w:rFonts w:ascii="Arial"/>
          <w:sz w:val="21"/>
        </w:rPr>
      </w:pPr>
    </w:p>
    <w:p>
      <w:pPr>
        <w:spacing w:before="79" w:line="222" w:lineRule="auto"/>
        <w:ind w:left="9"/>
        <w:rPr>
          <w:rFonts w:ascii="SimHei" w:eastAsia="SimHei" w:hAnsi="SimHei" w:cs="SimHei"/>
          <w:sz w:val="24"/>
          <w:szCs w:val="24"/>
        </w:rPr>
      </w:pPr>
      <w:r>
        <w:rPr>
          <w:rFonts w:ascii="SimHei" w:eastAsia="SimHei" w:hAnsi="SimHei" w:cs="SimHei"/>
          <w:b/>
          <w:bCs/>
          <w:spacing w:val="1"/>
          <w:sz w:val="24"/>
          <w:szCs w:val="24"/>
        </w:rPr>
        <w:t>6</w:t>
      </w:r>
      <w:r>
        <w:rPr>
          <w:rFonts w:ascii="SimHei" w:eastAsia="SimHei" w:hAnsi="SimHei" w:cs="SimHei"/>
          <w:spacing w:val="40"/>
          <w:sz w:val="24"/>
          <w:szCs w:val="24"/>
        </w:rPr>
        <w:t xml:space="preserve">  </w:t>
      </w:r>
      <w:r>
        <w:rPr>
          <w:rFonts w:ascii="SimHei" w:eastAsia="SimHei" w:hAnsi="SimHei" w:cs="SimHei"/>
          <w:b/>
          <w:bCs/>
          <w:spacing w:val="1"/>
          <w:sz w:val="24"/>
          <w:szCs w:val="24"/>
        </w:rPr>
        <w:t>通用技术要求</w:t>
      </w:r>
    </w:p>
    <w:p>
      <w:pPr>
        <w:pStyle w:val="BodyText"/>
        <w:spacing w:before="245" w:line="219" w:lineRule="auto"/>
        <w:ind w:left="6"/>
      </w:pPr>
      <w:r>
        <w:rPr>
          <w:spacing w:val="5"/>
        </w:rPr>
        <w:t>6.1</w:t>
      </w:r>
      <w:r>
        <w:rPr>
          <w:spacing w:val="103"/>
        </w:rPr>
        <w:t xml:space="preserve"> </w:t>
      </w:r>
      <w:r>
        <w:rPr>
          <w:spacing w:val="5"/>
        </w:rPr>
        <w:t>铭牌和标识</w:t>
      </w:r>
    </w:p>
    <w:p>
      <w:pPr>
        <w:pStyle w:val="BodyText"/>
        <w:spacing w:before="105" w:line="351" w:lineRule="exact"/>
        <w:ind w:left="536"/>
      </w:pPr>
      <w:r>
        <w:rPr>
          <w:position w:val="7"/>
        </w:rPr>
        <w:t>应在流量计明显部位或铭牌标明：</w:t>
      </w:r>
    </w:p>
    <w:p>
      <w:pPr>
        <w:pStyle w:val="BodyText"/>
        <w:spacing w:line="220" w:lineRule="auto"/>
        <w:ind w:left="536"/>
      </w:pPr>
      <w:r>
        <w:t>——制造厂名称或制造厂标识；</w:t>
      </w:r>
    </w:p>
    <w:p>
      <w:pPr>
        <w:pStyle w:val="BodyText"/>
        <w:spacing w:before="83" w:line="219" w:lineRule="auto"/>
        <w:ind w:left="536"/>
      </w:pPr>
      <w:r>
        <w:rPr>
          <w:spacing w:val="1"/>
        </w:rPr>
        <w:t>——流量计的名称、型号规格和准确度等级；</w:t>
      </w:r>
    </w:p>
    <w:p>
      <w:pPr>
        <w:pStyle w:val="BodyText"/>
        <w:spacing w:before="75" w:line="219" w:lineRule="auto"/>
        <w:ind w:left="536"/>
      </w:pPr>
      <w:r>
        <w:t>——流量计的出厂编号、制造日期；</w:t>
      </w:r>
    </w:p>
    <w:p>
      <w:pPr>
        <w:pStyle w:val="BodyText"/>
        <w:spacing w:before="76" w:line="219" w:lineRule="auto"/>
        <w:ind w:left="536"/>
      </w:pPr>
      <w:r>
        <w:rPr>
          <w:spacing w:val="2"/>
        </w:rPr>
        <w:t>——计量器具标识和制造许可证编号；</w:t>
      </w:r>
    </w:p>
    <w:p>
      <w:pPr>
        <w:pStyle w:val="BodyText"/>
        <w:spacing w:before="73" w:line="218" w:lineRule="auto"/>
        <w:ind w:left="536"/>
      </w:pPr>
      <w:r>
        <w:rPr>
          <w:spacing w:val="1"/>
        </w:rPr>
        <w:t>——防爆等级和防爆标识(仅对防爆型流量计)。</w:t>
      </w:r>
    </w:p>
    <w:p>
      <w:pPr>
        <w:pStyle w:val="BodyText"/>
        <w:spacing w:before="87" w:line="219" w:lineRule="auto"/>
        <w:ind w:left="6"/>
      </w:pPr>
      <w:r>
        <w:rPr>
          <w:spacing w:val="2"/>
        </w:rPr>
        <w:t>6.2  随机文件</w:t>
      </w:r>
    </w:p>
    <w:p>
      <w:pPr>
        <w:pStyle w:val="BodyText"/>
        <w:spacing w:before="66" w:line="268" w:lineRule="auto"/>
        <w:ind w:left="6" w:right="89" w:firstLine="530"/>
        <w:jc w:val="both"/>
      </w:pPr>
      <w:r>
        <w:rPr>
          <w:spacing w:val="4"/>
        </w:rPr>
        <w:t>流量计应附有使用说明书和合格证。说明书中应载明最大工作压</w:t>
      </w:r>
      <w:r>
        <w:rPr>
          <w:spacing w:val="3"/>
        </w:rPr>
        <w:t>力(标称压力)、流</w:t>
      </w:r>
      <w:r>
        <w:t xml:space="preserve"> </w:t>
      </w:r>
      <w:r>
        <w:rPr>
          <w:spacing w:val="7"/>
        </w:rPr>
        <w:t>量范围、传感器结构和材料、防爆等级、电源供电形式、输出信号(后三项为电远</w:t>
      </w:r>
      <w:r>
        <w:rPr>
          <w:spacing w:val="6"/>
        </w:rPr>
        <w:t>传型</w:t>
      </w:r>
      <w:r>
        <w:t xml:space="preserve"> </w:t>
      </w:r>
      <w:r>
        <w:rPr>
          <w:spacing w:val="3"/>
        </w:rPr>
        <w:t>流量计要求)及其他有关的技术指标。合格</w:t>
      </w:r>
      <w:r>
        <w:rPr>
          <w:spacing w:val="2"/>
        </w:rPr>
        <w:t>证中应注明准确度等级。</w:t>
      </w:r>
    </w:p>
    <w:p>
      <w:pPr>
        <w:pStyle w:val="BodyText"/>
        <w:spacing w:before="56" w:line="220" w:lineRule="auto"/>
        <w:ind w:left="9"/>
      </w:pPr>
      <w:r>
        <w:rPr>
          <w:b/>
          <w:bCs/>
          <w:spacing w:val="-7"/>
        </w:rPr>
        <w:t>6.3</w:t>
      </w:r>
      <w:r>
        <w:rPr>
          <w:spacing w:val="29"/>
        </w:rPr>
        <w:t xml:space="preserve">  </w:t>
      </w:r>
      <w:r>
        <w:rPr>
          <w:spacing w:val="-7"/>
        </w:rPr>
        <w:t>外</w:t>
      </w:r>
      <w:r>
        <w:rPr>
          <w:spacing w:val="-54"/>
        </w:rPr>
        <w:t xml:space="preserve"> </w:t>
      </w:r>
      <w:r>
        <w:rPr>
          <w:spacing w:val="-7"/>
        </w:rPr>
        <w:t>观</w:t>
      </w:r>
    </w:p>
    <w:p>
      <w:pPr>
        <w:pStyle w:val="BodyText"/>
        <w:spacing w:before="83" w:line="256" w:lineRule="auto"/>
        <w:ind w:left="6" w:right="89" w:firstLine="3"/>
      </w:pPr>
      <w:r>
        <w:rPr>
          <w:b/>
          <w:bCs/>
          <w:spacing w:val="7"/>
        </w:rPr>
        <w:t>6.3.1</w:t>
      </w:r>
      <w:r>
        <w:rPr>
          <w:spacing w:val="7"/>
        </w:rPr>
        <w:t xml:space="preserve">  流量计的外表面、浮子和导杆等应经过良好处理，色泽均匀，不得有毛刺、斑</w:t>
      </w:r>
      <w:r>
        <w:rPr>
          <w:spacing w:val="6"/>
        </w:rPr>
        <w:t xml:space="preserve"> </w:t>
      </w:r>
      <w:r>
        <w:rPr>
          <w:spacing w:val="2"/>
        </w:rPr>
        <w:t>痕、起皮剥落、锈蚀或霉斑等缺陷，紧固件应无松动、脱落等现象。</w:t>
      </w:r>
    </w:p>
    <w:p>
      <w:pPr>
        <w:pStyle w:val="BodyText"/>
        <w:spacing w:before="65" w:line="219" w:lineRule="auto"/>
        <w:ind w:left="9"/>
      </w:pPr>
      <w:r>
        <w:rPr>
          <w:b/>
          <w:bCs/>
          <w:spacing w:val="1"/>
        </w:rPr>
        <w:t>6.3.2</w:t>
      </w:r>
      <w:r>
        <w:rPr>
          <w:spacing w:val="25"/>
        </w:rPr>
        <w:t xml:space="preserve">  </w:t>
      </w:r>
      <w:r>
        <w:rPr>
          <w:spacing w:val="1"/>
        </w:rPr>
        <w:t>玻璃管流量计的要求</w:t>
      </w:r>
    </w:p>
    <w:p>
      <w:pPr>
        <w:pStyle w:val="BodyText"/>
        <w:spacing w:before="75" w:line="256" w:lineRule="auto"/>
        <w:ind w:left="6" w:right="138" w:firstLine="3"/>
      </w:pPr>
      <w:hyperlink r:id="rId21" w:history="1">
        <w:r>
          <w:rPr>
            <w:b/>
            <w:bCs/>
            <w:spacing w:val="6"/>
          </w:rPr>
          <w:t>6.3.2.1</w:t>
        </w:r>
      </w:hyperlink>
      <w:r>
        <w:rPr>
          <w:spacing w:val="6"/>
        </w:rPr>
        <w:t xml:space="preserve">  流量计玻璃管或其他明显部位应标明使用介质</w:t>
      </w:r>
      <w:r>
        <w:rPr>
          <w:spacing w:val="5"/>
        </w:rPr>
        <w:t>的名称、刻度状态的温度、压</w:t>
      </w:r>
      <w:r>
        <w:t xml:space="preserve"> </w:t>
      </w:r>
      <w:r>
        <w:rPr>
          <w:spacing w:val="-4"/>
        </w:rPr>
        <w:t>力(密度)及刻度单位等。</w:t>
      </w:r>
    </w:p>
    <w:p>
      <w:pPr>
        <w:pStyle w:val="BodyText"/>
        <w:spacing w:before="95" w:line="219" w:lineRule="auto"/>
        <w:ind w:left="9"/>
      </w:pPr>
      <w:hyperlink r:id="rId22" w:history="1">
        <w:r>
          <w:rPr>
            <w:b/>
            <w:bCs/>
            <w:spacing w:val="2"/>
          </w:rPr>
          <w:t>6.3.2.2</w:t>
        </w:r>
      </w:hyperlink>
      <w:r>
        <w:rPr>
          <w:spacing w:val="2"/>
        </w:rPr>
        <w:t xml:space="preserve">  流量计示值刻线应粗细均匀，文字、数字、符号应正确、清晰、规范。</w:t>
      </w:r>
    </w:p>
    <w:p>
      <w:pPr>
        <w:pStyle w:val="BodyText"/>
        <w:spacing w:before="63" w:line="219" w:lineRule="auto"/>
        <w:ind w:left="9"/>
        <w:sectPr>
          <w:headerReference w:type="default" r:id="rId23"/>
          <w:footerReference w:type="default" r:id="rId24"/>
          <w:pgSz w:w="11750" w:h="16650"/>
          <w:pgMar w:top="1719" w:right="1039" w:bottom="902" w:left="1303" w:header="1402" w:footer="743" w:gutter="0"/>
          <w:pgNumType w:start="7"/>
          <w:cols w:space="708"/>
        </w:sectPr>
      </w:pPr>
      <w:hyperlink r:id="rId25" w:history="1">
        <w:r>
          <w:rPr>
            <w:b/>
            <w:bCs/>
            <w:spacing w:val="1"/>
          </w:rPr>
          <w:t>6.3.2.3</w:t>
        </w:r>
      </w:hyperlink>
      <w:r>
        <w:rPr>
          <w:spacing w:val="1"/>
        </w:rPr>
        <w:t xml:space="preserve">  透明材料应无妨害准确读数的缺陷。</w:t>
      </w:r>
    </w:p>
    <w:p>
      <w:pPr>
        <w:pStyle w:val="BodyText"/>
        <w:spacing w:before="86" w:line="219" w:lineRule="auto"/>
        <w:ind w:left="9"/>
      </w:pPr>
      <w:hyperlink r:id="rId26" w:history="1">
        <w:r>
          <w:rPr>
            <w:b/>
            <w:bCs/>
            <w:spacing w:val="1"/>
          </w:rPr>
          <w:t>6.3.2.4</w:t>
        </w:r>
      </w:hyperlink>
      <w:r>
        <w:rPr>
          <w:spacing w:val="1"/>
        </w:rPr>
        <w:t xml:space="preserve">  流量计的刻度标尺细分格数一般应自下列级数中选取：</w:t>
      </w:r>
    </w:p>
    <w:p>
      <w:pPr>
        <w:pStyle w:val="BodyText"/>
        <w:spacing w:before="83" w:line="353" w:lineRule="exact"/>
        <w:ind w:left="3376"/>
      </w:pPr>
      <w:r>
        <w:rPr>
          <w:spacing w:val="-2"/>
          <w:position w:val="8"/>
        </w:rPr>
        <w:t>1×10",2×10",5×10"</w:t>
      </w:r>
    </w:p>
    <w:p>
      <w:pPr>
        <w:pStyle w:val="BodyText"/>
        <w:spacing w:before="1" w:line="219" w:lineRule="auto"/>
        <w:ind w:left="536"/>
      </w:pPr>
      <w:r>
        <w:rPr>
          <w:rFonts w:ascii="Times New Roman" w:eastAsia="Times New Roman" w:hAnsi="Times New Roman" w:cs="Times New Roman"/>
          <w:spacing w:val="1"/>
        </w:rPr>
        <w:t>n——</w:t>
      </w:r>
      <w:r>
        <w:rPr>
          <w:spacing w:val="1"/>
        </w:rPr>
        <w:t>任意正、负整数或零。</w:t>
      </w:r>
    </w:p>
    <w:p>
      <w:pPr>
        <w:pStyle w:val="BodyText"/>
        <w:spacing w:before="83" w:line="219" w:lineRule="auto"/>
        <w:ind w:left="9"/>
      </w:pPr>
      <w:hyperlink r:id="rId27" w:history="1">
        <w:r>
          <w:rPr>
            <w:b/>
            <w:bCs/>
            <w:spacing w:val="1"/>
          </w:rPr>
          <w:t>6.3.2.5</w:t>
        </w:r>
      </w:hyperlink>
      <w:r>
        <w:rPr>
          <w:spacing w:val="1"/>
        </w:rPr>
        <w:t xml:space="preserve">  玻璃锥管可以是圆形、带筋圆形、三角形或其他形状。</w:t>
      </w:r>
    </w:p>
    <w:p>
      <w:pPr>
        <w:pStyle w:val="BodyText"/>
        <w:spacing w:before="107" w:line="219" w:lineRule="auto"/>
      </w:pPr>
      <w:hyperlink r:id="rId28" w:history="1">
        <w:r>
          <w:rPr>
            <w:b/>
            <w:bCs/>
            <w:spacing w:val="5"/>
          </w:rPr>
          <w:t>6.3.2.6</w:t>
        </w:r>
      </w:hyperlink>
      <w:r>
        <w:rPr>
          <w:spacing w:val="5"/>
        </w:rPr>
        <w:t xml:space="preserve">  流量计浮子读数位置(工作位置)如图3所示，特殊情况按制造厂的规定。</w:t>
      </w:r>
    </w:p>
    <w:p>
      <w:pPr>
        <w:pStyle w:val="BodyText"/>
        <w:spacing w:before="54" w:line="244" w:lineRule="auto"/>
        <w:ind w:left="9" w:right="6348"/>
      </w:pPr>
      <w:r>
        <w:rPr>
          <w:b/>
          <w:bCs/>
          <w:spacing w:val="2"/>
        </w:rPr>
        <w:t>6.3.3</w:t>
      </w:r>
      <w:r>
        <w:rPr>
          <w:spacing w:val="2"/>
        </w:rPr>
        <w:t xml:space="preserve">  金属管流量计的要求 </w:t>
      </w:r>
      <w:hyperlink r:id="rId29" w:history="1">
        <w:r>
          <w:rPr>
            <w:b/>
            <w:bCs/>
            <w:spacing w:val="-4"/>
          </w:rPr>
          <w:t>6.3.3.1</w:t>
        </w:r>
      </w:hyperlink>
      <w:r>
        <w:rPr>
          <w:spacing w:val="22"/>
        </w:rPr>
        <w:t xml:space="preserve">  </w:t>
      </w:r>
      <w:r>
        <w:rPr>
          <w:spacing w:val="-4"/>
        </w:rPr>
        <w:t>供电电源</w:t>
      </w:r>
    </w:p>
    <w:p>
      <w:pPr>
        <w:spacing w:line="244" w:lineRule="auto"/>
        <w:sectPr>
          <w:headerReference w:type="default" r:id="rId30"/>
          <w:footerReference w:type="default" r:id="rId31"/>
          <w:type w:val="nextPage"/>
          <w:pgSz w:w="11750" w:h="16650"/>
          <w:pgMar w:top="1719" w:right="1039" w:bottom="902" w:left="1303" w:header="1402" w:footer="743" w:gutter="0"/>
          <w:pgNumType w:start="8"/>
          <w:cols w:space="708"/>
          <w:titlePg w:val="0"/>
        </w:sectPr>
      </w:pPr>
    </w:p>
    <w:p>
      <w:pPr>
        <w:spacing w:before="169" w:line="1581" w:lineRule="exact"/>
        <w:ind w:firstLine="1569"/>
      </w:pPr>
      <w:r>
        <mc:AlternateContent>
          <mc:Choice Requires="wps">
            <w:drawing>
              <wp:anchor distT="0" distB="0" distL="0" distR="0" simplePos="0" relativeHeight="251660288" behindDoc="0" locked="0" layoutInCell="0" allowOverlap="1">
                <wp:simplePos x="0" y="0"/>
                <wp:positionH relativeFrom="page">
                  <wp:posOffset>5214553</wp:posOffset>
                </wp:positionH>
                <wp:positionV relativeFrom="page">
                  <wp:posOffset>5930466</wp:posOffset>
                </wp:positionV>
                <wp:extent cx="525780" cy="288290"/>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5214553" y="5930466"/>
                          <a:ext cx="525780" cy="2882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22" w:line="198" w:lineRule="auto"/>
                              <w:ind w:left="20"/>
                              <w:rPr>
                                <w:rFonts w:ascii="STCaiyun" w:eastAsia="STCaiyun" w:hAnsi="STCaiyun" w:cs="STCaiyun"/>
                                <w:sz w:val="28"/>
                                <w:szCs w:val="28"/>
                              </w:rPr>
                            </w:pPr>
                            <w:r>
                              <w:rPr>
                                <w:rFonts w:ascii="STCaiyun" w:eastAsia="STCaiyun" w:hAnsi="STCaiyun" w:cs="STCaiyun"/>
                                <w:spacing w:val="-3"/>
                                <w:sz w:val="28"/>
                                <w:szCs w:val="28"/>
                              </w:rPr>
                              <w:t>HOUSE</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6" o:spid="_x0000_s1025" type="#_x0000_t202" style="width:41.4pt;height:22.7pt;margin-top:466.97pt;margin-left:410.59pt;mso-position-horizontal-relative:page;mso-position-vertical-relative:page;mso-wrap-distance-bottom:0;mso-wrap-distance-left:0;mso-wrap-distance-right:0;mso-wrap-distance-top:0;position:absolute;rotation:270;v-text-anchor:top;z-index:251659264" o:allowincell="f" filled="f" fillcolor="this" stroked="f">
                <v:textbox inset="0,0,0,0">
                  <w:txbxContent>
                    <w:p>
                      <w:pPr>
                        <w:spacing w:before="122" w:line="198" w:lineRule="auto"/>
                        <w:ind w:left="20"/>
                        <w:rPr>
                          <w:rFonts w:ascii="STCaiyun" w:eastAsia="STCaiyun" w:hAnsi="STCaiyun" w:cs="STCaiyun"/>
                          <w:sz w:val="28"/>
                          <w:szCs w:val="28"/>
                        </w:rPr>
                      </w:pPr>
                      <w:r>
                        <w:rPr>
                          <w:rFonts w:ascii="STCaiyun" w:eastAsia="STCaiyun" w:hAnsi="STCaiyun" w:cs="STCaiyun"/>
                          <w:spacing w:val="-3"/>
                          <w:sz w:val="28"/>
                          <w:szCs w:val="28"/>
                        </w:rPr>
                        <w:t>HOUSE</w:t>
                      </w:r>
                    </w:p>
                  </w:txbxContent>
                </v:textbox>
              </v:shape>
            </w:pict>
          </mc:Fallback>
        </mc:AlternateContent>
      </w:r>
      <w:r>
        <mc:AlternateContent>
          <mc:Choice Requires="wps">
            <w:drawing>
              <wp:anchor distT="0" distB="0" distL="0" distR="0" simplePos="0" relativeHeight="251662336" behindDoc="0" locked="0" layoutInCell="0" allowOverlap="1">
                <wp:simplePos x="0" y="0"/>
                <wp:positionH relativeFrom="page">
                  <wp:posOffset>5240610</wp:posOffset>
                </wp:positionH>
                <wp:positionV relativeFrom="page">
                  <wp:posOffset>4952947</wp:posOffset>
                </wp:positionV>
                <wp:extent cx="336550" cy="222250"/>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5400000">
                          <a:off x="5240610" y="4952947"/>
                          <a:ext cx="336550"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5" w:line="222" w:lineRule="auto"/>
                              <w:jc w:val="right"/>
                              <w:rPr>
                                <w:sz w:val="22"/>
                                <w:szCs w:val="22"/>
                              </w:rPr>
                            </w:pPr>
                            <w:r>
                              <w:rPr>
                                <w:spacing w:val="-46"/>
                                <w:sz w:val="22"/>
                                <w:szCs w:val="22"/>
                              </w:rPr>
                              <w:t>比</w:t>
                            </w:r>
                            <w:r>
                              <w:rPr>
                                <w:spacing w:val="5"/>
                                <w:sz w:val="22"/>
                                <w:szCs w:val="22"/>
                              </w:rPr>
                              <w:t xml:space="preserve"> </w:t>
                            </w:r>
                            <w:r>
                              <w:rPr>
                                <w:spacing w:val="-20"/>
                                <w:sz w:val="22"/>
                                <w:szCs w:val="22"/>
                              </w:rPr>
                              <w:t>以</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26" type="#_x0000_t202" style="width:26.5pt;height:17.5pt;margin-top:390pt;margin-left:412.65pt;mso-position-horizontal-relative:page;mso-position-vertical-relative:page;mso-wrap-distance-bottom:0;mso-wrap-distance-left:0;mso-wrap-distance-right:0;mso-wrap-distance-top:0;position:absolute;rotation:90;v-text-anchor:top;z-index:251661312" o:allowincell="f" filled="f" fillcolor="this" stroked="f">
                <v:textbox inset="0,0,0,0">
                  <w:txbxContent>
                    <w:p>
                      <w:pPr>
                        <w:pStyle w:val="BodyText"/>
                        <w:spacing w:before="65" w:line="222" w:lineRule="auto"/>
                        <w:jc w:val="right"/>
                        <w:rPr>
                          <w:sz w:val="22"/>
                          <w:szCs w:val="22"/>
                        </w:rPr>
                      </w:pPr>
                      <w:r>
                        <w:rPr>
                          <w:spacing w:val="-46"/>
                          <w:sz w:val="22"/>
                          <w:szCs w:val="22"/>
                        </w:rPr>
                        <w:t>比</w:t>
                      </w:r>
                      <w:r>
                        <w:rPr>
                          <w:spacing w:val="5"/>
                          <w:sz w:val="22"/>
                          <w:szCs w:val="22"/>
                        </w:rPr>
                        <w:t xml:space="preserve"> </w:t>
                      </w:r>
                      <w:r>
                        <w:rPr>
                          <w:spacing w:val="-20"/>
                          <w:sz w:val="22"/>
                          <w:szCs w:val="22"/>
                        </w:rPr>
                        <w:t>以</w:t>
                      </w:r>
                    </w:p>
                  </w:txbxContent>
                </v:textbox>
              </v:shape>
            </w:pict>
          </mc:Fallback>
        </mc:AlternateContent>
      </w:r>
      <w:r>
        <w:rPr>
          <w:position w:val="-31"/>
        </w:rPr>
        <w:drawing>
          <wp:inline distT="0" distB="0" distL="0" distR="0">
            <wp:extent cx="3956103" cy="100335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2"/>
                    <a:stretch>
                      <a:fillRect/>
                    </a:stretch>
                  </pic:blipFill>
                  <pic:spPr>
                    <a:xfrm>
                      <a:off x="0" y="0"/>
                      <a:ext cx="3956103" cy="1003354"/>
                    </a:xfrm>
                    <a:prstGeom prst="rect">
                      <a:avLst/>
                    </a:prstGeom>
                  </pic:spPr>
                </pic:pic>
              </a:graphicData>
            </a:graphic>
          </wp:inline>
        </w:drawing>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58" w:line="219" w:lineRule="auto"/>
        <w:ind w:left="5730"/>
        <w:rPr>
          <w:sz w:val="18"/>
          <w:szCs w:val="18"/>
        </w:rPr>
      </w:pPr>
      <w:r>
        <w:rPr>
          <w:spacing w:val="-3"/>
          <w:sz w:val="18"/>
          <w:szCs w:val="18"/>
        </w:rPr>
        <w:t>教位置</w:t>
      </w: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870" w:lineRule="exact"/>
        <w:ind w:firstLine="6670"/>
      </w:pPr>
      <w:r>
        <w:rPr>
          <w:position w:val="-17"/>
        </w:rPr>
        <w:drawing>
          <wp:inline distT="0" distB="0" distL="0" distR="0">
            <wp:extent cx="323818" cy="55242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3"/>
                    <a:stretch>
                      <a:fillRect/>
                    </a:stretch>
                  </pic:blipFill>
                  <pic:spPr>
                    <a:xfrm>
                      <a:off x="0" y="0"/>
                      <a:ext cx="323818" cy="552425"/>
                    </a:xfrm>
                    <a:prstGeom prst="rect">
                      <a:avLst/>
                    </a:prstGeom>
                  </pic:spPr>
                </pic:pic>
              </a:graphicData>
            </a:graphic>
          </wp:inline>
        </w:drawing>
      </w:r>
    </w:p>
    <w:p>
      <w:pPr>
        <w:spacing w:line="169" w:lineRule="exact"/>
      </w:pPr>
    </w:p>
    <w:p>
      <w:pPr>
        <w:spacing w:line="169" w:lineRule="exact"/>
        <w:sectPr>
          <w:headerReference w:type="default" r:id="rId34"/>
          <w:footerReference w:type="default" r:id="rId35"/>
          <w:pgSz w:w="11750" w:h="16650"/>
          <w:pgMar w:top="1899" w:right="1120" w:bottom="721" w:left="1290" w:header="1574" w:footer="563" w:gutter="0"/>
          <w:pgNumType w:start="9"/>
          <w:cols w:num="1" w:space="708" w:equalWidth="0">
            <w:col w:w="9340" w:space="0"/>
          </w:cols>
        </w:sectPr>
      </w:pPr>
    </w:p>
    <w:p>
      <w:pPr>
        <w:spacing w:line="303" w:lineRule="auto"/>
        <w:rPr>
          <w:rFonts w:ascii="Arial"/>
          <w:sz w:val="21"/>
        </w:rPr>
      </w:pPr>
    </w:p>
    <w:p>
      <w:pPr>
        <w:spacing w:line="303" w:lineRule="auto"/>
        <w:rPr>
          <w:rFonts w:ascii="Arial"/>
          <w:sz w:val="21"/>
        </w:rPr>
      </w:pPr>
    </w:p>
    <w:p>
      <w:pPr>
        <w:pStyle w:val="BodyText"/>
        <w:spacing w:before="95" w:line="195" w:lineRule="auto"/>
        <w:ind w:left="519"/>
        <w:rPr>
          <w:sz w:val="25"/>
          <w:szCs w:val="25"/>
        </w:rPr>
      </w:pPr>
      <w:r>
        <w:pict>
          <v:shape id="_x0000_s1027" type="#_x0000_t202" style="width:89.95pt;height:37.75pt;margin-top:-16.97pt;margin-left:197.5pt;position:absolute;z-index:251664384" filled="f" stroked="f">
            <o:lock v:ext="edit" aspectratio="f"/>
            <v:textbox inset="0,0,0,0">
              <w:txbxContent>
                <w:p>
                  <w:pPr>
                    <w:pStyle w:val="BodyText"/>
                    <w:spacing w:before="20" w:line="244" w:lineRule="auto"/>
                    <w:ind w:left="20" w:right="20" w:firstLine="799"/>
                    <w:rPr>
                      <w:sz w:val="29"/>
                      <w:szCs w:val="29"/>
                    </w:rPr>
                  </w:pPr>
                  <w:r>
                    <w:rPr>
                      <w:spacing w:val="-11"/>
                      <w:sz w:val="25"/>
                      <w:szCs w:val="25"/>
                    </w:rPr>
                    <w:t>读委应置</w:t>
                  </w:r>
                  <w:r>
                    <w:rPr>
                      <w:spacing w:val="1"/>
                      <w:sz w:val="25"/>
                      <w:szCs w:val="25"/>
                    </w:rPr>
                    <w:t xml:space="preserve"> </w:t>
                  </w:r>
                  <w:r>
                    <w:rPr>
                      <w:spacing w:val="-25"/>
                      <w:sz w:val="29"/>
                      <w:szCs w:val="29"/>
                    </w:rPr>
                    <w:t>照说明书);</w:t>
                  </w:r>
                </w:p>
              </w:txbxContent>
            </v:textbox>
          </v:shape>
        </w:pict>
      </w:r>
      <w:r>
        <w:rPr>
          <w:rFonts w:ascii="Times New Roman" w:eastAsia="Times New Roman" w:hAnsi="Times New Roman" w:cs="Times New Roman"/>
          <w:spacing w:val="-3"/>
          <w:position w:val="-4"/>
          <w:sz w:val="29"/>
          <w:szCs w:val="29"/>
        </w:rPr>
        <w:t xml:space="preserve">a. </w:t>
      </w:r>
      <w:r>
        <w:rPr>
          <w:spacing w:val="-3"/>
          <w:position w:val="-4"/>
          <w:sz w:val="29"/>
          <w:szCs w:val="29"/>
        </w:rPr>
        <w:t xml:space="preserve">交流电   </w:t>
      </w:r>
      <w:r>
        <w:rPr>
          <w:spacing w:val="-3"/>
          <w:position w:val="3"/>
          <w:sz w:val="25"/>
          <w:szCs w:val="25"/>
        </w:rPr>
        <w:t>220V,50Hz</w:t>
      </w:r>
    </w:p>
    <w:p>
      <w:pPr>
        <w:pStyle w:val="BodyText"/>
        <w:spacing w:line="216" w:lineRule="auto"/>
        <w:ind w:left="519"/>
        <w:rPr>
          <w:sz w:val="25"/>
          <w:szCs w:val="25"/>
        </w:rPr>
      </w:pPr>
      <w:r>
        <w:pict>
          <v:shape id="_x0000_s1028" type="#_x0000_t202" style="width:63.95pt;height:16.85pt;margin-top:-0.53pt;margin-left:271.5pt;position:absolute;z-index:251666432" filled="f" stroked="f">
            <o:lock v:ext="edit" aspectratio="f"/>
            <v:textbox inset="0,0,0,0">
              <w:txbxContent>
                <w:p>
                  <w:pPr>
                    <w:pStyle w:val="BodyText"/>
                    <w:spacing w:before="19" w:line="219" w:lineRule="auto"/>
                    <w:ind w:left="20"/>
                    <w:rPr>
                      <w:sz w:val="25"/>
                      <w:szCs w:val="25"/>
                    </w:rPr>
                  </w:pPr>
                  <w:r>
                    <w:rPr>
                      <w:sz w:val="25"/>
                      <w:szCs w:val="25"/>
                    </w:rPr>
                    <w:t>家说明书).</w:t>
                  </w:r>
                </w:p>
              </w:txbxContent>
            </v:textbox>
          </v:shape>
        </w:pict>
      </w:r>
      <w:r>
        <w:rPr>
          <w:rFonts w:ascii="Times New Roman" w:eastAsia="Times New Roman" w:hAnsi="Times New Roman" w:cs="Times New Roman"/>
          <w:spacing w:val="-5"/>
          <w:position w:val="-2"/>
          <w:sz w:val="29"/>
          <w:szCs w:val="29"/>
        </w:rPr>
        <w:t xml:space="preserve">b. </w:t>
      </w:r>
      <w:r>
        <w:rPr>
          <w:spacing w:val="-5"/>
          <w:position w:val="-2"/>
          <w:sz w:val="29"/>
          <w:szCs w:val="29"/>
        </w:rPr>
        <w:t>直接</w:t>
      </w:r>
      <w:r>
        <w:rPr>
          <w:rFonts w:ascii="YouYuan" w:eastAsia="YouYuan" w:hAnsi="YouYuan" w:cs="YouYuan"/>
          <w:spacing w:val="-5"/>
          <w:position w:val="-2"/>
          <w:sz w:val="29"/>
          <w:szCs w:val="29"/>
        </w:rPr>
        <w:t>源：</w:t>
      </w:r>
      <w:r>
        <w:rPr>
          <w:rFonts w:ascii="YouYuan" w:eastAsia="YouYuan" w:hAnsi="YouYuan" w:cs="YouYuan"/>
          <w:spacing w:val="-6"/>
          <w:position w:val="-2"/>
          <w:sz w:val="29"/>
          <w:szCs w:val="29"/>
        </w:rPr>
        <w:t xml:space="preserve"> </w:t>
      </w:r>
      <w:r>
        <w:rPr>
          <w:spacing w:val="-5"/>
          <w:position w:val="2"/>
          <w:sz w:val="25"/>
          <w:szCs w:val="25"/>
        </w:rPr>
        <w:t>12V,24V,</w:t>
      </w:r>
    </w:p>
    <w:p>
      <w:pPr>
        <w:pStyle w:val="BodyText"/>
        <w:spacing w:line="193" w:lineRule="auto"/>
        <w:rPr>
          <w:sz w:val="25"/>
          <w:szCs w:val="25"/>
        </w:rPr>
      </w:pPr>
      <w:hyperlink r:id="rId36" w:history="1">
        <w:r>
          <w:rPr>
            <w:spacing w:val="-2"/>
            <w:sz w:val="25"/>
            <w:szCs w:val="25"/>
          </w:rPr>
          <w:t>6.3.3.2</w:t>
        </w:r>
      </w:hyperlink>
      <w:r>
        <w:rPr>
          <w:spacing w:val="13"/>
          <w:sz w:val="25"/>
          <w:szCs w:val="25"/>
        </w:rPr>
        <w:t xml:space="preserve">  </w:t>
      </w:r>
      <w:r>
        <w:rPr>
          <w:spacing w:val="-2"/>
          <w:sz w:val="25"/>
          <w:szCs w:val="25"/>
        </w:rPr>
        <w:t>辅出信号</w:t>
      </w:r>
    </w:p>
    <w:p>
      <w:pPr>
        <w:pStyle w:val="BodyText"/>
        <w:spacing w:before="1" w:line="212" w:lineRule="auto"/>
        <w:ind w:left="519"/>
        <w:rPr>
          <w:rFonts w:ascii="Times New Roman" w:eastAsia="Times New Roman" w:hAnsi="Times New Roman" w:cs="Times New Roman"/>
          <w:sz w:val="34"/>
          <w:szCs w:val="34"/>
        </w:rPr>
      </w:pPr>
      <w:r>
        <w:rPr>
          <w:spacing w:val="-30"/>
          <w:w w:val="95"/>
          <w:sz w:val="34"/>
          <w:szCs w:val="34"/>
        </w:rPr>
        <w:t>a.(4～202A或(1～5)</w:t>
      </w:r>
      <w:r>
        <w:rPr>
          <w:rFonts w:ascii="Times New Roman" w:eastAsia="Times New Roman" w:hAnsi="Times New Roman" w:cs="Times New Roman"/>
          <w:spacing w:val="-30"/>
          <w:w w:val="95"/>
          <w:sz w:val="34"/>
          <w:szCs w:val="34"/>
        </w:rPr>
        <w:t>VDC;</w:t>
      </w:r>
    </w:p>
    <w:p>
      <w:pPr>
        <w:pStyle w:val="BodyText"/>
        <w:spacing w:before="17" w:line="539" w:lineRule="exact"/>
        <w:ind w:left="1979"/>
        <w:rPr>
          <w:rFonts w:ascii="Times New Roman" w:eastAsia="Times New Roman" w:hAnsi="Times New Roman" w:cs="Times New Roman"/>
          <w:sz w:val="29"/>
          <w:szCs w:val="29"/>
        </w:rPr>
      </w:pPr>
      <w:r>
        <w:pict>
          <v:shape id="_x0000_s1029" type="#_x0000_t202" style="width:53.15pt;height:36.7pt;margin-top:-0.16pt;margin-left:25pt;position:absolute;z-index:251665408" filled="f" stroked="f">
            <o:lock v:ext="edit" aspectratio="f"/>
            <v:textbox inset="0,0,0,0">
              <w:txbxContent>
                <w:p>
                  <w:pPr>
                    <w:pStyle w:val="BodyText"/>
                    <w:spacing w:before="19" w:line="221" w:lineRule="auto"/>
                    <w:ind w:left="20" w:right="20"/>
                    <w:rPr>
                      <w:sz w:val="29"/>
                      <w:szCs w:val="29"/>
                    </w:rPr>
                  </w:pPr>
                  <w:r>
                    <w:rPr>
                      <w:rFonts w:ascii="Times New Roman" w:eastAsia="Times New Roman" w:hAnsi="Times New Roman" w:cs="Times New Roman"/>
                      <w:sz w:val="29"/>
                      <w:szCs w:val="29"/>
                    </w:rPr>
                    <w:t>b.(0</w:t>
                  </w:r>
                  <w:r>
                    <w:rPr>
                      <w:sz w:val="29"/>
                      <w:szCs w:val="29"/>
                    </w:rPr>
                    <w:t>～</w:t>
                  </w:r>
                  <w:r>
                    <w:rPr>
                      <w:rFonts w:ascii="Times New Roman" w:eastAsia="Times New Roman" w:hAnsi="Times New Roman" w:cs="Times New Roman"/>
                      <w:sz w:val="29"/>
                      <w:szCs w:val="29"/>
                    </w:rPr>
                    <w:t xml:space="preserve">1   </w:t>
                  </w:r>
                  <w:r>
                    <w:rPr>
                      <w:rFonts w:ascii="Times New Roman" w:eastAsia="Times New Roman" w:hAnsi="Times New Roman" w:cs="Times New Roman"/>
                      <w:spacing w:val="-18"/>
                      <w:sz w:val="29"/>
                      <w:szCs w:val="29"/>
                    </w:rPr>
                    <w:t>c.</w:t>
                  </w:r>
                  <w:r>
                    <w:rPr>
                      <w:rFonts w:ascii="Times New Roman" w:eastAsia="Times New Roman" w:hAnsi="Times New Roman" w:cs="Times New Roman"/>
                      <w:spacing w:val="8"/>
                      <w:sz w:val="29"/>
                      <w:szCs w:val="29"/>
                    </w:rPr>
                    <w:t xml:space="preserve"> </w:t>
                  </w:r>
                  <w:r>
                    <w:rPr>
                      <w:spacing w:val="-18"/>
                      <w:sz w:val="29"/>
                      <w:szCs w:val="29"/>
                    </w:rPr>
                    <w:t>电</w:t>
                  </w:r>
                  <w:r>
                    <w:rPr>
                      <w:spacing w:val="86"/>
                      <w:sz w:val="29"/>
                      <w:szCs w:val="29"/>
                    </w:rPr>
                    <w:t xml:space="preserve"> </w:t>
                  </w:r>
                  <w:r>
                    <w:rPr>
                      <w:spacing w:val="-18"/>
                      <w:sz w:val="29"/>
                      <w:szCs w:val="29"/>
                    </w:rPr>
                    <w:t>脉</w:t>
                  </w:r>
                </w:p>
              </w:txbxContent>
            </v:textbox>
          </v:shape>
        </w:pict>
      </w:r>
      <w:r>
        <w:rPr>
          <w:spacing w:val="-26"/>
          <w:position w:val="18"/>
          <w:sz w:val="29"/>
          <w:szCs w:val="29"/>
        </w:rPr>
        <w:t>或(0～10)</w:t>
      </w:r>
      <w:r>
        <w:rPr>
          <w:rFonts w:ascii="Times New Roman" w:eastAsia="Times New Roman" w:hAnsi="Times New Roman" w:cs="Times New Roman"/>
          <w:spacing w:val="-26"/>
          <w:position w:val="18"/>
          <w:sz w:val="29"/>
          <w:szCs w:val="29"/>
        </w:rPr>
        <w:t>VDC</w:t>
      </w:r>
    </w:p>
    <w:p>
      <w:pPr>
        <w:pStyle w:val="BodyText"/>
        <w:spacing w:line="220" w:lineRule="exact"/>
        <w:ind w:left="1919"/>
        <w:rPr>
          <w:sz w:val="29"/>
          <w:szCs w:val="29"/>
        </w:rPr>
      </w:pPr>
      <w:r>
        <w:rPr>
          <w:position w:val="1"/>
          <w:sz w:val="29"/>
          <w:szCs w:val="29"/>
        </w:rPr>
        <w:t>;</w:t>
      </w:r>
    </w:p>
    <w:p>
      <w:pPr>
        <w:pStyle w:val="BodyText"/>
        <w:spacing w:before="2" w:line="350" w:lineRule="exact"/>
        <w:ind w:left="519"/>
        <w:rPr>
          <w:sz w:val="25"/>
          <w:szCs w:val="25"/>
        </w:rPr>
      </w:pPr>
      <w:r>
        <w:rPr>
          <w:rFonts w:ascii="Times New Roman" w:eastAsia="Times New Roman" w:hAnsi="Times New Roman" w:cs="Times New Roman"/>
          <w:spacing w:val="-9"/>
          <w:position w:val="-2"/>
          <w:sz w:val="25"/>
          <w:szCs w:val="25"/>
        </w:rPr>
        <w:t>d.</w:t>
      </w:r>
      <w:r>
        <w:rPr>
          <w:rFonts w:ascii="Times New Roman" w:eastAsia="Times New Roman" w:hAnsi="Times New Roman" w:cs="Times New Roman"/>
          <w:spacing w:val="53"/>
          <w:position w:val="-2"/>
          <w:sz w:val="25"/>
          <w:szCs w:val="25"/>
        </w:rPr>
        <w:t xml:space="preserve"> </w:t>
      </w:r>
      <w:r>
        <w:rPr>
          <w:spacing w:val="-9"/>
          <w:position w:val="2"/>
          <w:sz w:val="25"/>
          <w:szCs w:val="25"/>
        </w:rPr>
        <w:t>其他通称信号。</w:t>
      </w:r>
    </w:p>
    <w:p>
      <w:pPr>
        <w:pStyle w:val="BodyText"/>
        <w:spacing w:before="10" w:line="219" w:lineRule="auto"/>
        <w:rPr>
          <w:sz w:val="25"/>
          <w:szCs w:val="25"/>
        </w:rPr>
      </w:pPr>
      <w:r>
        <w:rPr>
          <w:spacing w:val="-7"/>
          <w:sz w:val="25"/>
          <w:szCs w:val="25"/>
        </w:rPr>
        <w:t>6.4</w:t>
      </w:r>
      <w:r>
        <w:rPr>
          <w:spacing w:val="24"/>
          <w:sz w:val="25"/>
          <w:szCs w:val="25"/>
        </w:rPr>
        <w:t xml:space="preserve">  </w:t>
      </w:r>
      <w:r>
        <w:rPr>
          <w:spacing w:val="-7"/>
          <w:sz w:val="25"/>
          <w:szCs w:val="25"/>
        </w:rPr>
        <w:t>流量测量上展值数系</w:t>
      </w:r>
    </w:p>
    <w:p>
      <w:pPr>
        <w:pStyle w:val="BodyText"/>
        <w:spacing w:before="143" w:line="219" w:lineRule="auto"/>
        <w:ind w:left="519"/>
        <w:rPr>
          <w:sz w:val="25"/>
          <w:szCs w:val="25"/>
        </w:rPr>
      </w:pPr>
      <w:r>
        <w:drawing>
          <wp:anchor distT="0" distB="0" distL="0" distR="0" simplePos="0" relativeHeight="251663360" behindDoc="1" locked="0" layoutInCell="1" allowOverlap="1">
            <wp:simplePos x="0" y="0"/>
            <wp:positionH relativeFrom="column">
              <wp:posOffset>2082807</wp:posOffset>
            </wp:positionH>
            <wp:positionV relativeFrom="paragraph">
              <wp:posOffset>-626510</wp:posOffset>
            </wp:positionV>
            <wp:extent cx="1511276" cy="1123988"/>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7"/>
                    <a:stretch>
                      <a:fillRect/>
                    </a:stretch>
                  </pic:blipFill>
                  <pic:spPr>
                    <a:xfrm>
                      <a:off x="0" y="0"/>
                      <a:ext cx="1511276" cy="1123988"/>
                    </a:xfrm>
                    <a:prstGeom prst="rect">
                      <a:avLst/>
                    </a:prstGeom>
                  </pic:spPr>
                </pic:pic>
              </a:graphicData>
            </a:graphic>
          </wp:anchor>
        </w:drawing>
      </w:r>
      <w:r>
        <w:rPr>
          <w:spacing w:val="-9"/>
          <w:sz w:val="25"/>
          <w:szCs w:val="25"/>
        </w:rPr>
        <w:t>流量计的流量海培范围上限值</w:t>
      </w:r>
    </w:p>
    <w:p>
      <w:pPr>
        <w:pStyle w:val="BodyText"/>
        <w:spacing w:before="276" w:line="184" w:lineRule="auto"/>
        <w:rPr>
          <w:sz w:val="29"/>
          <w:szCs w:val="29"/>
        </w:rPr>
      </w:pPr>
      <w:r>
        <w:rPr>
          <w:spacing w:val="-29"/>
          <w:w w:val="97"/>
          <w:sz w:val="29"/>
          <w:szCs w:val="29"/>
        </w:rPr>
        <w:t>式中：A——流量计的况量测量范围上限值数系</w:t>
      </w:r>
    </w:p>
    <w:p>
      <w:pPr>
        <w:spacing w:line="14" w:lineRule="auto"/>
        <w:rPr>
          <w:rFonts w:ascii="Arial"/>
          <w:sz w:val="2"/>
        </w:rPr>
      </w:pPr>
      <w:r>
        <w:rPr>
          <w:rFonts w:ascii="Arial" w:eastAsia="Arial" w:hAnsi="Arial" w:cs="Arial"/>
          <w:sz w:val="2"/>
          <w:szCs w:val="2"/>
        </w:rPr>
        <w:br w:type="column"/>
      </w:r>
    </w:p>
    <w:p>
      <w:pPr>
        <w:spacing w:line="79" w:lineRule="exact"/>
      </w:pPr>
      <w:r>
        <w:rPr>
          <w:position w:val="-1"/>
        </w:rPr>
        <w:drawing>
          <wp:inline distT="0" distB="0" distL="0" distR="0">
            <wp:extent cx="69837" cy="4997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8"/>
                    <a:stretch>
                      <a:fillRect/>
                    </a:stretch>
                  </pic:blipFill>
                  <pic:spPr>
                    <a:xfrm>
                      <a:off x="0" y="0"/>
                      <a:ext cx="69837" cy="49978"/>
                    </a:xfrm>
                    <a:prstGeom prst="rect">
                      <a:avLst/>
                    </a:prstGeom>
                  </pic:spPr>
                </pic:pic>
              </a:graphicData>
            </a:graphic>
          </wp:inline>
        </w:drawing>
      </w:r>
    </w:p>
    <w:p>
      <w:pPr>
        <w:spacing w:line="79" w:lineRule="exact"/>
        <w:sectPr>
          <w:headerReference w:type="default" r:id="rId39"/>
          <w:footerReference w:type="default" r:id="rId40"/>
          <w:type w:val="continuous"/>
          <w:pgSz w:w="11750" w:h="16650"/>
          <w:pgMar w:top="1899" w:right="1120" w:bottom="721" w:left="1290" w:header="1574" w:footer="563" w:gutter="0"/>
          <w:pgNumType w:start="10"/>
          <w:cols w:num="2" w:space="708" w:equalWidth="0">
            <w:col w:w="7000" w:space="100"/>
            <w:col w:w="2241" w:space="0"/>
          </w:cols>
        </w:sectPr>
      </w:pPr>
    </w:p>
    <w:p>
      <w:pPr>
        <w:pStyle w:val="BodyText"/>
        <w:spacing w:before="173" w:line="235" w:lineRule="auto"/>
        <w:ind w:left="849"/>
        <w:rPr>
          <w:rFonts w:ascii="STXingkai" w:eastAsia="STXingkai" w:hAnsi="STXingkai" w:cs="STXingkai"/>
          <w:sz w:val="25"/>
          <w:szCs w:val="25"/>
        </w:rPr>
        <w:sectPr>
          <w:headerReference w:type="default" r:id="rId41"/>
          <w:footerReference w:type="default" r:id="rId42"/>
          <w:type w:val="continuous"/>
          <w:pgSz w:w="11750" w:h="16650"/>
          <w:pgMar w:top="1899" w:right="1120" w:bottom="721" w:left="1290" w:header="1574" w:footer="563" w:gutter="0"/>
          <w:pgNumType w:start="11"/>
          <w:cols w:num="1" w:space="708" w:equalWidth="0">
            <w:col w:w="9340" w:space="0"/>
          </w:cols>
        </w:sectPr>
      </w:pPr>
      <w:r>
        <w:rPr>
          <w:rFonts w:ascii="Times New Roman" w:eastAsia="Times New Roman" w:hAnsi="Times New Roman" w:cs="Times New Roman"/>
          <w:spacing w:val="-7"/>
          <w:sz w:val="25"/>
          <w:szCs w:val="25"/>
        </w:rPr>
        <w:t>n——</w:t>
      </w:r>
      <w:r>
        <w:rPr>
          <w:spacing w:val="-7"/>
          <w:sz w:val="25"/>
          <w:szCs w:val="25"/>
        </w:rPr>
        <w:t>任意正、</w:t>
      </w:r>
      <w:r>
        <w:rPr>
          <w:rFonts w:ascii="STXingkai" w:eastAsia="STXingkai" w:hAnsi="STXingkai" w:cs="STXingkai"/>
          <w:spacing w:val="-7"/>
          <w:sz w:val="25"/>
          <w:szCs w:val="25"/>
        </w:rPr>
        <w:t>负整数或零；</w:t>
      </w:r>
    </w:p>
    <w:p>
      <w:pPr>
        <w:pStyle w:val="BodyText"/>
        <w:spacing w:before="12" w:line="202" w:lineRule="auto"/>
        <w:ind w:left="489" w:right="1225" w:firstLine="319"/>
        <w:rPr>
          <w:sz w:val="25"/>
          <w:szCs w:val="25"/>
        </w:rPr>
      </w:pPr>
      <w:r>
        <w:rPr>
          <w:rFonts w:ascii="Times New Roman" w:eastAsia="Times New Roman" w:hAnsi="Times New Roman" w:cs="Times New Roman"/>
          <w:spacing w:val="-10"/>
          <w:position w:val="1"/>
          <w:sz w:val="25"/>
          <w:szCs w:val="25"/>
        </w:rPr>
        <w:t>a———</w:t>
      </w:r>
      <w:r>
        <w:rPr>
          <w:rFonts w:ascii="Times New Roman" w:eastAsia="Times New Roman" w:hAnsi="Times New Roman" w:cs="Times New Roman"/>
          <w:spacing w:val="23"/>
          <w:position w:val="1"/>
          <w:sz w:val="25"/>
          <w:szCs w:val="25"/>
        </w:rPr>
        <w:t xml:space="preserve"> </w:t>
      </w:r>
      <w:r>
        <w:rPr>
          <w:spacing w:val="-10"/>
          <w:position w:val="1"/>
          <w:sz w:val="25"/>
          <w:szCs w:val="25"/>
        </w:rPr>
        <w:t>般</w:t>
      </w:r>
      <w:r>
        <w:rPr>
          <w:spacing w:val="-48"/>
          <w:position w:val="1"/>
          <w:sz w:val="25"/>
          <w:szCs w:val="25"/>
        </w:rPr>
        <w:t xml:space="preserve"> </w:t>
      </w:r>
      <w:r>
        <w:rPr>
          <w:spacing w:val="-10"/>
          <w:position w:val="1"/>
          <w:sz w:val="25"/>
          <w:szCs w:val="25"/>
        </w:rPr>
        <w:t>为</w:t>
      </w:r>
      <w:r>
        <w:rPr>
          <w:spacing w:val="-33"/>
          <w:position w:val="1"/>
          <w:sz w:val="25"/>
          <w:szCs w:val="25"/>
        </w:rPr>
        <w:t xml:space="preserve"> </w:t>
      </w:r>
      <w:r>
        <w:rPr>
          <w:spacing w:val="-10"/>
          <w:position w:val="1"/>
          <w:sz w:val="25"/>
          <w:szCs w:val="25"/>
        </w:rPr>
        <w:t>1</w:t>
      </w:r>
      <w:r>
        <w:rPr>
          <w:spacing w:val="-48"/>
          <w:position w:val="1"/>
          <w:sz w:val="25"/>
          <w:szCs w:val="25"/>
        </w:rPr>
        <w:t xml:space="preserve"> </w:t>
      </w:r>
      <w:r>
        <w:rPr>
          <w:spacing w:val="-10"/>
          <w:position w:val="1"/>
          <w:sz w:val="25"/>
          <w:szCs w:val="25"/>
        </w:rPr>
        <w:t>,</w:t>
      </w:r>
      <w:r>
        <w:rPr>
          <w:spacing w:val="-33"/>
          <w:position w:val="1"/>
          <w:sz w:val="25"/>
          <w:szCs w:val="25"/>
        </w:rPr>
        <w:t xml:space="preserve"> </w:t>
      </w:r>
      <w:r>
        <w:rPr>
          <w:spacing w:val="-10"/>
          <w:position w:val="1"/>
          <w:sz w:val="25"/>
          <w:szCs w:val="25"/>
        </w:rPr>
        <w:t>1</w:t>
      </w:r>
      <w:r>
        <w:rPr>
          <w:spacing w:val="-45"/>
          <w:position w:val="1"/>
          <w:sz w:val="25"/>
          <w:szCs w:val="25"/>
        </w:rPr>
        <w:t xml:space="preserve"> </w:t>
      </w:r>
      <w:r>
        <w:rPr>
          <w:spacing w:val="-10"/>
          <w:position w:val="1"/>
          <w:sz w:val="25"/>
          <w:szCs w:val="25"/>
        </w:rPr>
        <w:t>.</w:t>
      </w:r>
      <w:r>
        <w:rPr>
          <w:spacing w:val="-48"/>
          <w:position w:val="1"/>
          <w:sz w:val="25"/>
          <w:szCs w:val="25"/>
        </w:rPr>
        <w:t xml:space="preserve"> </w:t>
      </w:r>
      <w:r>
        <w:rPr>
          <w:spacing w:val="-10"/>
          <w:position w:val="1"/>
          <w:sz w:val="25"/>
          <w:szCs w:val="25"/>
        </w:rPr>
        <w:t>2</w:t>
      </w:r>
      <w:r>
        <w:rPr>
          <w:spacing w:val="-48"/>
          <w:position w:val="1"/>
          <w:sz w:val="25"/>
          <w:szCs w:val="25"/>
        </w:rPr>
        <w:t xml:space="preserve"> </w:t>
      </w:r>
      <w:r>
        <w:rPr>
          <w:spacing w:val="-10"/>
          <w:position w:val="1"/>
          <w:sz w:val="25"/>
          <w:szCs w:val="25"/>
        </w:rPr>
        <w:t>,</w:t>
      </w:r>
      <w:r>
        <w:rPr>
          <w:rFonts w:ascii="Times New Roman" w:eastAsia="Times New Roman" w:hAnsi="Times New Roman" w:cs="Times New Roman"/>
          <w:spacing w:val="-10"/>
          <w:position w:val="1"/>
          <w:sz w:val="25"/>
          <w:szCs w:val="25"/>
        </w:rPr>
        <w:t xml:space="preserve">A,,           </w:t>
      </w:r>
      <w:r>
        <w:rPr>
          <w:rFonts w:ascii="Times New Roman" w:eastAsia="Times New Roman" w:hAnsi="Times New Roman" w:cs="Times New Roman"/>
          <w:spacing w:val="-10"/>
          <w:position w:val="-7"/>
          <w:sz w:val="34"/>
          <w:szCs w:val="34"/>
        </w:rPr>
        <w:t xml:space="preserve">FPB           </w:t>
      </w:r>
      <w:r>
        <w:rPr>
          <w:rFonts w:ascii="LiSu" w:eastAsia="LiSu" w:hAnsi="LiSu" w:cs="LiSu"/>
          <w:spacing w:val="-10"/>
          <w:position w:val="1"/>
          <w:sz w:val="25"/>
          <w:szCs w:val="25"/>
        </w:rPr>
        <w:t>6</w:t>
      </w:r>
      <w:r>
        <w:rPr>
          <w:rFonts w:ascii="LiSu" w:eastAsia="LiSu" w:hAnsi="LiSu" w:cs="LiSu"/>
          <w:spacing w:val="-10"/>
          <w:position w:val="1"/>
          <w:sz w:val="25"/>
          <w:szCs w:val="25"/>
        </w:rPr>
        <w:t xml:space="preserve"> </w:t>
      </w:r>
      <w:r>
        <w:rPr>
          <w:rFonts w:ascii="LiSu" w:eastAsia="LiSu" w:hAnsi="LiSu" w:cs="LiSu"/>
          <w:spacing w:val="-10"/>
          <w:position w:val="1"/>
          <w:sz w:val="25"/>
          <w:szCs w:val="25"/>
        </w:rPr>
        <w:t>,</w:t>
      </w:r>
      <w:r>
        <w:rPr>
          <w:rFonts w:ascii="LiSu" w:eastAsia="LiSu" w:hAnsi="LiSu" w:cs="LiSu"/>
          <w:spacing w:val="-10"/>
          <w:position w:val="1"/>
          <w:sz w:val="25"/>
          <w:szCs w:val="25"/>
        </w:rPr>
        <w:t xml:space="preserve"> </w:t>
      </w:r>
      <w:r>
        <w:rPr>
          <w:rFonts w:ascii="LiSu" w:eastAsia="LiSu" w:hAnsi="LiSu" w:cs="LiSu"/>
          <w:spacing w:val="-10"/>
          <w:position w:val="1"/>
          <w:sz w:val="25"/>
          <w:szCs w:val="25"/>
        </w:rPr>
        <w:t>8</w:t>
      </w:r>
      <w:r>
        <w:rPr>
          <w:rFonts w:ascii="LiSu" w:eastAsia="LiSu" w:hAnsi="LiSu" w:cs="LiSu"/>
          <w:spacing w:val="21"/>
          <w:position w:val="1"/>
          <w:sz w:val="25"/>
          <w:szCs w:val="25"/>
        </w:rPr>
        <w:t xml:space="preserve"> </w:t>
      </w:r>
      <w:r>
        <w:rPr>
          <w:rFonts w:ascii="LiSu" w:eastAsia="LiSu" w:hAnsi="LiSu" w:cs="LiSu"/>
          <w:spacing w:val="-10"/>
          <w:position w:val="1"/>
          <w:sz w:val="25"/>
          <w:szCs w:val="25"/>
        </w:rPr>
        <w:t>中</w:t>
      </w:r>
      <w:r>
        <w:rPr>
          <w:spacing w:val="-10"/>
          <w:position w:val="1"/>
          <w:sz w:val="25"/>
          <w:szCs w:val="25"/>
        </w:rPr>
        <w:t>的任一数值，</w:t>
      </w:r>
      <w:r>
        <w:rPr>
          <w:position w:val="1"/>
          <w:sz w:val="25"/>
          <w:szCs w:val="25"/>
        </w:rPr>
        <w:t xml:space="preserve"> </w:t>
      </w:r>
      <w:r>
        <w:rPr>
          <w:rFonts w:ascii="FangSong" w:eastAsia="FangSong" w:hAnsi="FangSong" w:cs="FangSong"/>
          <w:spacing w:val="-26"/>
          <w:sz w:val="25"/>
          <w:szCs w:val="25"/>
        </w:rPr>
        <w:t>注：流量测量上限值均指在标准(刻度</w:t>
      </w:r>
      <w:r>
        <w:rPr>
          <w:rFonts w:ascii="FangSong" w:eastAsia="FangSong" w:hAnsi="FangSong" w:cs="FangSong"/>
          <w:spacing w:val="21"/>
          <w:sz w:val="25"/>
          <w:szCs w:val="25"/>
        </w:rPr>
        <w:t xml:space="preserve">     </w:t>
      </w:r>
      <w:r>
        <w:rPr>
          <w:spacing w:val="-26"/>
          <w:sz w:val="25"/>
          <w:szCs w:val="25"/>
        </w:rPr>
        <w:t>流重值。</w:t>
      </w:r>
    </w:p>
    <w:p>
      <w:pPr>
        <w:pStyle w:val="BodyText"/>
        <w:spacing w:before="50" w:line="220" w:lineRule="auto"/>
        <w:rPr>
          <w:sz w:val="25"/>
          <w:szCs w:val="25"/>
        </w:rPr>
      </w:pPr>
      <w:r>
        <w:rPr>
          <w:spacing w:val="-4"/>
          <w:sz w:val="25"/>
          <w:szCs w:val="25"/>
        </w:rPr>
        <w:t>6.5  流量计的流量范围度</w:t>
      </w:r>
    </w:p>
    <w:p>
      <w:pPr>
        <w:pStyle w:val="BodyText"/>
        <w:spacing w:before="62" w:line="220" w:lineRule="auto"/>
        <w:ind w:left="519"/>
        <w:rPr>
          <w:sz w:val="25"/>
          <w:szCs w:val="25"/>
        </w:rPr>
      </w:pPr>
      <w:r>
        <w:rPr>
          <w:spacing w:val="1"/>
          <w:sz w:val="25"/>
          <w:szCs w:val="25"/>
        </w:rPr>
        <w:t>流量计的流量范围度一般为10:1或5:1。</w:t>
      </w:r>
    </w:p>
    <w:p>
      <w:pPr>
        <w:pStyle w:val="BodyText"/>
        <w:spacing w:before="59" w:line="218" w:lineRule="auto"/>
        <w:rPr>
          <w:sz w:val="25"/>
          <w:szCs w:val="25"/>
        </w:rPr>
      </w:pPr>
      <w:r>
        <w:rPr>
          <w:spacing w:val="-3"/>
          <w:sz w:val="25"/>
          <w:szCs w:val="25"/>
        </w:rPr>
        <w:t>6.6  防爆性能要求</w:t>
      </w:r>
    </w:p>
    <w:p>
      <w:pPr>
        <w:pStyle w:val="BodyText"/>
        <w:spacing w:before="85" w:line="218" w:lineRule="auto"/>
        <w:ind w:left="519"/>
        <w:rPr>
          <w:sz w:val="25"/>
          <w:szCs w:val="25"/>
        </w:rPr>
      </w:pPr>
      <w:r>
        <w:rPr>
          <w:spacing w:val="-7"/>
          <w:sz w:val="25"/>
          <w:szCs w:val="25"/>
        </w:rPr>
        <w:t>防爆型流量计的要求应符合国家防爆标准的有关规定。</w:t>
      </w:r>
    </w:p>
    <w:p>
      <w:pPr>
        <w:spacing w:before="194" w:line="223" w:lineRule="auto"/>
        <w:ind w:left="3"/>
        <w:rPr>
          <w:rFonts w:ascii="SimHei" w:eastAsia="SimHei" w:hAnsi="SimHei" w:cs="SimHei"/>
          <w:sz w:val="25"/>
          <w:szCs w:val="25"/>
        </w:rPr>
      </w:pPr>
      <w:r>
        <w:rPr>
          <w:rFonts w:ascii="SimHei" w:eastAsia="SimHei" w:hAnsi="SimHei" w:cs="SimHei"/>
          <w:b/>
          <w:bCs/>
          <w:spacing w:val="-11"/>
          <w:sz w:val="25"/>
          <w:szCs w:val="25"/>
        </w:rPr>
        <w:t>7</w:t>
      </w:r>
      <w:r>
        <w:rPr>
          <w:rFonts w:ascii="SimHei" w:eastAsia="SimHei" w:hAnsi="SimHei" w:cs="SimHei"/>
          <w:spacing w:val="7"/>
          <w:sz w:val="25"/>
          <w:szCs w:val="25"/>
        </w:rPr>
        <w:t xml:space="preserve">  </w:t>
      </w:r>
      <w:r>
        <w:rPr>
          <w:rFonts w:ascii="SimHei" w:eastAsia="SimHei" w:hAnsi="SimHei" w:cs="SimHei"/>
          <w:b/>
          <w:bCs/>
          <w:spacing w:val="-11"/>
          <w:sz w:val="25"/>
          <w:szCs w:val="25"/>
        </w:rPr>
        <w:t>计量器具控制</w:t>
      </w:r>
    </w:p>
    <w:p>
      <w:pPr>
        <w:pStyle w:val="BodyText"/>
        <w:spacing w:before="230" w:line="214" w:lineRule="auto"/>
        <w:ind w:right="40" w:firstLine="519"/>
        <w:rPr>
          <w:sz w:val="25"/>
          <w:szCs w:val="25"/>
        </w:rPr>
      </w:pPr>
      <w:r>
        <w:rPr>
          <w:spacing w:val="-6"/>
          <w:sz w:val="25"/>
          <w:szCs w:val="25"/>
        </w:rPr>
        <w:t>计量器具控制包括型式评价、首次检定、后续检定和使用中检验。型</w:t>
      </w:r>
      <w:r>
        <w:rPr>
          <w:spacing w:val="-7"/>
          <w:sz w:val="25"/>
          <w:szCs w:val="25"/>
        </w:rPr>
        <w:t>式评价应按照</w:t>
      </w:r>
      <w:r>
        <w:rPr>
          <w:sz w:val="25"/>
          <w:szCs w:val="25"/>
        </w:rPr>
        <w:t xml:space="preserve"> </w:t>
      </w:r>
      <w:r>
        <w:rPr>
          <w:spacing w:val="-6"/>
          <w:sz w:val="25"/>
          <w:szCs w:val="25"/>
        </w:rPr>
        <w:t>附录</w:t>
      </w:r>
      <w:r>
        <w:rPr>
          <w:rFonts w:ascii="Times New Roman" w:eastAsia="Times New Roman" w:hAnsi="Times New Roman" w:cs="Times New Roman"/>
          <w:spacing w:val="-6"/>
          <w:sz w:val="25"/>
          <w:szCs w:val="25"/>
        </w:rPr>
        <w:t>A</w:t>
      </w:r>
      <w:r>
        <w:rPr>
          <w:rFonts w:ascii="Times New Roman" w:eastAsia="Times New Roman" w:hAnsi="Times New Roman" w:cs="Times New Roman"/>
          <w:spacing w:val="23"/>
          <w:sz w:val="25"/>
          <w:szCs w:val="25"/>
        </w:rPr>
        <w:t xml:space="preserve"> </w:t>
      </w:r>
      <w:r>
        <w:rPr>
          <w:spacing w:val="-6"/>
          <w:sz w:val="25"/>
          <w:szCs w:val="25"/>
        </w:rPr>
        <w:t>中的各项规定进行。</w:t>
      </w:r>
    </w:p>
    <w:p>
      <w:pPr>
        <w:spacing w:line="214" w:lineRule="auto"/>
        <w:rPr>
          <w:sz w:val="25"/>
          <w:szCs w:val="25"/>
        </w:rPr>
        <w:sectPr>
          <w:headerReference w:type="default" r:id="rId43"/>
          <w:footerReference w:type="default" r:id="rId44"/>
          <w:type w:val="nextPage"/>
          <w:pgSz w:w="11750" w:h="16650"/>
          <w:pgMar w:top="1899" w:right="1120" w:bottom="721" w:left="1290" w:header="1574" w:footer="563" w:gutter="0"/>
          <w:pgNumType w:start="12"/>
          <w:cols w:num="1" w:space="708" w:equalWidth="0">
            <w:col w:w="9340" w:space="0"/>
          </w:cols>
          <w:titlePg w:val="0"/>
        </w:sectPr>
      </w:pPr>
    </w:p>
    <w:p>
      <w:pPr>
        <w:pStyle w:val="BodyText"/>
        <w:spacing w:before="240" w:line="219" w:lineRule="auto"/>
      </w:pPr>
      <w:r>
        <w:rPr>
          <w:spacing w:val="2"/>
        </w:rPr>
        <w:t>7.1</w:t>
      </w:r>
      <w:r>
        <w:rPr>
          <w:spacing w:val="12"/>
        </w:rPr>
        <w:t xml:space="preserve">  </w:t>
      </w:r>
      <w:r>
        <w:rPr>
          <w:spacing w:val="2"/>
        </w:rPr>
        <w:t>检定条件</w:t>
      </w:r>
    </w:p>
    <w:p>
      <w:pPr>
        <w:pStyle w:val="BodyText"/>
        <w:spacing w:before="85" w:line="219" w:lineRule="auto"/>
      </w:pPr>
      <w:r>
        <w:rPr>
          <w:spacing w:val="1"/>
        </w:rPr>
        <w:t>7.1.1</w:t>
      </w:r>
      <w:r>
        <w:rPr>
          <w:spacing w:val="118"/>
        </w:rPr>
        <w:t xml:space="preserve"> </w:t>
      </w:r>
      <w:r>
        <w:rPr>
          <w:spacing w:val="1"/>
        </w:rPr>
        <w:t>检定环境条件</w:t>
      </w:r>
    </w:p>
    <w:p>
      <w:pPr>
        <w:pStyle w:val="BodyText"/>
        <w:spacing w:before="75" w:line="219" w:lineRule="auto"/>
        <w:ind w:left="510"/>
      </w:pPr>
      <w:r>
        <w:rPr>
          <w:spacing w:val="-4"/>
        </w:rPr>
        <w:t>一般试验大气条件：</w:t>
      </w:r>
    </w:p>
    <w:p>
      <w:pPr>
        <w:pStyle w:val="BodyText"/>
        <w:spacing w:before="86" w:line="220" w:lineRule="auto"/>
        <w:ind w:left="510"/>
      </w:pPr>
      <w:r>
        <w:rPr>
          <w:spacing w:val="1"/>
        </w:rPr>
        <w:t>温</w:t>
      </w:r>
      <w:r>
        <w:t xml:space="preserve">    </w:t>
      </w:r>
      <w:r>
        <w:rPr>
          <w:spacing w:val="1"/>
        </w:rPr>
        <w:t>度：(5～35)℃</w:t>
      </w:r>
    </w:p>
    <w:p>
      <w:pPr>
        <w:pStyle w:val="BodyText"/>
        <w:spacing w:before="83" w:line="220" w:lineRule="auto"/>
        <w:ind w:left="510"/>
      </w:pPr>
      <w:r>
        <w:rPr>
          <w:spacing w:val="18"/>
        </w:rPr>
        <w:t>相对湿度：45%～75%</w:t>
      </w:r>
    </w:p>
    <w:p>
      <w:pPr>
        <w:pStyle w:val="BodyText"/>
        <w:spacing w:before="73" w:line="219" w:lineRule="auto"/>
        <w:ind w:left="510"/>
      </w:pPr>
      <w:r>
        <w:t>大气压力：(86～106)kPa</w:t>
      </w:r>
    </w:p>
    <w:p>
      <w:pPr>
        <w:pStyle w:val="BodyText"/>
        <w:spacing w:before="75" w:line="219" w:lineRule="auto"/>
      </w:pPr>
      <w:r>
        <w:rPr>
          <w:spacing w:val="1"/>
        </w:rPr>
        <w:t>7.1.2</w:t>
      </w:r>
      <w:r>
        <w:rPr>
          <w:spacing w:val="118"/>
        </w:rPr>
        <w:t xml:space="preserve"> </w:t>
      </w:r>
      <w:r>
        <w:rPr>
          <w:spacing w:val="1"/>
        </w:rPr>
        <w:t>检定用仪器设备</w:t>
      </w:r>
    </w:p>
    <w:p>
      <w:pPr>
        <w:pStyle w:val="BodyText"/>
        <w:spacing w:before="85" w:line="219" w:lineRule="auto"/>
        <w:ind w:left="510"/>
      </w:pPr>
      <w:r>
        <w:rPr>
          <w:spacing w:val="7"/>
        </w:rPr>
        <w:t>检定用仪器设备应符合表2的规定。</w:t>
      </w:r>
    </w:p>
    <w:p>
      <w:pPr>
        <w:spacing w:before="210" w:line="222" w:lineRule="auto"/>
        <w:ind w:left="3643"/>
        <w:rPr>
          <w:rFonts w:ascii="SimHei" w:eastAsia="SimHei" w:hAnsi="SimHei" w:cs="SimHei"/>
          <w:sz w:val="21"/>
          <w:szCs w:val="21"/>
        </w:rPr>
      </w:pPr>
      <w:r>
        <w:rPr>
          <w:rFonts w:ascii="SimHei" w:eastAsia="SimHei" w:hAnsi="SimHei" w:cs="SimHei"/>
          <w:b/>
          <w:bCs/>
          <w:sz w:val="21"/>
          <w:szCs w:val="21"/>
        </w:rPr>
        <w:t>表2</w:t>
      </w:r>
      <w:r>
        <w:rPr>
          <w:rFonts w:ascii="SimHei" w:eastAsia="SimHei" w:hAnsi="SimHei" w:cs="SimHei"/>
          <w:spacing w:val="104"/>
          <w:sz w:val="21"/>
          <w:szCs w:val="21"/>
        </w:rPr>
        <w:t xml:space="preserve"> </w:t>
      </w:r>
      <w:r>
        <w:rPr>
          <w:rFonts w:ascii="SimHei" w:eastAsia="SimHei" w:hAnsi="SimHei" w:cs="SimHei"/>
          <w:b/>
          <w:bCs/>
          <w:sz w:val="21"/>
          <w:szCs w:val="21"/>
        </w:rPr>
        <w:t>检定用仪器设备</w:t>
      </w:r>
    </w:p>
    <w:p>
      <w:pPr>
        <w:spacing w:line="88" w:lineRule="exact"/>
      </w:pPr>
    </w:p>
    <w:tbl>
      <w:tblPr>
        <w:tblStyle w:val="TableNormal1"/>
        <w:tblW w:w="9260"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450"/>
        <w:gridCol w:w="4810"/>
      </w:tblGrid>
      <w:tr>
        <w:tblPrEx>
          <w:tblW w:w="9260"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4450" w:type="dxa"/>
            <w:vAlign w:val="top"/>
          </w:tcPr>
          <w:p>
            <w:pPr>
              <w:pStyle w:val="TableText"/>
              <w:spacing w:before="106" w:line="221" w:lineRule="auto"/>
              <w:ind w:left="1794"/>
              <w:rPr>
                <w:sz w:val="21"/>
                <w:szCs w:val="21"/>
              </w:rPr>
            </w:pPr>
            <w:r>
              <w:rPr>
                <w:spacing w:val="-6"/>
                <w:sz w:val="21"/>
                <w:szCs w:val="21"/>
              </w:rPr>
              <w:t>名</w:t>
            </w:r>
            <w:r>
              <w:rPr>
                <w:spacing w:val="7"/>
                <w:sz w:val="21"/>
                <w:szCs w:val="21"/>
              </w:rPr>
              <w:t xml:space="preserve">    </w:t>
            </w:r>
            <w:r>
              <w:rPr>
                <w:spacing w:val="-6"/>
                <w:sz w:val="21"/>
                <w:szCs w:val="21"/>
              </w:rPr>
              <w:t>称</w:t>
            </w:r>
          </w:p>
        </w:tc>
        <w:tc>
          <w:tcPr>
            <w:tcW w:w="4810" w:type="dxa"/>
            <w:vAlign w:val="top"/>
          </w:tcPr>
          <w:p>
            <w:pPr>
              <w:pStyle w:val="TableText"/>
              <w:spacing w:before="103" w:line="219" w:lineRule="auto"/>
              <w:ind w:left="1655"/>
              <w:rPr>
                <w:sz w:val="21"/>
                <w:szCs w:val="21"/>
              </w:rPr>
            </w:pPr>
            <w:r>
              <w:rPr>
                <w:spacing w:val="-8"/>
                <w:sz w:val="21"/>
                <w:szCs w:val="21"/>
              </w:rPr>
              <w:t>技</w:t>
            </w:r>
            <w:r>
              <w:rPr>
                <w:spacing w:val="10"/>
                <w:sz w:val="21"/>
                <w:szCs w:val="21"/>
              </w:rPr>
              <w:t xml:space="preserve">  </w:t>
            </w:r>
            <w:r>
              <w:rPr>
                <w:spacing w:val="-8"/>
                <w:sz w:val="21"/>
                <w:szCs w:val="21"/>
              </w:rPr>
              <w:t>术</w:t>
            </w:r>
            <w:r>
              <w:rPr>
                <w:spacing w:val="10"/>
                <w:sz w:val="21"/>
                <w:szCs w:val="21"/>
              </w:rPr>
              <w:t xml:space="preserve">  </w:t>
            </w:r>
            <w:r>
              <w:rPr>
                <w:spacing w:val="-8"/>
                <w:sz w:val="21"/>
                <w:szCs w:val="21"/>
              </w:rPr>
              <w:t>指</w:t>
            </w:r>
            <w:r>
              <w:rPr>
                <w:spacing w:val="9"/>
                <w:sz w:val="21"/>
                <w:szCs w:val="21"/>
              </w:rPr>
              <w:t xml:space="preserve">  </w:t>
            </w:r>
            <w:r>
              <w:rPr>
                <w:spacing w:val="-8"/>
                <w:sz w:val="21"/>
                <w:szCs w:val="21"/>
              </w:rPr>
              <w:t>标</w:t>
            </w:r>
          </w:p>
        </w:tc>
      </w:tr>
      <w:tr>
        <w:tblPrEx>
          <w:tblW w:w="9260" w:type="dxa"/>
          <w:tblInd w:w="9" w:type="dxa"/>
          <w:tblLayout w:type="fixed"/>
        </w:tblPrEx>
        <w:trPr>
          <w:trHeight w:val="827"/>
        </w:trPr>
        <w:tc>
          <w:tcPr>
            <w:tcW w:w="4450" w:type="dxa"/>
            <w:vAlign w:val="top"/>
          </w:tcPr>
          <w:p>
            <w:pPr>
              <w:rPr>
                <w:rFonts w:ascii="Arial"/>
                <w:sz w:val="21"/>
              </w:rPr>
            </w:pPr>
          </w:p>
          <w:p>
            <w:pPr>
              <w:pStyle w:val="TableText"/>
              <w:spacing w:before="68" w:line="220" w:lineRule="auto"/>
              <w:ind w:left="1585"/>
              <w:rPr>
                <w:sz w:val="21"/>
                <w:szCs w:val="21"/>
              </w:rPr>
            </w:pPr>
            <w:r>
              <w:rPr>
                <w:spacing w:val="-2"/>
                <w:sz w:val="21"/>
                <w:szCs w:val="21"/>
              </w:rPr>
              <w:t>流量标准装置</w:t>
            </w:r>
          </w:p>
        </w:tc>
        <w:tc>
          <w:tcPr>
            <w:tcW w:w="4810" w:type="dxa"/>
            <w:vAlign w:val="top"/>
          </w:tcPr>
          <w:p>
            <w:pPr>
              <w:pStyle w:val="TableText"/>
              <w:spacing w:before="180" w:line="220" w:lineRule="auto"/>
              <w:ind w:left="1455"/>
              <w:rPr>
                <w:sz w:val="21"/>
                <w:szCs w:val="21"/>
              </w:rPr>
            </w:pPr>
            <w:r>
              <w:rPr>
                <w:spacing w:val="1"/>
                <w:sz w:val="21"/>
                <w:szCs w:val="21"/>
              </w:rPr>
              <w:t>装置的扩展不确定度</w:t>
            </w:r>
          </w:p>
          <w:p>
            <w:pPr>
              <w:pStyle w:val="TableText"/>
              <w:spacing w:before="59" w:line="219" w:lineRule="auto"/>
              <w:ind w:left="665"/>
              <w:rPr>
                <w:sz w:val="21"/>
                <w:szCs w:val="21"/>
              </w:rPr>
            </w:pPr>
            <w:r>
              <w:rPr>
                <w:spacing w:val="-1"/>
                <w:sz w:val="21"/>
                <w:szCs w:val="21"/>
              </w:rPr>
              <w:t>应优于被检流量计最大允许误差的1/2</w:t>
            </w:r>
          </w:p>
        </w:tc>
      </w:tr>
      <w:tr>
        <w:tblPrEx>
          <w:tblW w:w="9260" w:type="dxa"/>
          <w:tblInd w:w="9" w:type="dxa"/>
          <w:tblLayout w:type="fixed"/>
        </w:tblPrEx>
        <w:trPr>
          <w:trHeight w:val="399"/>
        </w:trPr>
        <w:tc>
          <w:tcPr>
            <w:tcW w:w="4450" w:type="dxa"/>
            <w:vAlign w:val="top"/>
          </w:tcPr>
          <w:p>
            <w:pPr>
              <w:pStyle w:val="TableText"/>
              <w:spacing w:before="103" w:line="220" w:lineRule="auto"/>
              <w:ind w:left="1905"/>
              <w:rPr>
                <w:sz w:val="21"/>
                <w:szCs w:val="21"/>
              </w:rPr>
            </w:pPr>
            <w:r>
              <w:rPr>
                <w:spacing w:val="-3"/>
                <w:sz w:val="21"/>
                <w:szCs w:val="21"/>
              </w:rPr>
              <w:t>温度计</w:t>
            </w:r>
          </w:p>
        </w:tc>
        <w:tc>
          <w:tcPr>
            <w:tcW w:w="4810" w:type="dxa"/>
            <w:vAlign w:val="top"/>
          </w:tcPr>
          <w:p>
            <w:pPr>
              <w:pStyle w:val="TableText"/>
              <w:spacing w:before="102" w:line="219" w:lineRule="auto"/>
              <w:ind w:left="1715"/>
              <w:rPr>
                <w:sz w:val="21"/>
                <w:szCs w:val="21"/>
              </w:rPr>
            </w:pPr>
            <w:r>
              <w:rPr>
                <w:spacing w:val="2"/>
                <w:sz w:val="21"/>
                <w:szCs w:val="21"/>
              </w:rPr>
              <w:t>分度值为0.2℃</w:t>
            </w:r>
          </w:p>
        </w:tc>
      </w:tr>
      <w:tr>
        <w:tblPrEx>
          <w:tblW w:w="9260" w:type="dxa"/>
          <w:tblInd w:w="9" w:type="dxa"/>
          <w:tblLayout w:type="fixed"/>
        </w:tblPrEx>
        <w:trPr>
          <w:trHeight w:val="419"/>
        </w:trPr>
        <w:tc>
          <w:tcPr>
            <w:tcW w:w="4450" w:type="dxa"/>
            <w:vAlign w:val="top"/>
          </w:tcPr>
          <w:p>
            <w:pPr>
              <w:pStyle w:val="TableText"/>
              <w:spacing w:before="113" w:line="219" w:lineRule="auto"/>
              <w:ind w:left="1905"/>
              <w:rPr>
                <w:sz w:val="21"/>
                <w:szCs w:val="21"/>
              </w:rPr>
            </w:pPr>
            <w:r>
              <w:rPr>
                <w:spacing w:val="-3"/>
                <w:sz w:val="21"/>
                <w:szCs w:val="21"/>
              </w:rPr>
              <w:t>压力计</w:t>
            </w:r>
          </w:p>
        </w:tc>
        <w:tc>
          <w:tcPr>
            <w:tcW w:w="4810" w:type="dxa"/>
            <w:vAlign w:val="top"/>
          </w:tcPr>
          <w:p>
            <w:pPr>
              <w:pStyle w:val="TableText"/>
              <w:spacing w:before="116" w:line="221" w:lineRule="auto"/>
              <w:ind w:left="2235"/>
              <w:rPr>
                <w:sz w:val="21"/>
                <w:szCs w:val="21"/>
              </w:rPr>
            </w:pPr>
            <w:r>
              <w:rPr>
                <w:spacing w:val="8"/>
                <w:sz w:val="21"/>
                <w:szCs w:val="21"/>
              </w:rPr>
              <w:t>1级</w:t>
            </w:r>
          </w:p>
        </w:tc>
      </w:tr>
      <w:tr>
        <w:tblPrEx>
          <w:tblW w:w="9260" w:type="dxa"/>
          <w:tblInd w:w="9" w:type="dxa"/>
          <w:tblLayout w:type="fixed"/>
        </w:tblPrEx>
        <w:trPr>
          <w:trHeight w:val="408"/>
        </w:trPr>
        <w:tc>
          <w:tcPr>
            <w:tcW w:w="4450" w:type="dxa"/>
            <w:vAlign w:val="top"/>
          </w:tcPr>
          <w:p>
            <w:pPr>
              <w:pStyle w:val="TableText"/>
              <w:spacing w:before="105" w:line="221" w:lineRule="auto"/>
              <w:ind w:left="1905"/>
              <w:rPr>
                <w:sz w:val="21"/>
                <w:szCs w:val="21"/>
              </w:rPr>
            </w:pPr>
            <w:r>
              <w:rPr>
                <w:spacing w:val="-3"/>
                <w:sz w:val="21"/>
                <w:szCs w:val="21"/>
              </w:rPr>
              <w:t>气压计</w:t>
            </w:r>
          </w:p>
        </w:tc>
        <w:tc>
          <w:tcPr>
            <w:tcW w:w="4810" w:type="dxa"/>
            <w:vAlign w:val="top"/>
          </w:tcPr>
          <w:p>
            <w:pPr>
              <w:pStyle w:val="TableText"/>
              <w:spacing w:before="107" w:line="221" w:lineRule="auto"/>
              <w:ind w:left="2134"/>
              <w:rPr>
                <w:sz w:val="21"/>
                <w:szCs w:val="21"/>
              </w:rPr>
            </w:pPr>
            <w:r>
              <w:rPr>
                <w:spacing w:val="-3"/>
                <w:sz w:val="21"/>
                <w:szCs w:val="21"/>
              </w:rPr>
              <w:t>0.5级</w:t>
            </w:r>
          </w:p>
        </w:tc>
      </w:tr>
      <w:tr>
        <w:tblPrEx>
          <w:tblW w:w="9260" w:type="dxa"/>
          <w:tblInd w:w="9" w:type="dxa"/>
          <w:tblLayout w:type="fixed"/>
        </w:tblPrEx>
        <w:trPr>
          <w:trHeight w:val="399"/>
        </w:trPr>
        <w:tc>
          <w:tcPr>
            <w:tcW w:w="4450" w:type="dxa"/>
            <w:vAlign w:val="top"/>
          </w:tcPr>
          <w:p>
            <w:pPr>
              <w:pStyle w:val="TableText"/>
              <w:spacing w:before="107" w:line="220" w:lineRule="auto"/>
              <w:ind w:left="1905"/>
              <w:rPr>
                <w:sz w:val="21"/>
                <w:szCs w:val="21"/>
              </w:rPr>
            </w:pPr>
            <w:r>
              <w:rPr>
                <w:spacing w:val="-3"/>
                <w:sz w:val="21"/>
                <w:szCs w:val="21"/>
              </w:rPr>
              <w:t>密度计</w:t>
            </w:r>
          </w:p>
        </w:tc>
        <w:tc>
          <w:tcPr>
            <w:tcW w:w="4810" w:type="dxa"/>
            <w:vAlign w:val="top"/>
          </w:tcPr>
          <w:p>
            <w:pPr>
              <w:pStyle w:val="TableText"/>
              <w:spacing w:before="123" w:line="233" w:lineRule="auto"/>
              <w:ind w:left="2085"/>
              <w:rPr>
                <w:sz w:val="21"/>
                <w:szCs w:val="21"/>
              </w:rPr>
            </w:pPr>
            <w:r>
              <w:rPr>
                <w:spacing w:val="-7"/>
                <w:sz w:val="21"/>
                <w:szCs w:val="21"/>
              </w:rPr>
              <w:t>±0.1%</w:t>
            </w:r>
          </w:p>
        </w:tc>
      </w:tr>
      <w:tr>
        <w:tblPrEx>
          <w:tblW w:w="9260" w:type="dxa"/>
          <w:tblInd w:w="9" w:type="dxa"/>
          <w:tblLayout w:type="fixed"/>
        </w:tblPrEx>
        <w:trPr>
          <w:trHeight w:val="413"/>
        </w:trPr>
        <w:tc>
          <w:tcPr>
            <w:tcW w:w="4450" w:type="dxa"/>
            <w:vAlign w:val="top"/>
          </w:tcPr>
          <w:p>
            <w:pPr>
              <w:pStyle w:val="TableText"/>
              <w:spacing w:before="107" w:line="219" w:lineRule="auto"/>
              <w:ind w:left="955"/>
              <w:rPr>
                <w:sz w:val="21"/>
                <w:szCs w:val="21"/>
              </w:rPr>
            </w:pPr>
            <w:r>
              <w:rPr>
                <w:spacing w:val="-1"/>
                <w:sz w:val="21"/>
                <w:szCs w:val="21"/>
              </w:rPr>
              <w:t>直流毫安表或数字显示仪表</w:t>
            </w:r>
          </w:p>
        </w:tc>
        <w:tc>
          <w:tcPr>
            <w:tcW w:w="4810" w:type="dxa"/>
            <w:vAlign w:val="top"/>
          </w:tcPr>
          <w:p>
            <w:pPr>
              <w:pStyle w:val="TableText"/>
              <w:spacing w:before="110" w:line="221" w:lineRule="auto"/>
              <w:ind w:left="2134"/>
              <w:rPr>
                <w:sz w:val="21"/>
                <w:szCs w:val="21"/>
              </w:rPr>
            </w:pPr>
            <w:r>
              <w:rPr>
                <w:spacing w:val="-3"/>
                <w:sz w:val="21"/>
                <w:szCs w:val="21"/>
              </w:rPr>
              <w:t>0.5级</w:t>
            </w:r>
          </w:p>
        </w:tc>
      </w:tr>
    </w:tbl>
    <w:p>
      <w:pPr>
        <w:spacing w:line="295" w:lineRule="auto"/>
        <w:rPr>
          <w:rFonts w:ascii="Arial"/>
          <w:sz w:val="21"/>
        </w:rPr>
      </w:pPr>
    </w:p>
    <w:p>
      <w:pPr>
        <w:pStyle w:val="BodyText"/>
        <w:spacing w:before="79" w:line="220" w:lineRule="auto"/>
      </w:pPr>
      <w:r>
        <w:rPr>
          <w:spacing w:val="1"/>
        </w:rPr>
        <w:t>7.1.3</w:t>
      </w:r>
      <w:r>
        <w:rPr>
          <w:spacing w:val="116"/>
        </w:rPr>
        <w:t xml:space="preserve"> </w:t>
      </w:r>
      <w:r>
        <w:rPr>
          <w:spacing w:val="1"/>
        </w:rPr>
        <w:t>流量标准装置的要求</w:t>
      </w:r>
    </w:p>
    <w:p>
      <w:pPr>
        <w:pStyle w:val="BodyText"/>
        <w:spacing w:before="62" w:line="260" w:lineRule="auto"/>
        <w:ind w:right="70" w:firstLine="3"/>
      </w:pPr>
      <w:hyperlink r:id="rId45" w:history="1">
        <w:r>
          <w:rPr>
            <w:b/>
            <w:bCs/>
            <w:spacing w:val="6"/>
          </w:rPr>
          <w:t>7.1.3.1</w:t>
        </w:r>
      </w:hyperlink>
      <w:r>
        <w:rPr>
          <w:spacing w:val="6"/>
        </w:rPr>
        <w:t xml:space="preserve">  流量标准装置及配套计量器具应具有有效</w:t>
      </w:r>
      <w:r>
        <w:rPr>
          <w:spacing w:val="5"/>
        </w:rPr>
        <w:t>的检定合格证书，其技术指标应符</w:t>
      </w:r>
      <w:r>
        <w:t xml:space="preserve"> </w:t>
      </w:r>
      <w:r>
        <w:rPr>
          <w:spacing w:val="7"/>
        </w:rPr>
        <w:t>合或优于表2中的有关规定。</w:t>
      </w:r>
    </w:p>
    <w:p>
      <w:pPr>
        <w:pStyle w:val="BodyText"/>
        <w:spacing w:before="95" w:line="219" w:lineRule="auto"/>
        <w:ind w:left="3"/>
      </w:pPr>
      <w:hyperlink r:id="rId46" w:history="1">
        <w:r>
          <w:rPr>
            <w:b/>
            <w:bCs/>
            <w:spacing w:val="2"/>
          </w:rPr>
          <w:t>7.1.3.2</w:t>
        </w:r>
      </w:hyperlink>
      <w:r>
        <w:rPr>
          <w:spacing w:val="2"/>
        </w:rPr>
        <w:t xml:space="preserve">  检定气体流量计时，应在流量计进</w:t>
      </w:r>
      <w:r>
        <w:rPr>
          <w:spacing w:val="1"/>
        </w:rPr>
        <w:t>口处测量压力、温度。</w:t>
      </w:r>
    </w:p>
    <w:p>
      <w:pPr>
        <w:pStyle w:val="BodyText"/>
        <w:spacing w:before="65" w:line="219" w:lineRule="auto"/>
        <w:ind w:left="3"/>
      </w:pPr>
      <w:r>
        <w:rPr>
          <w:b/>
          <w:bCs/>
          <w:spacing w:val="-1"/>
        </w:rPr>
        <w:t>7.1.4</w:t>
      </w:r>
      <w:r>
        <w:rPr>
          <w:spacing w:val="11"/>
        </w:rPr>
        <w:t xml:space="preserve">  </w:t>
      </w:r>
      <w:r>
        <w:rPr>
          <w:spacing w:val="-1"/>
        </w:rPr>
        <w:t>检定用流体</w:t>
      </w:r>
    </w:p>
    <w:p>
      <w:pPr>
        <w:pStyle w:val="BodyText"/>
        <w:spacing w:before="84" w:line="219" w:lineRule="auto"/>
        <w:ind w:left="3"/>
      </w:pPr>
      <w:hyperlink r:id="rId47" w:history="1">
        <w:r>
          <w:rPr>
            <w:b/>
            <w:bCs/>
            <w:spacing w:val="2"/>
          </w:rPr>
          <w:t>7.1.4.1</w:t>
        </w:r>
      </w:hyperlink>
      <w:r>
        <w:rPr>
          <w:spacing w:val="2"/>
        </w:rPr>
        <w:t xml:space="preserve">  检定用流体(液体或气体)应尽可能等同流量计使</w:t>
      </w:r>
      <w:r>
        <w:rPr>
          <w:spacing w:val="1"/>
        </w:rPr>
        <w:t>用的介质。</w:t>
      </w:r>
    </w:p>
    <w:p>
      <w:pPr>
        <w:pStyle w:val="BodyText"/>
        <w:spacing w:before="65" w:line="257" w:lineRule="auto"/>
        <w:ind w:firstLine="3"/>
      </w:pPr>
      <w:hyperlink r:id="rId48" w:history="1">
        <w:r>
          <w:rPr>
            <w:b/>
            <w:bCs/>
            <w:spacing w:val="7"/>
          </w:rPr>
          <w:t>7.1.4.2</w:t>
        </w:r>
      </w:hyperlink>
      <w:r>
        <w:rPr>
          <w:spacing w:val="7"/>
        </w:rPr>
        <w:t xml:space="preserve">  检定用流体应为单相流并充满试验管道，其流动应保持相对稳定、无旋涡。</w:t>
      </w:r>
      <w:r>
        <w:rPr>
          <w:spacing w:val="13"/>
        </w:rPr>
        <w:t xml:space="preserve"> </w:t>
      </w:r>
      <w:r>
        <w:rPr>
          <w:spacing w:val="1"/>
        </w:rPr>
        <w:t>必要时应在流量计的上游安装流动调整器。</w:t>
      </w:r>
    </w:p>
    <w:p>
      <w:pPr>
        <w:pStyle w:val="BodyText"/>
        <w:spacing w:before="94" w:line="219" w:lineRule="auto"/>
        <w:ind w:left="3"/>
      </w:pPr>
      <w:hyperlink r:id="rId49" w:history="1">
        <w:r>
          <w:rPr>
            <w:b/>
            <w:bCs/>
            <w:spacing w:val="2"/>
          </w:rPr>
          <w:t>7.1.4.3</w:t>
        </w:r>
      </w:hyperlink>
      <w:r>
        <w:rPr>
          <w:spacing w:val="2"/>
        </w:rPr>
        <w:t xml:space="preserve">  当检定用流体为液体时，液体中</w:t>
      </w:r>
      <w:r>
        <w:rPr>
          <w:spacing w:val="1"/>
        </w:rPr>
        <w:t>应无气泡、无可见杂物。</w:t>
      </w:r>
    </w:p>
    <w:p>
      <w:pPr>
        <w:pStyle w:val="BodyText"/>
        <w:spacing w:before="73" w:line="219" w:lineRule="auto"/>
        <w:ind w:left="3"/>
      </w:pPr>
      <w:hyperlink r:id="rId50" w:history="1">
        <w:r>
          <w:rPr>
            <w:b/>
            <w:bCs/>
          </w:rPr>
          <w:t>7.1.4.4</w:t>
        </w:r>
      </w:hyperlink>
      <w:r>
        <w:t xml:space="preserve">  检定用介质应安全、清洁、环保。</w:t>
      </w:r>
    </w:p>
    <w:p>
      <w:pPr>
        <w:pStyle w:val="BodyText"/>
        <w:spacing w:before="78" w:line="220" w:lineRule="auto"/>
        <w:ind w:left="3"/>
        <w:sectPr>
          <w:headerReference w:type="default" r:id="rId51"/>
          <w:footerReference w:type="default" r:id="rId52"/>
          <w:pgSz w:w="11750" w:h="16650"/>
          <w:pgMar w:top="1869" w:right="799" w:bottom="742" w:left="1619" w:header="1562" w:footer="583" w:gutter="0"/>
          <w:pgNumType w:start="13"/>
          <w:cols w:space="708"/>
        </w:sectPr>
      </w:pPr>
      <w:r>
        <w:rPr>
          <w:b/>
          <w:bCs/>
          <w:spacing w:val="-5"/>
        </w:rPr>
        <w:t>7.1.5</w:t>
      </w:r>
      <w:r>
        <w:rPr>
          <w:spacing w:val="13"/>
        </w:rPr>
        <w:t xml:space="preserve">  </w:t>
      </w:r>
      <w:r>
        <w:rPr>
          <w:spacing w:val="-5"/>
        </w:rPr>
        <w:t>安装要求</w:t>
      </w:r>
    </w:p>
    <w:p>
      <w:pPr>
        <w:pStyle w:val="BodyText"/>
        <w:spacing w:before="63" w:line="255" w:lineRule="auto"/>
        <w:ind w:right="67" w:firstLine="3"/>
      </w:pPr>
      <w:hyperlink r:id="rId53" w:history="1">
        <w:r>
          <w:rPr>
            <w:b/>
            <w:bCs/>
            <w:spacing w:val="6"/>
          </w:rPr>
          <w:t>7.1.5.1</w:t>
        </w:r>
      </w:hyperlink>
      <w:r>
        <w:rPr>
          <w:spacing w:val="6"/>
        </w:rPr>
        <w:t xml:space="preserve">  检定时流量计应按使用要求安装，做到系统无泄</w:t>
      </w:r>
      <w:r>
        <w:rPr>
          <w:spacing w:val="5"/>
        </w:rPr>
        <w:t>漏、无振动、便于观察。若</w:t>
      </w:r>
      <w:r>
        <w:t xml:space="preserve"> </w:t>
      </w:r>
      <w:r>
        <w:rPr>
          <w:spacing w:val="3"/>
        </w:rPr>
        <w:t>流量计的自重引起过大的应力或系统产生振动时，则应采取措施</w:t>
      </w:r>
      <w:r>
        <w:rPr>
          <w:spacing w:val="2"/>
        </w:rPr>
        <w:t>，消除其影响。</w:t>
      </w:r>
    </w:p>
    <w:p>
      <w:pPr>
        <w:pStyle w:val="BodyText"/>
        <w:spacing w:before="84" w:line="257" w:lineRule="auto"/>
        <w:ind w:right="68" w:firstLine="3"/>
      </w:pPr>
      <w:hyperlink r:id="rId54" w:history="1">
        <w:r>
          <w:rPr>
            <w:b/>
            <w:bCs/>
            <w:spacing w:val="11"/>
          </w:rPr>
          <w:t>7.1.5.2</w:t>
        </w:r>
      </w:hyperlink>
      <w:r>
        <w:rPr>
          <w:spacing w:val="11"/>
        </w:rPr>
        <w:t xml:space="preserve">  对准确度等级为1.0级和1.5级的流量计</w:t>
      </w:r>
      <w:r>
        <w:rPr>
          <w:spacing w:val="10"/>
        </w:rPr>
        <w:t>安装倾斜度应不超过2°,准确度等</w:t>
      </w:r>
      <w:r>
        <w:t xml:space="preserve"> </w:t>
      </w:r>
      <w:r>
        <w:rPr>
          <w:spacing w:val="3"/>
        </w:rPr>
        <w:t>级为2.5级及以下等级的流量计不超过5°。</w:t>
      </w:r>
    </w:p>
    <w:p>
      <w:pPr>
        <w:pStyle w:val="BodyText"/>
        <w:spacing w:before="75" w:line="219" w:lineRule="auto"/>
        <w:ind w:left="3"/>
      </w:pPr>
      <w:hyperlink r:id="rId55" w:history="1">
        <w:r>
          <w:rPr>
            <w:b/>
            <w:bCs/>
            <w:spacing w:val="2"/>
          </w:rPr>
          <w:t>7.1.5.3</w:t>
        </w:r>
      </w:hyperlink>
      <w:r>
        <w:rPr>
          <w:spacing w:val="2"/>
        </w:rPr>
        <w:t xml:space="preserve">  流量计上游管道密封件</w:t>
      </w:r>
      <w:r>
        <w:rPr>
          <w:spacing w:val="1"/>
        </w:rPr>
        <w:t>不得凸入管道内部。</w:t>
      </w:r>
    </w:p>
    <w:p>
      <w:pPr>
        <w:pStyle w:val="BodyText"/>
        <w:spacing w:before="85" w:line="219" w:lineRule="auto"/>
      </w:pPr>
      <w:r>
        <w:rPr>
          <w:spacing w:val="4"/>
        </w:rPr>
        <w:t>7.2</w:t>
      </w:r>
      <w:r>
        <w:rPr>
          <w:spacing w:val="13"/>
        </w:rPr>
        <w:t xml:space="preserve">  </w:t>
      </w:r>
      <w:r>
        <w:rPr>
          <w:spacing w:val="4"/>
        </w:rPr>
        <w:t>检定项目</w:t>
      </w:r>
    </w:p>
    <w:p>
      <w:pPr>
        <w:pStyle w:val="BodyText"/>
        <w:spacing w:before="86" w:line="219" w:lineRule="auto"/>
        <w:ind w:left="510"/>
      </w:pPr>
      <w:r>
        <w:rPr>
          <w:spacing w:val="4"/>
        </w:rPr>
        <w:t>流量计的首次检定、后续检定和使用中检验的项目见表3。</w:t>
      </w:r>
    </w:p>
    <w:p>
      <w:pPr>
        <w:spacing w:line="219" w:lineRule="auto"/>
        <w:sectPr>
          <w:headerReference w:type="default" r:id="rId56"/>
          <w:footerReference w:type="default" r:id="rId57"/>
          <w:type w:val="nextPage"/>
          <w:pgSz w:w="11750" w:h="16650"/>
          <w:pgMar w:top="1869" w:right="799" w:bottom="742" w:left="1619" w:header="1562" w:footer="583" w:gutter="0"/>
          <w:pgNumType w:start="14"/>
          <w:cols w:space="708"/>
          <w:titlePg w:val="0"/>
        </w:sectPr>
      </w:pPr>
    </w:p>
    <w:p>
      <w:pPr>
        <w:spacing w:before="208" w:line="222" w:lineRule="auto"/>
        <w:ind w:left="3620"/>
        <w:rPr>
          <w:rFonts w:ascii="SimHei" w:eastAsia="SimHei" w:hAnsi="SimHei" w:cs="SimHei"/>
          <w:sz w:val="24"/>
          <w:szCs w:val="24"/>
        </w:rPr>
      </w:pPr>
      <w:r>
        <w:rPr>
          <w:rFonts w:ascii="SimHei" w:eastAsia="SimHei" w:hAnsi="SimHei" w:cs="SimHei"/>
          <w:spacing w:val="-17"/>
          <w:sz w:val="24"/>
          <w:szCs w:val="24"/>
        </w:rPr>
        <w:t>表3</w:t>
      </w:r>
      <w:r>
        <w:rPr>
          <w:rFonts w:ascii="SimHei" w:eastAsia="SimHei" w:hAnsi="SimHei" w:cs="SimHei"/>
          <w:spacing w:val="75"/>
          <w:sz w:val="24"/>
          <w:szCs w:val="24"/>
        </w:rPr>
        <w:t xml:space="preserve"> </w:t>
      </w:r>
      <w:r>
        <w:rPr>
          <w:rFonts w:ascii="SimHei" w:eastAsia="SimHei" w:hAnsi="SimHei" w:cs="SimHei"/>
          <w:spacing w:val="-17"/>
          <w:sz w:val="24"/>
          <w:szCs w:val="24"/>
        </w:rPr>
        <w:t>检定项目一览表</w:t>
      </w:r>
    </w:p>
    <w:p>
      <w:pPr>
        <w:spacing w:line="78" w:lineRule="exact"/>
      </w:pPr>
    </w:p>
    <w:tbl>
      <w:tblPr>
        <w:tblStyle w:val="TableNormal2"/>
        <w:tblW w:w="92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44"/>
        <w:gridCol w:w="2537"/>
        <w:gridCol w:w="2028"/>
        <w:gridCol w:w="1998"/>
        <w:gridCol w:w="1843"/>
      </w:tblGrid>
      <w:tr>
        <w:tblPrEx>
          <w:tblW w:w="92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844" w:type="dxa"/>
            <w:vAlign w:val="top"/>
          </w:tcPr>
          <w:p>
            <w:pPr>
              <w:pStyle w:val="TableText"/>
              <w:spacing w:before="104" w:line="221" w:lineRule="auto"/>
              <w:ind w:left="205"/>
              <w:rPr>
                <w:sz w:val="21"/>
                <w:szCs w:val="21"/>
              </w:rPr>
            </w:pPr>
            <w:r>
              <w:rPr>
                <w:spacing w:val="6"/>
                <w:sz w:val="21"/>
                <w:szCs w:val="21"/>
              </w:rPr>
              <w:t>序号</w:t>
            </w:r>
          </w:p>
        </w:tc>
        <w:tc>
          <w:tcPr>
            <w:tcW w:w="2537" w:type="dxa"/>
            <w:vAlign w:val="top"/>
          </w:tcPr>
          <w:p>
            <w:pPr>
              <w:pStyle w:val="TableText"/>
              <w:spacing w:before="103" w:line="219" w:lineRule="auto"/>
              <w:ind w:left="841"/>
              <w:rPr>
                <w:sz w:val="21"/>
                <w:szCs w:val="21"/>
              </w:rPr>
            </w:pPr>
            <w:r>
              <w:rPr>
                <w:spacing w:val="10"/>
                <w:sz w:val="21"/>
                <w:szCs w:val="21"/>
              </w:rPr>
              <w:t>检定项目</w:t>
            </w:r>
          </w:p>
        </w:tc>
        <w:tc>
          <w:tcPr>
            <w:tcW w:w="2028" w:type="dxa"/>
            <w:vAlign w:val="top"/>
          </w:tcPr>
          <w:p>
            <w:pPr>
              <w:pStyle w:val="TableText"/>
              <w:spacing w:before="104" w:line="219" w:lineRule="auto"/>
              <w:ind w:left="563"/>
            </w:pPr>
            <w:r>
              <w:rPr>
                <w:spacing w:val="3"/>
              </w:rPr>
              <w:t>首次检定</w:t>
            </w:r>
          </w:p>
        </w:tc>
        <w:tc>
          <w:tcPr>
            <w:tcW w:w="1998" w:type="dxa"/>
            <w:vAlign w:val="top"/>
          </w:tcPr>
          <w:p>
            <w:pPr>
              <w:pStyle w:val="TableText"/>
              <w:spacing w:before="103" w:line="219" w:lineRule="auto"/>
              <w:ind w:left="576"/>
              <w:rPr>
                <w:sz w:val="21"/>
                <w:szCs w:val="21"/>
              </w:rPr>
            </w:pPr>
            <w:r>
              <w:rPr>
                <w:spacing w:val="3"/>
                <w:sz w:val="21"/>
                <w:szCs w:val="21"/>
              </w:rPr>
              <w:t>后续检定</w:t>
            </w:r>
          </w:p>
        </w:tc>
        <w:tc>
          <w:tcPr>
            <w:tcW w:w="1843" w:type="dxa"/>
            <w:vAlign w:val="top"/>
          </w:tcPr>
          <w:p>
            <w:pPr>
              <w:pStyle w:val="TableText"/>
              <w:spacing w:before="103" w:line="219" w:lineRule="auto"/>
              <w:ind w:left="388"/>
              <w:rPr>
                <w:sz w:val="21"/>
                <w:szCs w:val="21"/>
              </w:rPr>
            </w:pPr>
            <w:r>
              <w:rPr>
                <w:spacing w:val="-2"/>
                <w:sz w:val="21"/>
                <w:szCs w:val="21"/>
              </w:rPr>
              <w:t>使用中检验</w:t>
            </w:r>
          </w:p>
        </w:tc>
      </w:tr>
      <w:tr>
        <w:tblPrEx>
          <w:tblW w:w="9250" w:type="dxa"/>
          <w:tblInd w:w="29" w:type="dxa"/>
          <w:tblLayout w:type="fixed"/>
        </w:tblPrEx>
        <w:trPr>
          <w:trHeight w:val="408"/>
        </w:trPr>
        <w:tc>
          <w:tcPr>
            <w:tcW w:w="844" w:type="dxa"/>
            <w:vAlign w:val="top"/>
          </w:tcPr>
          <w:p>
            <w:pPr>
              <w:rPr>
                <w:rFonts w:ascii="Arial"/>
                <w:sz w:val="21"/>
              </w:rPr>
            </w:pPr>
          </w:p>
        </w:tc>
        <w:tc>
          <w:tcPr>
            <w:tcW w:w="2537" w:type="dxa"/>
            <w:vAlign w:val="top"/>
          </w:tcPr>
          <w:p>
            <w:pPr>
              <w:pStyle w:val="TableText"/>
              <w:spacing w:before="99" w:line="219" w:lineRule="auto"/>
              <w:ind w:left="841"/>
              <w:rPr>
                <w:sz w:val="21"/>
                <w:szCs w:val="21"/>
              </w:rPr>
            </w:pPr>
            <w:r>
              <w:rPr>
                <w:spacing w:val="2"/>
                <w:sz w:val="21"/>
                <w:szCs w:val="21"/>
              </w:rPr>
              <w:t>随机文件</w:t>
            </w:r>
          </w:p>
        </w:tc>
        <w:tc>
          <w:tcPr>
            <w:tcW w:w="2028" w:type="dxa"/>
            <w:vAlign w:val="top"/>
          </w:tcPr>
          <w:p>
            <w:pPr>
              <w:pStyle w:val="TableText"/>
              <w:spacing w:before="144" w:line="227" w:lineRule="exact"/>
              <w:ind w:left="964"/>
              <w:rPr>
                <w:sz w:val="16"/>
                <w:szCs w:val="16"/>
              </w:rPr>
            </w:pPr>
            <w:r>
              <w:rPr>
                <w:position w:val="1"/>
                <w:sz w:val="16"/>
                <w:szCs w:val="16"/>
              </w:rPr>
              <w:t>+</w:t>
            </w:r>
          </w:p>
        </w:tc>
        <w:tc>
          <w:tcPr>
            <w:tcW w:w="1998" w:type="dxa"/>
            <w:vAlign w:val="top"/>
          </w:tcPr>
          <w:p>
            <w:pPr>
              <w:pStyle w:val="TableText"/>
              <w:spacing w:before="129" w:line="221" w:lineRule="auto"/>
              <w:ind w:left="916"/>
              <w:rPr>
                <w:sz w:val="16"/>
                <w:szCs w:val="16"/>
              </w:rPr>
            </w:pPr>
            <w:r>
              <w:rPr>
                <w:sz w:val="16"/>
                <w:szCs w:val="16"/>
              </w:rPr>
              <w:t>十</w:t>
            </w:r>
          </w:p>
        </w:tc>
        <w:tc>
          <w:tcPr>
            <w:tcW w:w="1843" w:type="dxa"/>
            <w:vAlign w:val="top"/>
          </w:tcPr>
          <w:p>
            <w:pPr>
              <w:pStyle w:val="TableText"/>
              <w:spacing w:before="144" w:line="227" w:lineRule="exact"/>
              <w:ind w:left="878"/>
              <w:rPr>
                <w:sz w:val="16"/>
                <w:szCs w:val="16"/>
              </w:rPr>
            </w:pPr>
            <w:r>
              <w:rPr>
                <w:position w:val="1"/>
                <w:sz w:val="16"/>
                <w:szCs w:val="16"/>
              </w:rPr>
              <w:t>+</w:t>
            </w:r>
          </w:p>
        </w:tc>
      </w:tr>
      <w:tr>
        <w:tblPrEx>
          <w:tblW w:w="9250" w:type="dxa"/>
          <w:tblInd w:w="29" w:type="dxa"/>
          <w:tblLayout w:type="fixed"/>
        </w:tblPrEx>
        <w:trPr>
          <w:trHeight w:val="408"/>
        </w:trPr>
        <w:tc>
          <w:tcPr>
            <w:tcW w:w="844" w:type="dxa"/>
            <w:vAlign w:val="top"/>
          </w:tcPr>
          <w:p>
            <w:pPr>
              <w:pStyle w:val="TableText"/>
              <w:spacing w:before="156" w:line="183" w:lineRule="auto"/>
              <w:ind w:left="355"/>
              <w:rPr>
                <w:sz w:val="21"/>
                <w:szCs w:val="21"/>
              </w:rPr>
            </w:pPr>
            <w:r>
              <w:rPr>
                <w:sz w:val="21"/>
                <w:szCs w:val="21"/>
              </w:rPr>
              <w:t>2</w:t>
            </w:r>
          </w:p>
        </w:tc>
        <w:tc>
          <w:tcPr>
            <w:tcW w:w="2537" w:type="dxa"/>
            <w:vAlign w:val="top"/>
          </w:tcPr>
          <w:p>
            <w:pPr>
              <w:pStyle w:val="TableText"/>
              <w:spacing w:before="102" w:line="219" w:lineRule="auto"/>
              <w:ind w:left="841"/>
              <w:rPr>
                <w:sz w:val="21"/>
                <w:szCs w:val="21"/>
              </w:rPr>
            </w:pPr>
            <w:r>
              <w:rPr>
                <w:spacing w:val="2"/>
                <w:sz w:val="21"/>
                <w:szCs w:val="21"/>
              </w:rPr>
              <w:t>外观检查</w:t>
            </w:r>
          </w:p>
        </w:tc>
        <w:tc>
          <w:tcPr>
            <w:tcW w:w="2028" w:type="dxa"/>
            <w:vAlign w:val="top"/>
          </w:tcPr>
          <w:p>
            <w:pPr>
              <w:pStyle w:val="TableText"/>
              <w:spacing w:before="131" w:line="221" w:lineRule="auto"/>
              <w:ind w:left="924"/>
              <w:rPr>
                <w:sz w:val="16"/>
                <w:szCs w:val="16"/>
              </w:rPr>
            </w:pPr>
            <w:r>
              <w:rPr>
                <w:sz w:val="16"/>
                <w:szCs w:val="16"/>
              </w:rPr>
              <w:t>十</w:t>
            </w:r>
          </w:p>
        </w:tc>
        <w:tc>
          <w:tcPr>
            <w:tcW w:w="1998" w:type="dxa"/>
            <w:vAlign w:val="top"/>
          </w:tcPr>
          <w:p>
            <w:pPr>
              <w:pStyle w:val="TableText"/>
              <w:spacing w:before="131" w:line="221" w:lineRule="auto"/>
              <w:ind w:left="916"/>
              <w:rPr>
                <w:sz w:val="16"/>
                <w:szCs w:val="16"/>
              </w:rPr>
            </w:pPr>
            <w:r>
              <w:rPr>
                <w:sz w:val="16"/>
                <w:szCs w:val="16"/>
              </w:rPr>
              <w:t>十</w:t>
            </w:r>
          </w:p>
        </w:tc>
        <w:tc>
          <w:tcPr>
            <w:tcW w:w="1843" w:type="dxa"/>
            <w:vAlign w:val="top"/>
          </w:tcPr>
          <w:p>
            <w:pPr>
              <w:pStyle w:val="TableText"/>
              <w:spacing w:before="146" w:line="226" w:lineRule="exact"/>
              <w:ind w:left="878"/>
              <w:rPr>
                <w:sz w:val="16"/>
                <w:szCs w:val="16"/>
              </w:rPr>
            </w:pPr>
            <w:r>
              <w:rPr>
                <w:position w:val="1"/>
                <w:sz w:val="16"/>
                <w:szCs w:val="16"/>
              </w:rPr>
              <w:t>+</w:t>
            </w:r>
          </w:p>
        </w:tc>
      </w:tr>
      <w:tr>
        <w:tblPrEx>
          <w:tblW w:w="9250" w:type="dxa"/>
          <w:tblInd w:w="29" w:type="dxa"/>
          <w:tblLayout w:type="fixed"/>
        </w:tblPrEx>
        <w:trPr>
          <w:trHeight w:val="398"/>
        </w:trPr>
        <w:tc>
          <w:tcPr>
            <w:tcW w:w="844" w:type="dxa"/>
            <w:vAlign w:val="top"/>
          </w:tcPr>
          <w:p>
            <w:pPr>
              <w:pStyle w:val="TableText"/>
              <w:spacing w:before="158" w:line="183" w:lineRule="auto"/>
              <w:ind w:left="355"/>
              <w:rPr>
                <w:sz w:val="21"/>
                <w:szCs w:val="21"/>
              </w:rPr>
            </w:pPr>
            <w:r>
              <w:rPr>
                <w:sz w:val="21"/>
                <w:szCs w:val="21"/>
              </w:rPr>
              <w:t>3</w:t>
            </w:r>
          </w:p>
        </w:tc>
        <w:tc>
          <w:tcPr>
            <w:tcW w:w="2537" w:type="dxa"/>
            <w:vAlign w:val="top"/>
          </w:tcPr>
          <w:p>
            <w:pPr>
              <w:pStyle w:val="TableText"/>
              <w:spacing w:before="104" w:line="219" w:lineRule="auto"/>
              <w:ind w:left="521"/>
              <w:rPr>
                <w:sz w:val="21"/>
                <w:szCs w:val="21"/>
              </w:rPr>
            </w:pPr>
            <w:r>
              <w:rPr>
                <w:spacing w:val="1"/>
                <w:sz w:val="21"/>
                <w:szCs w:val="21"/>
              </w:rPr>
              <w:t>示值误差、回差</w:t>
            </w:r>
          </w:p>
        </w:tc>
        <w:tc>
          <w:tcPr>
            <w:tcW w:w="2028" w:type="dxa"/>
            <w:vAlign w:val="top"/>
          </w:tcPr>
          <w:p>
            <w:pPr>
              <w:pStyle w:val="TableText"/>
              <w:spacing w:before="138" w:line="227" w:lineRule="exact"/>
              <w:ind w:left="964"/>
              <w:rPr>
                <w:sz w:val="16"/>
                <w:szCs w:val="16"/>
              </w:rPr>
            </w:pPr>
            <w:r>
              <w:rPr>
                <w:position w:val="1"/>
                <w:sz w:val="16"/>
                <w:szCs w:val="16"/>
              </w:rPr>
              <w:t>+</w:t>
            </w:r>
          </w:p>
        </w:tc>
        <w:tc>
          <w:tcPr>
            <w:tcW w:w="1998" w:type="dxa"/>
            <w:vAlign w:val="top"/>
          </w:tcPr>
          <w:p>
            <w:pPr>
              <w:pStyle w:val="TableText"/>
              <w:spacing w:before="138" w:line="227" w:lineRule="exact"/>
              <w:ind w:left="956"/>
              <w:rPr>
                <w:sz w:val="16"/>
                <w:szCs w:val="16"/>
              </w:rPr>
            </w:pPr>
            <w:r>
              <w:rPr>
                <w:position w:val="1"/>
                <w:sz w:val="16"/>
                <w:szCs w:val="16"/>
              </w:rPr>
              <w:t>+</w:t>
            </w:r>
          </w:p>
        </w:tc>
        <w:tc>
          <w:tcPr>
            <w:tcW w:w="1843" w:type="dxa"/>
            <w:vAlign w:val="top"/>
          </w:tcPr>
          <w:p>
            <w:pPr>
              <w:rPr>
                <w:rFonts w:ascii="Arial"/>
                <w:sz w:val="21"/>
              </w:rPr>
            </w:pPr>
          </w:p>
        </w:tc>
      </w:tr>
      <w:tr>
        <w:tblPrEx>
          <w:tblW w:w="9250" w:type="dxa"/>
          <w:tblInd w:w="29" w:type="dxa"/>
          <w:tblLayout w:type="fixed"/>
        </w:tblPrEx>
        <w:trPr>
          <w:trHeight w:val="413"/>
        </w:trPr>
        <w:tc>
          <w:tcPr>
            <w:tcW w:w="9250" w:type="dxa"/>
            <w:gridSpan w:val="5"/>
            <w:vAlign w:val="top"/>
          </w:tcPr>
          <w:p>
            <w:pPr>
              <w:pStyle w:val="TableText"/>
              <w:spacing w:before="106" w:line="219" w:lineRule="auto"/>
              <w:ind w:left="564"/>
              <w:rPr>
                <w:sz w:val="21"/>
                <w:szCs w:val="21"/>
              </w:rPr>
            </w:pPr>
            <w:r>
              <w:rPr>
                <w:spacing w:val="-1"/>
                <w:sz w:val="21"/>
                <w:szCs w:val="21"/>
              </w:rPr>
              <w:t>注：“+”表示需检项目；“-”可不检项目。</w:t>
            </w:r>
          </w:p>
        </w:tc>
      </w:tr>
    </w:tbl>
    <w:p>
      <w:pPr>
        <w:spacing w:line="305" w:lineRule="auto"/>
        <w:rPr>
          <w:rFonts w:ascii="Arial"/>
          <w:sz w:val="21"/>
        </w:rPr>
      </w:pPr>
    </w:p>
    <w:p>
      <w:pPr>
        <w:pStyle w:val="BodyText"/>
        <w:spacing w:before="78" w:line="219" w:lineRule="auto"/>
        <w:ind w:left="60"/>
      </w:pPr>
      <w:r>
        <w:rPr>
          <w:spacing w:val="1"/>
        </w:rPr>
        <w:t>7.3</w:t>
      </w:r>
      <w:r>
        <w:rPr>
          <w:spacing w:val="110"/>
        </w:rPr>
        <w:t xml:space="preserve"> </w:t>
      </w:r>
      <w:r>
        <w:rPr>
          <w:spacing w:val="1"/>
        </w:rPr>
        <w:t>检定方法</w:t>
      </w:r>
    </w:p>
    <w:p>
      <w:pPr>
        <w:pStyle w:val="BodyText"/>
        <w:spacing w:before="73" w:line="219" w:lineRule="auto"/>
        <w:ind w:left="39"/>
      </w:pPr>
      <w:r>
        <w:rPr>
          <w:spacing w:val="-1"/>
        </w:rPr>
        <w:t>7.3.1  随机文件</w:t>
      </w:r>
    </w:p>
    <w:p>
      <w:pPr>
        <w:pStyle w:val="BodyText"/>
        <w:spacing w:before="75" w:line="219" w:lineRule="auto"/>
        <w:ind w:left="540"/>
      </w:pPr>
      <w:r>
        <w:rPr>
          <w:spacing w:val="5"/>
        </w:rPr>
        <w:t>检查流量计的随机文件，其结果应符合6.2的要求。</w:t>
      </w:r>
    </w:p>
    <w:p>
      <w:pPr>
        <w:pStyle w:val="BodyText"/>
        <w:spacing w:before="96" w:line="219" w:lineRule="auto"/>
        <w:ind w:left="50"/>
      </w:pPr>
      <w:r>
        <w:rPr>
          <w:spacing w:val="1"/>
        </w:rPr>
        <w:t>7.3.2  外观检查</w:t>
      </w:r>
    </w:p>
    <w:p>
      <w:pPr>
        <w:pStyle w:val="BodyText"/>
        <w:spacing w:before="65" w:line="370" w:lineRule="exact"/>
        <w:ind w:left="540"/>
      </w:pPr>
      <w:r>
        <w:rPr>
          <w:spacing w:val="4"/>
          <w:position w:val="9"/>
        </w:rPr>
        <w:t>用目测的方法检查流量计的外观，其结果应符合6.3的要求。</w:t>
      </w:r>
    </w:p>
    <w:p>
      <w:pPr>
        <w:pStyle w:val="BodyText"/>
        <w:spacing w:line="219" w:lineRule="auto"/>
        <w:ind w:left="60"/>
      </w:pPr>
      <w:r>
        <w:rPr>
          <w:spacing w:val="1"/>
        </w:rPr>
        <w:t>7.3.3  运行前检查</w:t>
      </w:r>
    </w:p>
    <w:p>
      <w:pPr>
        <w:pStyle w:val="BodyText"/>
        <w:spacing w:before="85" w:line="219" w:lineRule="auto"/>
        <w:ind w:left="540"/>
      </w:pPr>
      <w:r>
        <w:rPr>
          <w:spacing w:val="6"/>
        </w:rPr>
        <w:t>将流量计安装在流量标准装置上，其结果应符合7.1.5的要</w:t>
      </w:r>
      <w:r>
        <w:rPr>
          <w:spacing w:val="5"/>
        </w:rPr>
        <w:t>求。</w:t>
      </w:r>
    </w:p>
    <w:p>
      <w:pPr>
        <w:pStyle w:val="BodyText"/>
        <w:spacing w:before="86" w:line="219" w:lineRule="auto"/>
        <w:ind w:left="50"/>
      </w:pPr>
      <w:r>
        <w:rPr>
          <w:spacing w:val="1"/>
        </w:rPr>
        <w:t>7.3.4  检定流量点</w:t>
      </w:r>
    </w:p>
    <w:p>
      <w:pPr>
        <w:pStyle w:val="BodyText"/>
        <w:spacing w:before="74" w:line="252" w:lineRule="auto"/>
        <w:ind w:left="80" w:right="40" w:firstLine="460"/>
      </w:pPr>
      <w:r>
        <w:rPr>
          <w:spacing w:val="1"/>
        </w:rPr>
        <w:t>在流量计的流量范围内，</w:t>
      </w:r>
      <w:r>
        <w:rPr>
          <w:spacing w:val="73"/>
        </w:rPr>
        <w:t xml:space="preserve"> </w:t>
      </w:r>
      <w:r>
        <w:rPr>
          <w:spacing w:val="1"/>
        </w:rPr>
        <w:t>一般应选择包括上限流量和下限流量在</w:t>
      </w:r>
      <w:r>
        <w:t xml:space="preserve">内的5个均匀分布 </w:t>
      </w:r>
      <w:r>
        <w:rPr>
          <w:spacing w:val="-5"/>
        </w:rPr>
        <w:t>流量点进行检定。</w:t>
      </w:r>
    </w:p>
    <w:p>
      <w:pPr>
        <w:pStyle w:val="BodyText"/>
        <w:spacing w:before="86" w:line="219" w:lineRule="auto"/>
        <w:ind w:left="70"/>
      </w:pPr>
      <w:r>
        <w:t>7.3.5</w:t>
      </w:r>
      <w:r>
        <w:rPr>
          <w:spacing w:val="109"/>
        </w:rPr>
        <w:t xml:space="preserve"> </w:t>
      </w:r>
      <w:r>
        <w:t>检定次数</w:t>
      </w:r>
    </w:p>
    <w:p>
      <w:pPr>
        <w:pStyle w:val="BodyText"/>
        <w:spacing w:before="44" w:line="260" w:lineRule="auto"/>
        <w:ind w:left="60" w:right="44" w:firstLine="489"/>
      </w:pPr>
      <w:r>
        <w:rPr>
          <w:spacing w:val="6"/>
        </w:rPr>
        <w:t>每一流量点的检定次数为2次。金属管流量计和带有导杆的玻</w:t>
      </w:r>
      <w:r>
        <w:rPr>
          <w:spacing w:val="5"/>
        </w:rPr>
        <w:t>璃管流量计作正、反</w:t>
      </w:r>
      <w:r>
        <w:t xml:space="preserve"> </w:t>
      </w:r>
      <w:r>
        <w:rPr>
          <w:spacing w:val="6"/>
        </w:rPr>
        <w:t>行程的检定，正、反行程的检定次数不少于2次。</w:t>
      </w:r>
    </w:p>
    <w:p>
      <w:pPr>
        <w:pStyle w:val="BodyText"/>
        <w:spacing w:before="105" w:line="219" w:lineRule="auto"/>
        <w:ind w:left="70"/>
      </w:pPr>
      <w:r>
        <w:rPr>
          <w:spacing w:val="2"/>
        </w:rPr>
        <w:t>7.3.6</w:t>
      </w:r>
      <w:r>
        <w:rPr>
          <w:spacing w:val="106"/>
        </w:rPr>
        <w:t xml:space="preserve"> </w:t>
      </w:r>
      <w:r>
        <w:rPr>
          <w:spacing w:val="2"/>
        </w:rPr>
        <w:t>示值误差和回差检定</w:t>
      </w:r>
    </w:p>
    <w:p>
      <w:pPr>
        <w:pStyle w:val="BodyText"/>
        <w:spacing w:before="85" w:line="219" w:lineRule="auto"/>
        <w:ind w:left="50"/>
      </w:pPr>
      <w:hyperlink r:id="rId58" w:history="1">
        <w:r>
          <w:rPr>
            <w:spacing w:val="1"/>
          </w:rPr>
          <w:t>7.3.6.1</w:t>
        </w:r>
      </w:hyperlink>
      <w:r>
        <w:rPr>
          <w:spacing w:val="20"/>
        </w:rPr>
        <w:t xml:space="preserve">  </w:t>
      </w:r>
      <w:r>
        <w:rPr>
          <w:spacing w:val="1"/>
        </w:rPr>
        <w:t>示值误差检定</w:t>
      </w:r>
    </w:p>
    <w:p>
      <w:pPr>
        <w:pStyle w:val="BodyText"/>
        <w:spacing w:before="54" w:line="272" w:lineRule="auto"/>
        <w:ind w:left="50" w:right="12" w:firstLine="499"/>
        <w:jc w:val="both"/>
      </w:pPr>
      <w:r>
        <w:rPr>
          <w:spacing w:val="3"/>
        </w:rPr>
        <w:t>示值误差检定的方法可以是容积法、称重法和标准表法。检定时应缓慢地打开流量</w:t>
      </w:r>
      <w:r>
        <w:rPr>
          <w:spacing w:val="10"/>
        </w:rPr>
        <w:t xml:space="preserve"> </w:t>
      </w:r>
      <w:r>
        <w:rPr>
          <w:spacing w:val="4"/>
        </w:rPr>
        <w:t>调节阀，让流体流过流量计，待流体状态和浮子隐定后开</w:t>
      </w:r>
      <w:r>
        <w:rPr>
          <w:spacing w:val="3"/>
        </w:rPr>
        <w:t>始进行检定。检定液体流量计</w:t>
      </w:r>
      <w:r>
        <w:t xml:space="preserve"> </w:t>
      </w:r>
      <w:r>
        <w:rPr>
          <w:spacing w:val="4"/>
        </w:rPr>
        <w:t>时，应排除管道内和附着在浮子周边的气泡后方可开始</w:t>
      </w:r>
      <w:r>
        <w:rPr>
          <w:spacing w:val="3"/>
        </w:rPr>
        <w:t>检定。检定时，应尽可能使用流</w:t>
      </w:r>
      <w:r>
        <w:t xml:space="preserve"> </w:t>
      </w:r>
      <w:r>
        <w:rPr>
          <w:spacing w:val="4"/>
        </w:rPr>
        <w:t>量计下游阀门调节流量。特别是在检定气体流量计或用挥</w:t>
      </w:r>
      <w:r>
        <w:rPr>
          <w:spacing w:val="3"/>
        </w:rPr>
        <w:t>发性液体作检定介质时，更应</w:t>
      </w:r>
      <w:r>
        <w:t xml:space="preserve"> </w:t>
      </w:r>
      <w:r>
        <w:rPr>
          <w:spacing w:val="-2"/>
        </w:rPr>
        <w:t>在下游调节流量。</w:t>
      </w:r>
    </w:p>
    <w:p>
      <w:pPr>
        <w:pStyle w:val="BodyText"/>
        <w:spacing w:before="73" w:line="368" w:lineRule="exact"/>
        <w:ind w:left="579"/>
      </w:pPr>
      <w:r>
        <w:rPr>
          <w:spacing w:val="10"/>
          <w:position w:val="9"/>
        </w:rPr>
        <w:t>(1)液体流量计的检定</w:t>
      </w:r>
    </w:p>
    <w:p>
      <w:pPr>
        <w:pStyle w:val="BodyText"/>
        <w:spacing w:line="217" w:lineRule="auto"/>
        <w:ind w:left="569"/>
        <w:sectPr>
          <w:headerReference w:type="default" r:id="rId59"/>
          <w:footerReference w:type="default" r:id="rId60"/>
          <w:pgSz w:w="11750" w:h="16650"/>
          <w:pgMar w:top="1800" w:right="916" w:bottom="857" w:left="1509" w:header="1556" w:footer="690" w:gutter="0"/>
          <w:pgNumType w:start="15"/>
          <w:cols w:num="1" w:space="708" w:equalWidth="0">
            <w:col w:w="9324" w:space="0"/>
          </w:cols>
        </w:sectPr>
      </w:pPr>
      <w:r>
        <w:rPr>
          <w:spacing w:val="-2"/>
        </w:rPr>
        <w:t>①容积法</w:t>
      </w:r>
    </w:p>
    <w:p>
      <w:pPr>
        <w:pStyle w:val="BodyText"/>
        <w:spacing w:before="50" w:line="265" w:lineRule="auto"/>
        <w:ind w:left="80" w:firstLine="469"/>
        <w:jc w:val="both"/>
      </w:pPr>
      <w:r>
        <w:rPr>
          <w:spacing w:val="3"/>
        </w:rPr>
        <w:t>按流量装置操作规程调节流量，使浮子升到预定检定流量，待稳定后操作换向器换</w:t>
      </w:r>
      <w:r>
        <w:rPr>
          <w:spacing w:val="11"/>
        </w:rPr>
        <w:t xml:space="preserve"> </w:t>
      </w:r>
      <w:r>
        <w:rPr>
          <w:spacing w:val="10"/>
        </w:rPr>
        <w:t>向，使检定介质流入选定的工作量器，当到达预定时间或预</w:t>
      </w:r>
      <w:r>
        <w:rPr>
          <w:spacing w:val="9"/>
        </w:rPr>
        <w:t>定体积时，换向器再次换</w:t>
      </w:r>
      <w:r>
        <w:t xml:space="preserve"> </w:t>
      </w:r>
      <w:r>
        <w:rPr>
          <w:spacing w:val="3"/>
        </w:rPr>
        <w:t>向，记录工作量器内的液体体积以及介质温度和本次测量时间，单次检定操作结束。按</w:t>
      </w:r>
    </w:p>
    <w:p>
      <w:pPr>
        <w:spacing w:line="110" w:lineRule="exact"/>
      </w:pPr>
    </w:p>
    <w:p>
      <w:pPr>
        <w:spacing w:line="110" w:lineRule="exact"/>
        <w:sectPr>
          <w:headerReference w:type="default" r:id="rId61"/>
          <w:footerReference w:type="default" r:id="rId62"/>
          <w:type w:val="nextPage"/>
          <w:pgSz w:w="11750" w:h="16650"/>
          <w:pgMar w:top="1800" w:right="916" w:bottom="857" w:left="1509" w:header="1556" w:footer="690" w:gutter="0"/>
          <w:pgNumType w:start="16"/>
          <w:cols w:num="1" w:space="708" w:equalWidth="0">
            <w:col w:w="9324" w:space="0"/>
          </w:cols>
          <w:titlePg w:val="0"/>
        </w:sectPr>
      </w:pPr>
    </w:p>
    <w:p>
      <w:pPr>
        <w:pStyle w:val="BodyText"/>
        <w:spacing w:before="1" w:line="214" w:lineRule="auto"/>
        <w:ind w:left="90"/>
      </w:pPr>
      <w:r>
        <w:rPr>
          <w:spacing w:val="6"/>
        </w:rPr>
        <w:t>下式计算标准器测得的流量</w:t>
      </w:r>
      <w:r>
        <w:t>qv</w:t>
      </w:r>
      <w:r>
        <w:rPr>
          <w:spacing w:val="6"/>
        </w:rPr>
        <w:t>:</w:t>
      </w:r>
    </w:p>
    <w:p>
      <w:pPr>
        <w:spacing w:line="14" w:lineRule="auto"/>
        <w:rPr>
          <w:rFonts w:ascii="Arial"/>
          <w:sz w:val="2"/>
        </w:rPr>
      </w:pPr>
      <w:r>
        <w:rPr>
          <w:rFonts w:ascii="Arial" w:eastAsia="Arial" w:hAnsi="Arial" w:cs="Arial"/>
          <w:sz w:val="2"/>
          <w:szCs w:val="2"/>
        </w:rPr>
        <w:br w:type="column"/>
      </w:r>
    </w:p>
    <w:p>
      <w:pPr>
        <w:spacing w:line="383" w:lineRule="auto"/>
        <w:rPr>
          <w:rFonts w:ascii="Arial"/>
          <w:sz w:val="21"/>
        </w:rPr>
      </w:pPr>
    </w:p>
    <w:p>
      <w:pPr>
        <w:spacing w:line="500" w:lineRule="exact"/>
      </w:pPr>
      <w:r>
        <w:rPr>
          <w:position w:val="-9"/>
        </w:rPr>
        <w:drawing>
          <wp:inline distT="0" distB="0" distL="0" distR="0">
            <wp:extent cx="584215" cy="31749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63"/>
                    <a:stretch>
                      <a:fillRect/>
                    </a:stretch>
                  </pic:blipFill>
                  <pic:spPr>
                    <a:xfrm>
                      <a:off x="0" y="0"/>
                      <a:ext cx="584215" cy="317499"/>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418" w:lineRule="auto"/>
        <w:rPr>
          <w:rFonts w:ascii="Arial"/>
          <w:sz w:val="21"/>
        </w:rPr>
      </w:pPr>
    </w:p>
    <w:p>
      <w:pPr>
        <w:pStyle w:val="BodyText"/>
        <w:spacing w:before="79" w:line="222" w:lineRule="auto"/>
        <w:ind w:right="17"/>
        <w:jc w:val="right"/>
      </w:pPr>
      <w:r>
        <w:rPr>
          <w:spacing w:val="-12"/>
        </w:rPr>
        <w:t>(1)</w:t>
      </w:r>
    </w:p>
    <w:p>
      <w:pPr>
        <w:spacing w:line="222" w:lineRule="auto"/>
        <w:sectPr>
          <w:headerReference w:type="default" r:id="rId64"/>
          <w:footerReference w:type="default" r:id="rId65"/>
          <w:type w:val="continuous"/>
          <w:pgSz w:w="11750" w:h="16650"/>
          <w:pgMar w:top="1800" w:right="916" w:bottom="857" w:left="1509" w:header="1556" w:footer="690" w:gutter="0"/>
          <w:pgNumType w:start="17"/>
          <w:cols w:num="3" w:space="708" w:equalWidth="0">
            <w:col w:w="4170" w:space="100"/>
            <w:col w:w="4234" w:space="100"/>
            <w:col w:w="720" w:space="0"/>
          </w:cols>
        </w:sectPr>
      </w:pPr>
    </w:p>
    <w:p>
      <w:pPr>
        <w:pStyle w:val="BodyText"/>
        <w:spacing w:before="169" w:line="333" w:lineRule="exact"/>
        <w:ind w:left="80"/>
      </w:pPr>
      <w:r>
        <w:rPr>
          <w:spacing w:val="-6"/>
          <w:position w:val="6"/>
        </w:rPr>
        <w:t xml:space="preserve">式中： </w:t>
      </w:r>
      <w:r>
        <w:rPr>
          <w:rFonts w:ascii="Times New Roman" w:eastAsia="Times New Roman" w:hAnsi="Times New Roman" w:cs="Times New Roman"/>
          <w:spacing w:val="-6"/>
          <w:position w:val="6"/>
        </w:rPr>
        <w:t>V——</w:t>
      </w:r>
      <w:r>
        <w:rPr>
          <w:rFonts w:ascii="Times New Roman" w:eastAsia="Times New Roman" w:hAnsi="Times New Roman" w:cs="Times New Roman"/>
          <w:spacing w:val="5"/>
          <w:position w:val="6"/>
        </w:rPr>
        <w:t xml:space="preserve"> </w:t>
      </w:r>
      <w:r>
        <w:rPr>
          <w:spacing w:val="-6"/>
          <w:position w:val="6"/>
        </w:rPr>
        <w:t>流入工作量器内的液体体积；</w:t>
      </w:r>
    </w:p>
    <w:p>
      <w:pPr>
        <w:pStyle w:val="BodyText"/>
        <w:spacing w:before="1" w:line="184" w:lineRule="auto"/>
        <w:ind w:left="910"/>
      </w:pPr>
      <w:r>
        <w:rPr>
          <w:spacing w:val="3"/>
        </w:rPr>
        <w:t>t——流入时间.</w:t>
      </w:r>
    </w:p>
    <w:p>
      <w:pPr>
        <w:spacing w:line="184" w:lineRule="auto"/>
        <w:sectPr>
          <w:headerReference w:type="default" r:id="rId66"/>
          <w:footerReference w:type="default" r:id="rId67"/>
          <w:type w:val="continuous"/>
          <w:pgSz w:w="11750" w:h="16650"/>
          <w:pgMar w:top="1800" w:right="916" w:bottom="857" w:left="1509" w:header="1556" w:footer="690" w:gutter="0"/>
          <w:pgNumType w:start="18"/>
          <w:cols w:num="1" w:space="708" w:equalWidth="0">
            <w:col w:w="9324" w:space="0"/>
          </w:cols>
        </w:sectPr>
      </w:pPr>
    </w:p>
    <w:p>
      <w:pPr>
        <w:spacing w:line="176" w:lineRule="exact"/>
      </w:pPr>
      <w:r>
        <mc:AlternateContent>
          <mc:Choice Requires="wps">
            <w:drawing>
              <wp:anchor distT="0" distB="0" distL="0" distR="0" simplePos="0" relativeHeight="251669504" behindDoc="0" locked="0" layoutInCell="0" allowOverlap="1">
                <wp:simplePos x="0" y="0"/>
                <wp:positionH relativeFrom="page">
                  <wp:posOffset>5862067</wp:posOffset>
                </wp:positionH>
                <wp:positionV relativeFrom="page">
                  <wp:posOffset>5715535</wp:posOffset>
                </wp:positionV>
                <wp:extent cx="286384" cy="234315"/>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6200000">
                          <a:off x="5862067" y="5715535"/>
                          <a:ext cx="286384" cy="2343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0" w:line="183" w:lineRule="auto"/>
                              <w:ind w:left="20"/>
                              <w:rPr>
                                <w:sz w:val="28"/>
                                <w:szCs w:val="28"/>
                              </w:rPr>
                            </w:pPr>
                            <w:r>
                              <w:rPr>
                                <w:spacing w:val="-4"/>
                                <w:sz w:val="28"/>
                                <w:szCs w:val="28"/>
                              </w:rPr>
                              <w:t>JSE</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30" type="#_x0000_t202" style="width:22.55pt;height:18.45pt;margin-top:450.04pt;margin-left:461.58pt;mso-position-horizontal-relative:page;mso-position-vertical-relative:page;mso-wrap-distance-bottom:0;mso-wrap-distance-left:0;mso-wrap-distance-right:0;mso-wrap-distance-top:0;position:absolute;rotation:270;v-text-anchor:top;z-index:251668480" o:allowincell="f" filled="f" fillcolor="this" stroked="f">
                <v:textbox inset="0,0,0,0">
                  <w:txbxContent>
                    <w:p>
                      <w:pPr>
                        <w:pStyle w:val="BodyText"/>
                        <w:spacing w:before="70" w:line="183" w:lineRule="auto"/>
                        <w:ind w:left="20"/>
                        <w:rPr>
                          <w:sz w:val="28"/>
                          <w:szCs w:val="28"/>
                        </w:rPr>
                      </w:pPr>
                      <w:r>
                        <w:rPr>
                          <w:spacing w:val="-4"/>
                          <w:sz w:val="28"/>
                          <w:szCs w:val="28"/>
                        </w:rPr>
                        <w:t>JSE</w:t>
                      </w:r>
                    </w:p>
                  </w:txbxContent>
                </v:textbox>
              </v:shape>
            </w:pict>
          </mc:Fallback>
        </mc:AlternateContent>
      </w:r>
      <w:r>
        <w:drawing>
          <wp:anchor distT="0" distB="0" distL="0" distR="0" simplePos="0" relativeHeight="251667456" behindDoc="0" locked="0" layoutInCell="0" allowOverlap="1">
            <wp:simplePos x="0" y="0"/>
            <wp:positionH relativeFrom="page">
              <wp:posOffset>3225827</wp:posOffset>
            </wp:positionH>
            <wp:positionV relativeFrom="page">
              <wp:posOffset>3657634</wp:posOffset>
            </wp:positionV>
            <wp:extent cx="1682698" cy="1111259"/>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8"/>
                    <a:stretch>
                      <a:fillRect/>
                    </a:stretch>
                  </pic:blipFill>
                  <pic:spPr>
                    <a:xfrm>
                      <a:off x="0" y="0"/>
                      <a:ext cx="1682698" cy="1111259"/>
                    </a:xfrm>
                    <a:prstGeom prst="rect">
                      <a:avLst/>
                    </a:prstGeom>
                  </pic:spPr>
                </pic:pic>
              </a:graphicData>
            </a:graphic>
          </wp:anchor>
        </w:drawing>
      </w:r>
    </w:p>
    <w:p>
      <w:pPr>
        <w:spacing w:line="176" w:lineRule="exact"/>
        <w:sectPr>
          <w:headerReference w:type="default" r:id="rId69"/>
          <w:footerReference w:type="default" r:id="rId70"/>
          <w:pgSz w:w="12130" w:h="16910"/>
          <w:pgMar w:top="1849" w:right="1049" w:bottom="1039" w:left="1749" w:header="1623" w:footer="870" w:gutter="0"/>
          <w:pgNumType w:start="19"/>
          <w:cols w:num="1" w:space="708" w:equalWidth="0">
            <w:col w:w="9331" w:space="0"/>
          </w:cols>
        </w:sectPr>
      </w:pPr>
    </w:p>
    <w:p>
      <w:pPr>
        <w:pStyle w:val="BodyText"/>
        <w:spacing w:before="54" w:line="219" w:lineRule="auto"/>
        <w:ind w:left="40"/>
        <w:rPr>
          <w:sz w:val="27"/>
          <w:szCs w:val="27"/>
        </w:rPr>
      </w:pPr>
      <w:r>
        <w:rPr>
          <w:spacing w:val="-28"/>
          <w:sz w:val="27"/>
          <w:szCs w:val="27"/>
        </w:rPr>
        <w:t>换算到流过流量计的流量：</w:t>
      </w:r>
    </w:p>
    <w:p>
      <w:pPr>
        <w:spacing w:before="118" w:line="520" w:lineRule="exact"/>
        <w:ind w:firstLine="4029"/>
      </w:pPr>
      <w:r>
        <w:rPr>
          <w:position w:val="-10"/>
        </w:rPr>
        <w:drawing>
          <wp:inline distT="0" distB="0" distL="0" distR="0">
            <wp:extent cx="831875" cy="330296"/>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71"/>
                    <a:stretch>
                      <a:fillRect/>
                    </a:stretch>
                  </pic:blipFill>
                  <pic:spPr>
                    <a:xfrm>
                      <a:off x="0" y="0"/>
                      <a:ext cx="831875" cy="330296"/>
                    </a:xfrm>
                    <a:prstGeom prst="rect">
                      <a:avLst/>
                    </a:prstGeom>
                  </pic:spPr>
                </pic:pic>
              </a:graphicData>
            </a:graphic>
          </wp:inline>
        </w:drawing>
      </w:r>
    </w:p>
    <w:p>
      <w:pPr>
        <w:pStyle w:val="BodyText"/>
        <w:spacing w:before="100" w:line="229" w:lineRule="auto"/>
        <w:ind w:left="29" w:right="1017"/>
        <w:rPr>
          <w:rFonts w:ascii="Times New Roman" w:eastAsia="Times New Roman" w:hAnsi="Times New Roman" w:cs="Times New Roman"/>
          <w:sz w:val="27"/>
          <w:szCs w:val="27"/>
        </w:rPr>
      </w:pPr>
      <w:r>
        <w:rPr>
          <w:spacing w:val="-19"/>
          <w:sz w:val="27"/>
          <w:szCs w:val="27"/>
        </w:rPr>
        <w:t>式中：</w:t>
      </w:r>
      <w:r>
        <w:rPr>
          <w:rFonts w:ascii="Times New Roman" w:eastAsia="Times New Roman" w:hAnsi="Times New Roman" w:cs="Times New Roman"/>
          <w:spacing w:val="-19"/>
          <w:sz w:val="27"/>
          <w:szCs w:val="27"/>
        </w:rPr>
        <w:t>ps,pm——</w:t>
      </w:r>
      <w:r>
        <w:rPr>
          <w:spacing w:val="-19"/>
          <w:sz w:val="27"/>
          <w:szCs w:val="27"/>
        </w:rPr>
        <w:t>分别为标准器处和流量计处的液体密度。</w:t>
      </w:r>
      <w:r>
        <w:rPr>
          <w:spacing w:val="3"/>
          <w:sz w:val="27"/>
          <w:szCs w:val="27"/>
        </w:rPr>
        <w:t xml:space="preserve"> </w:t>
      </w:r>
      <w:r>
        <w:rPr>
          <w:spacing w:val="-19"/>
          <w:sz w:val="27"/>
          <w:szCs w:val="27"/>
        </w:rPr>
        <w:t>再换算到标准状态(即刻度状态)下的流量</w:t>
      </w:r>
      <w:r>
        <w:rPr>
          <w:rFonts w:ascii="Times New Roman" w:eastAsia="Times New Roman" w:hAnsi="Times New Roman" w:cs="Times New Roman"/>
          <w:spacing w:val="-20"/>
          <w:sz w:val="27"/>
          <w:szCs w:val="27"/>
        </w:rPr>
        <w:t>qy:</w:t>
      </w:r>
    </w:p>
    <w:p>
      <w:pPr>
        <w:spacing w:before="99" w:line="610" w:lineRule="exact"/>
        <w:ind w:firstLine="3339"/>
      </w:pPr>
      <w:r>
        <w:rPr>
          <w:position w:val="-12"/>
        </w:rPr>
        <w:drawing>
          <wp:inline distT="0" distB="0" distL="0" distR="0">
            <wp:extent cx="1651041" cy="387421"/>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72"/>
                    <a:stretch>
                      <a:fillRect/>
                    </a:stretch>
                  </pic:blipFill>
                  <pic:spPr>
                    <a:xfrm>
                      <a:off x="0" y="0"/>
                      <a:ext cx="1651041" cy="387421"/>
                    </a:xfrm>
                    <a:prstGeom prst="rect">
                      <a:avLst/>
                    </a:prstGeom>
                  </pic:spPr>
                </pic:pic>
              </a:graphicData>
            </a:graphic>
          </wp:inline>
        </w:drawing>
      </w:r>
    </w:p>
    <w:p>
      <w:pPr>
        <w:pStyle w:val="BodyText"/>
        <w:spacing w:before="71" w:line="235" w:lineRule="auto"/>
        <w:ind w:left="1229" w:right="337" w:hanging="1220"/>
        <w:rPr>
          <w:sz w:val="5"/>
          <w:szCs w:val="5"/>
        </w:rPr>
      </w:pPr>
      <w:r>
        <w:rPr>
          <w:spacing w:val="-28"/>
          <w:position w:val="-2"/>
          <w:sz w:val="27"/>
          <w:szCs w:val="27"/>
        </w:rPr>
        <w:t>式中：</w:t>
      </w:r>
      <w:r>
        <w:rPr>
          <w:spacing w:val="-62"/>
          <w:position w:val="-2"/>
          <w:sz w:val="27"/>
          <w:szCs w:val="27"/>
        </w:rPr>
        <w:t xml:space="preserve"> </w:t>
      </w:r>
      <w:r>
        <w:rPr>
          <w:spacing w:val="-28"/>
          <w:position w:val="-2"/>
          <w:sz w:val="27"/>
          <w:szCs w:val="27"/>
        </w:rPr>
        <w:t>pw,pr</w:t>
      </w:r>
      <w:r>
        <w:rPr>
          <w:spacing w:val="-52"/>
          <w:position w:val="-2"/>
          <w:sz w:val="27"/>
          <w:szCs w:val="27"/>
        </w:rPr>
        <w:t xml:space="preserve"> </w:t>
      </w:r>
      <w:r>
        <w:rPr>
          <w:strike/>
          <w:spacing w:val="-28"/>
          <w:position w:val="-2"/>
          <w:sz w:val="27"/>
          <w:szCs w:val="27"/>
        </w:rPr>
        <w:t xml:space="preserve">     </w:t>
      </w:r>
      <w:r>
        <w:rPr>
          <w:spacing w:val="-28"/>
          <w:sz w:val="27"/>
          <w:szCs w:val="27"/>
        </w:rPr>
        <w:t>分别为标准状态下液体密度和浮子材料的密度；</w:t>
      </w:r>
      <w:r>
        <w:rPr>
          <w:sz w:val="27"/>
          <w:szCs w:val="27"/>
        </w:rPr>
        <w:t xml:space="preserve"> </w:t>
      </w:r>
      <w:r>
        <w:rPr>
          <w:rFonts w:ascii="Times New Roman" w:eastAsia="Times New Roman" w:hAnsi="Times New Roman" w:cs="Times New Roman"/>
          <w:spacing w:val="-14"/>
          <w:sz w:val="27"/>
          <w:szCs w:val="27"/>
        </w:rPr>
        <w:t>pm——</w:t>
      </w:r>
      <w:r>
        <w:rPr>
          <w:spacing w:val="-14"/>
          <w:sz w:val="27"/>
          <w:szCs w:val="27"/>
        </w:rPr>
        <w:t xml:space="preserve">流量计处的液 </w:t>
      </w:r>
      <w:r>
        <w:rPr>
          <w:position w:val="-7"/>
          <w:sz w:val="27"/>
          <w:szCs w:val="27"/>
        </w:rPr>
        <w:drawing>
          <wp:inline distT="0" distB="0" distL="0" distR="0">
            <wp:extent cx="374651" cy="20315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73"/>
                    <a:stretch>
                      <a:fillRect/>
                    </a:stretch>
                  </pic:blipFill>
                  <pic:spPr>
                    <a:xfrm>
                      <a:off x="0" y="0"/>
                      <a:ext cx="374651" cy="203159"/>
                    </a:xfrm>
                    <a:prstGeom prst="rect">
                      <a:avLst/>
                    </a:prstGeom>
                  </pic:spPr>
                </pic:pic>
              </a:graphicData>
            </a:graphic>
          </wp:inline>
        </w:drawing>
      </w:r>
      <w:r>
        <w:rPr>
          <w:spacing w:val="5"/>
          <w:sz w:val="27"/>
          <w:szCs w:val="27"/>
        </w:rPr>
        <w:t xml:space="preserve"> </w:t>
      </w:r>
      <w:r>
        <w:rPr>
          <w:spacing w:val="3"/>
          <w:position w:val="9"/>
          <w:sz w:val="5"/>
          <w:szCs w:val="5"/>
        </w:rPr>
        <w:t>年</w:t>
      </w:r>
    </w:p>
    <w:p>
      <w:pPr>
        <w:pStyle w:val="BodyText"/>
        <w:spacing w:before="85" w:line="748" w:lineRule="exact"/>
        <w:ind w:left="49"/>
        <w:rPr>
          <w:sz w:val="27"/>
          <w:szCs w:val="27"/>
        </w:rPr>
      </w:pPr>
      <w:r>
        <w:rPr>
          <w:spacing w:val="-11"/>
          <w:position w:val="37"/>
          <w:sz w:val="27"/>
          <w:szCs w:val="27"/>
        </w:rPr>
        <w:t>由式(1)、(2)、(3):</w:t>
      </w:r>
    </w:p>
    <w:p>
      <w:pPr>
        <w:pStyle w:val="BodyText"/>
        <w:spacing w:line="219" w:lineRule="auto"/>
        <w:ind w:left="40"/>
        <w:rPr>
          <w:sz w:val="27"/>
          <w:szCs w:val="27"/>
        </w:rPr>
      </w:pPr>
      <w:r>
        <w:rPr>
          <w:spacing w:val="-27"/>
          <w:sz w:val="27"/>
          <w:szCs w:val="27"/>
        </w:rPr>
        <w:t>k</w:t>
      </w:r>
      <w:r>
        <w:rPr>
          <w:spacing w:val="-52"/>
          <w:sz w:val="27"/>
          <w:szCs w:val="27"/>
        </w:rPr>
        <w:t xml:space="preserve"> </w:t>
      </w:r>
      <w:r>
        <w:rPr>
          <w:spacing w:val="-27"/>
          <w:sz w:val="27"/>
          <w:szCs w:val="27"/>
        </w:rPr>
        <w:t>为修正系数，</w:t>
      </w:r>
    </w:p>
    <w:p>
      <w:pPr>
        <w:spacing w:line="322" w:lineRule="auto"/>
        <w:rPr>
          <w:rFonts w:ascii="Arial"/>
          <w:sz w:val="21"/>
        </w:rPr>
      </w:pPr>
    </w:p>
    <w:p>
      <w:pPr>
        <w:spacing w:line="322" w:lineRule="auto"/>
        <w:rPr>
          <w:rFonts w:ascii="Arial"/>
          <w:sz w:val="21"/>
        </w:rPr>
      </w:pPr>
    </w:p>
    <w:p>
      <w:pPr>
        <w:pStyle w:val="BodyText"/>
        <w:spacing w:before="89" w:line="217" w:lineRule="auto"/>
        <w:ind w:left="499"/>
        <w:rPr>
          <w:sz w:val="27"/>
          <w:szCs w:val="27"/>
        </w:rPr>
      </w:pPr>
      <w:r>
        <w:rPr>
          <w:spacing w:val="-19"/>
          <w:w w:val="97"/>
          <w:sz w:val="27"/>
          <w:szCs w:val="27"/>
        </w:rPr>
        <w:t>②质量法</w:t>
      </w:r>
    </w:p>
    <w:p>
      <w:pPr>
        <w:pStyle w:val="BodyText"/>
        <w:spacing w:before="17" w:line="159" w:lineRule="auto"/>
        <w:jc w:val="right"/>
        <w:rPr>
          <w:sz w:val="34"/>
          <w:szCs w:val="34"/>
        </w:rPr>
      </w:pPr>
      <w:r>
        <w:rPr>
          <w:spacing w:val="-28"/>
          <w:position w:val="2"/>
          <w:sz w:val="25"/>
          <w:szCs w:val="25"/>
        </w:rPr>
        <w:t>液体质量法个忍操作与容</w:t>
      </w:r>
      <w:r>
        <w:rPr>
          <w:spacing w:val="-27"/>
          <w:position w:val="2"/>
          <w:sz w:val="25"/>
          <w:szCs w:val="25"/>
        </w:rPr>
        <w:t xml:space="preserve">积法相同。        </w:t>
      </w:r>
      <w:r>
        <w:rPr>
          <w:spacing w:val="-27"/>
          <w:position w:val="-3"/>
          <w:sz w:val="34"/>
          <w:szCs w:val="34"/>
        </w:rPr>
        <w:t>是作结束后，记</w:t>
      </w:r>
      <w:r>
        <w:rPr>
          <w:spacing w:val="-16"/>
          <w:position w:val="-3"/>
          <w:sz w:val="34"/>
          <w:szCs w:val="34"/>
        </w:rPr>
        <w:t>录</w:t>
      </w:r>
    </w:p>
    <w:p>
      <w:pPr>
        <w:pStyle w:val="BodyText"/>
        <w:spacing w:before="1" w:line="192" w:lineRule="auto"/>
        <w:ind w:left="29"/>
        <w:rPr>
          <w:rFonts w:ascii="Times New Roman" w:eastAsia="Times New Roman" w:hAnsi="Times New Roman" w:cs="Times New Roman"/>
          <w:sz w:val="44"/>
          <w:szCs w:val="44"/>
        </w:rPr>
      </w:pPr>
      <w:r>
        <w:rPr>
          <w:spacing w:val="-31"/>
          <w:w w:val="65"/>
          <w:sz w:val="44"/>
          <w:szCs w:val="44"/>
        </w:rPr>
        <w:t>质量，以及介质  和本次测量时间，按下武计算装置测得的流量</w:t>
      </w:r>
      <w:r>
        <w:rPr>
          <w:rFonts w:ascii="Times New Roman" w:eastAsia="Times New Roman" w:hAnsi="Times New Roman" w:cs="Times New Roman"/>
          <w:spacing w:val="-31"/>
          <w:w w:val="65"/>
          <w:sz w:val="44"/>
          <w:szCs w:val="44"/>
        </w:rPr>
        <w:t>q</w:t>
      </w:r>
    </w:p>
    <w:p>
      <w:pPr>
        <w:rPr>
          <w:rFonts w:ascii="Arial"/>
          <w:sz w:val="21"/>
        </w:rPr>
      </w:pPr>
    </w:p>
    <w:p>
      <w:pPr>
        <w:rPr>
          <w:rFonts w:ascii="Arial"/>
          <w:sz w:val="21"/>
        </w:rPr>
      </w:pPr>
    </w:p>
    <w:p>
      <w:pPr>
        <w:pStyle w:val="BodyText"/>
        <w:spacing w:before="130" w:line="199" w:lineRule="auto"/>
        <w:ind w:left="9"/>
        <w:rPr>
          <w:sz w:val="39"/>
          <w:szCs w:val="39"/>
        </w:rPr>
      </w:pPr>
      <w:r>
        <w:pict>
          <v:shape id="_x0000_s1031" type="#_x0000_t202" style="width:13.85pt;height:10.3pt;margin-top:1.56pt;margin-left:229pt;position:absolute;z-index:251670528" filled="f" stroked="f">
            <o:lock v:ext="edit" aspectratio="f"/>
            <v:textbox inset="0,0,0,0">
              <w:txbxContent>
                <w:p>
                  <w:pPr>
                    <w:spacing w:before="20" w:line="164"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3"/>
                      <w:sz w:val="21"/>
                      <w:szCs w:val="21"/>
                    </w:rPr>
                    <w:t>tos</w:t>
                  </w:r>
                </w:p>
              </w:txbxContent>
            </v:textbox>
          </v:shape>
        </w:pict>
      </w:r>
      <w:r>
        <w:rPr>
          <w:spacing w:val="-31"/>
          <w:w w:val="74"/>
          <w:sz w:val="40"/>
          <w:szCs w:val="40"/>
        </w:rPr>
        <w:t>式中：</w:t>
      </w:r>
      <w:r>
        <w:rPr>
          <w:rFonts w:ascii="Times New Roman" w:eastAsia="Times New Roman" w:hAnsi="Times New Roman" w:cs="Times New Roman"/>
          <w:spacing w:val="-31"/>
          <w:w w:val="74"/>
          <w:sz w:val="40"/>
          <w:szCs w:val="40"/>
        </w:rPr>
        <w:t>M—</w:t>
      </w:r>
      <w:r>
        <w:rPr>
          <w:spacing w:val="-31"/>
          <w:w w:val="74"/>
          <w:sz w:val="40"/>
          <w:szCs w:val="40"/>
        </w:rPr>
        <w:t>—</w:t>
      </w:r>
      <w:r>
        <w:rPr>
          <w:spacing w:val="-31"/>
          <w:w w:val="74"/>
          <w:sz w:val="39"/>
          <w:szCs w:val="39"/>
        </w:rPr>
        <w:t>装電的质量指示值；</w:t>
      </w:r>
    </w:p>
    <w:p>
      <w:pPr>
        <w:pStyle w:val="BodyText"/>
        <w:spacing w:before="1" w:line="185" w:lineRule="auto"/>
        <w:ind w:left="770"/>
        <w:rPr>
          <w:sz w:val="32"/>
          <w:szCs w:val="32"/>
        </w:rPr>
      </w:pPr>
      <w:r>
        <w:rPr>
          <w:spacing w:val="-32"/>
          <w:w w:val="91"/>
          <w:sz w:val="32"/>
          <w:szCs w:val="32"/>
        </w:rPr>
        <w:t xml:space="preserve">Ps——称 </w:t>
      </w:r>
      <w:r>
        <w:rPr>
          <w:rFonts w:ascii="STCaiyun" w:eastAsia="STCaiyun" w:hAnsi="STCaiyun" w:cs="STCaiyun"/>
          <w:spacing w:val="-32"/>
          <w:w w:val="91"/>
          <w:sz w:val="32"/>
          <w:szCs w:val="32"/>
        </w:rPr>
        <w:t>容</w:t>
      </w:r>
      <w:r>
        <w:rPr>
          <w:rFonts w:ascii="LiSu" w:eastAsia="LiSu" w:hAnsi="LiSu" w:cs="LiSu"/>
          <w:spacing w:val="-32"/>
          <w:w w:val="91"/>
          <w:sz w:val="32"/>
          <w:szCs w:val="32"/>
        </w:rPr>
        <w:t>器</w:t>
      </w:r>
      <w:r>
        <w:rPr>
          <w:rFonts w:ascii="SimHei" w:eastAsia="SimHei" w:hAnsi="SimHei" w:cs="SimHei"/>
          <w:spacing w:val="-32"/>
          <w:w w:val="91"/>
          <w:sz w:val="32"/>
          <w:szCs w:val="32"/>
        </w:rPr>
        <w:t>内液体</w:t>
      </w:r>
      <w:r>
        <w:rPr>
          <w:spacing w:val="-32"/>
          <w:w w:val="91"/>
          <w:sz w:val="32"/>
          <w:szCs w:val="32"/>
        </w:rPr>
        <w:t>的密度；</w:t>
      </w:r>
    </w:p>
    <w:p>
      <w:pPr>
        <w:spacing w:line="14" w:lineRule="auto"/>
        <w:rPr>
          <w:rFonts w:ascii="Arial"/>
          <w:sz w:val="2"/>
        </w:rPr>
      </w:pPr>
      <w:r>
        <w:rPr>
          <w:rFonts w:ascii="Arial" w:eastAsia="Arial" w:hAnsi="Arial" w:cs="Arial"/>
          <w:sz w:val="2"/>
          <w:szCs w:val="2"/>
        </w:rPr>
        <w:br w:type="column"/>
      </w:r>
    </w:p>
    <w:p>
      <w:pPr>
        <w:spacing w:line="266" w:lineRule="auto"/>
        <w:rPr>
          <w:rFonts w:ascii="Arial"/>
          <w:sz w:val="21"/>
        </w:rPr>
      </w:pPr>
    </w:p>
    <w:p>
      <w:pPr>
        <w:spacing w:line="266" w:lineRule="auto"/>
        <w:rPr>
          <w:rFonts w:ascii="Arial"/>
          <w:sz w:val="21"/>
        </w:rPr>
      </w:pPr>
    </w:p>
    <w:p>
      <w:pPr>
        <w:pStyle w:val="BodyText"/>
        <w:spacing w:before="68" w:line="222" w:lineRule="auto"/>
        <w:ind w:left="1459"/>
        <w:rPr>
          <w:sz w:val="21"/>
          <w:szCs w:val="21"/>
        </w:rPr>
      </w:pPr>
      <w:r>
        <w:rPr>
          <w:spacing w:val="-11"/>
          <w:sz w:val="21"/>
          <w:szCs w:val="21"/>
        </w:rPr>
        <w:t>(2)</w:t>
      </w: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68" w:line="222" w:lineRule="auto"/>
        <w:ind w:left="1479"/>
        <w:rPr>
          <w:sz w:val="21"/>
          <w:szCs w:val="21"/>
        </w:rPr>
      </w:pPr>
      <w:r>
        <w:rPr>
          <w:spacing w:val="-11"/>
          <w:sz w:val="21"/>
          <w:szCs w:val="21"/>
        </w:rPr>
        <w:t>(3)</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71" w:line="222" w:lineRule="auto"/>
        <w:ind w:left="1470"/>
        <w:rPr>
          <w:sz w:val="22"/>
          <w:szCs w:val="22"/>
        </w:rPr>
      </w:pPr>
      <w:r>
        <w:rPr>
          <w:spacing w:val="-11"/>
          <w:sz w:val="22"/>
          <w:szCs w:val="22"/>
        </w:rPr>
        <w:t>(4)</w:t>
      </w:r>
    </w:p>
    <w:p>
      <w:pPr>
        <w:spacing w:line="268" w:lineRule="auto"/>
        <w:rPr>
          <w:rFonts w:ascii="Arial"/>
          <w:sz w:val="21"/>
        </w:rPr>
      </w:pPr>
    </w:p>
    <w:p>
      <w:pPr>
        <w:spacing w:line="269" w:lineRule="auto"/>
        <w:rPr>
          <w:rFonts w:ascii="Arial"/>
          <w:sz w:val="21"/>
        </w:rPr>
      </w:pPr>
    </w:p>
    <w:p>
      <w:pPr>
        <w:pStyle w:val="BodyText"/>
        <w:spacing w:before="88" w:line="222" w:lineRule="auto"/>
        <w:ind w:right="23"/>
        <w:jc w:val="right"/>
        <w:rPr>
          <w:sz w:val="27"/>
          <w:szCs w:val="27"/>
        </w:rPr>
      </w:pPr>
      <w:r>
        <w:rPr>
          <w:spacing w:val="-13"/>
          <w:sz w:val="27"/>
          <w:szCs w:val="27"/>
        </w:rPr>
        <w:t>(5)</w:t>
      </w:r>
    </w:p>
    <w:p>
      <w:pPr>
        <w:spacing w:line="419" w:lineRule="auto"/>
        <w:rPr>
          <w:rFonts w:ascii="Arial"/>
          <w:sz w:val="21"/>
        </w:rPr>
      </w:pPr>
    </w:p>
    <w:p>
      <w:pPr>
        <w:pStyle w:val="BodyText"/>
        <w:spacing w:before="111" w:line="215" w:lineRule="auto"/>
        <w:jc w:val="right"/>
        <w:rPr>
          <w:sz w:val="34"/>
          <w:szCs w:val="34"/>
        </w:rPr>
      </w:pPr>
      <w:r>
        <w:rPr>
          <w:position w:val="-46"/>
          <w:sz w:val="34"/>
          <w:szCs w:val="34"/>
        </w:rPr>
        <w:drawing>
          <wp:inline distT="0" distB="0" distL="0" distR="0">
            <wp:extent cx="133331" cy="469888"/>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74"/>
                    <a:stretch>
                      <a:fillRect/>
                    </a:stretch>
                  </pic:blipFill>
                  <pic:spPr>
                    <a:xfrm>
                      <a:off x="0" y="0"/>
                      <a:ext cx="133331" cy="469888"/>
                    </a:xfrm>
                    <a:prstGeom prst="rect">
                      <a:avLst/>
                    </a:prstGeom>
                  </pic:spPr>
                </pic:pic>
              </a:graphicData>
            </a:graphic>
          </wp:inline>
        </w:drawing>
      </w:r>
      <w:r>
        <w:rPr>
          <w:spacing w:val="-58"/>
          <w:sz w:val="34"/>
          <w:szCs w:val="34"/>
        </w:rPr>
        <w:t xml:space="preserve"> </w:t>
      </w:r>
      <w:r>
        <w:rPr>
          <w:spacing w:val="-41"/>
          <w:w w:val="83"/>
          <w:sz w:val="34"/>
          <w:szCs w:val="34"/>
        </w:rPr>
        <w:t>容</w:t>
      </w:r>
      <w:r>
        <w:rPr>
          <w:spacing w:val="-40"/>
          <w:w w:val="83"/>
          <w:sz w:val="34"/>
          <w:szCs w:val="34"/>
        </w:rPr>
        <w:t>器内的液</w:t>
      </w:r>
      <w:r>
        <w:rPr>
          <w:spacing w:val="-15"/>
          <w:w w:val="83"/>
          <w:sz w:val="34"/>
          <w:szCs w:val="34"/>
        </w:rPr>
        <w:t>体</w:t>
      </w:r>
    </w:p>
    <w:p>
      <w:pPr>
        <w:pStyle w:val="BodyText"/>
        <w:spacing w:before="203" w:line="222" w:lineRule="auto"/>
        <w:ind w:left="1459"/>
        <w:rPr>
          <w:sz w:val="22"/>
          <w:szCs w:val="22"/>
        </w:rPr>
      </w:pPr>
      <w:r>
        <w:rPr>
          <w:spacing w:val="-11"/>
          <w:sz w:val="22"/>
          <w:szCs w:val="22"/>
        </w:rPr>
        <w:t>(6)</w:t>
      </w:r>
    </w:p>
    <w:p>
      <w:pPr>
        <w:spacing w:line="222" w:lineRule="auto"/>
        <w:rPr>
          <w:sz w:val="22"/>
          <w:szCs w:val="22"/>
        </w:rPr>
        <w:sectPr>
          <w:headerReference w:type="default" r:id="rId75"/>
          <w:footerReference w:type="default" r:id="rId76"/>
          <w:type w:val="continuous"/>
          <w:pgSz w:w="12130" w:h="16910"/>
          <w:pgMar w:top="1849" w:right="1049" w:bottom="1039" w:left="1749" w:header="1623" w:footer="870" w:gutter="0"/>
          <w:pgNumType w:start="20"/>
          <w:cols w:num="2" w:space="708" w:equalWidth="0">
            <w:col w:w="7383" w:space="87"/>
            <w:col w:w="1861" w:space="0"/>
          </w:cols>
        </w:sectPr>
      </w:pPr>
    </w:p>
    <w:p>
      <w:pPr>
        <w:spacing w:line="34" w:lineRule="exact"/>
      </w:pPr>
    </w:p>
    <w:p>
      <w:pPr>
        <w:spacing w:line="34" w:lineRule="exact"/>
        <w:sectPr>
          <w:headerReference w:type="default" r:id="rId77"/>
          <w:footerReference w:type="default" r:id="rId78"/>
          <w:type w:val="continuous"/>
          <w:pgSz w:w="12130" w:h="16910"/>
          <w:pgMar w:top="1849" w:right="1049" w:bottom="1039" w:left="1749" w:header="1623" w:footer="870" w:gutter="0"/>
          <w:pgNumType w:start="21"/>
          <w:cols w:num="1" w:space="708" w:equalWidth="0">
            <w:col w:w="9331" w:space="0"/>
          </w:cols>
        </w:sectPr>
      </w:pPr>
    </w:p>
    <w:p>
      <w:pPr>
        <w:pStyle w:val="BodyText"/>
        <w:spacing w:before="55" w:line="219" w:lineRule="auto"/>
        <w:ind w:left="900"/>
        <w:rPr>
          <w:sz w:val="27"/>
          <w:szCs w:val="27"/>
        </w:rPr>
      </w:pPr>
      <w:r>
        <w:rPr>
          <w:spacing w:val="-23"/>
          <w:sz w:val="27"/>
          <w:szCs w:val="27"/>
        </w:rPr>
        <w:t>c——浮 证</w:t>
      </w:r>
      <w:r>
        <w:rPr>
          <w:spacing w:val="12"/>
          <w:sz w:val="27"/>
          <w:szCs w:val="27"/>
        </w:rPr>
        <w:t xml:space="preserve"> </w:t>
      </w:r>
      <w:r>
        <w:rPr>
          <w:spacing w:val="-23"/>
          <w:sz w:val="27"/>
          <w:szCs w:val="27"/>
        </w:rPr>
        <w:t>系</w:t>
      </w:r>
      <w:r>
        <w:rPr>
          <w:spacing w:val="-1"/>
          <w:sz w:val="27"/>
          <w:szCs w:val="27"/>
        </w:rPr>
        <w:t xml:space="preserve"> </w:t>
      </w:r>
      <w:r>
        <w:rPr>
          <w:spacing w:val="-23"/>
          <w:sz w:val="27"/>
          <w:szCs w:val="27"/>
        </w:rPr>
        <w:t>数 ，c=</w:t>
      </w:r>
    </w:p>
    <w:p>
      <w:pPr>
        <w:pStyle w:val="BodyText"/>
        <w:spacing w:before="76" w:line="222" w:lineRule="auto"/>
        <w:ind w:left="9" w:right="949" w:firstLine="20"/>
        <w:rPr>
          <w:sz w:val="27"/>
          <w:szCs w:val="27"/>
        </w:rPr>
      </w:pPr>
      <w:r>
        <w:rPr>
          <w:spacing w:val="33"/>
          <w:sz w:val="27"/>
          <w:szCs w:val="27"/>
        </w:rPr>
        <w:t>其中</w:t>
      </w:r>
      <w:r>
        <w:rPr>
          <w:rFonts w:ascii="Times New Roman" w:eastAsia="Times New Roman" w:hAnsi="Times New Roman" w:cs="Times New Roman"/>
          <w:sz w:val="27"/>
          <w:szCs w:val="27"/>
        </w:rPr>
        <w:t>pw</w:t>
      </w:r>
      <w:r>
        <w:rPr>
          <w:rFonts w:ascii="Times New Roman" w:eastAsia="Times New Roman" w:hAnsi="Times New Roman" w:cs="Times New Roman"/>
          <w:spacing w:val="33"/>
          <w:sz w:val="27"/>
          <w:szCs w:val="27"/>
        </w:rPr>
        <w:t xml:space="preserve">—  </w:t>
      </w:r>
      <w:r>
        <w:rPr>
          <w:spacing w:val="33"/>
          <w:sz w:val="27"/>
          <w:szCs w:val="27"/>
        </w:rPr>
        <w:t>装置密度，如果装置</w:t>
      </w:r>
      <w:r>
        <w:rPr>
          <w:spacing w:val="-73"/>
          <w:sz w:val="27"/>
          <w:szCs w:val="27"/>
        </w:rPr>
        <w:t xml:space="preserve"> </w:t>
      </w:r>
      <w:r>
        <w:rPr>
          <w:position w:val="-2"/>
          <w:sz w:val="27"/>
          <w:szCs w:val="27"/>
        </w:rPr>
        <w:drawing>
          <wp:inline distT="0" distB="0" distL="0" distR="0">
            <wp:extent cx="120621" cy="104747"/>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79"/>
                    <a:stretch>
                      <a:fillRect/>
                    </a:stretch>
                  </pic:blipFill>
                  <pic:spPr>
                    <a:xfrm>
                      <a:off x="0" y="0"/>
                      <a:ext cx="120621" cy="104747"/>
                    </a:xfrm>
                    <a:prstGeom prst="rect">
                      <a:avLst/>
                    </a:prstGeom>
                  </pic:spPr>
                </pic:pic>
              </a:graphicData>
            </a:graphic>
          </wp:inline>
        </w:drawing>
      </w:r>
      <w:r>
        <w:rPr>
          <w:sz w:val="27"/>
          <w:szCs w:val="27"/>
        </w:rPr>
        <w:t xml:space="preserve"> </w:t>
      </w:r>
      <w:r>
        <w:rPr>
          <w:spacing w:val="-24"/>
          <w:sz w:val="27"/>
          <w:szCs w:val="27"/>
        </w:rPr>
        <w:t>式中：</w:t>
      </w:r>
      <w:r>
        <w:rPr>
          <w:spacing w:val="-46"/>
          <w:sz w:val="27"/>
          <w:szCs w:val="27"/>
        </w:rPr>
        <w:t xml:space="preserve"> </w:t>
      </w:r>
      <w:r>
        <w:rPr>
          <w:rFonts w:ascii="Times New Roman" w:eastAsia="Times New Roman" w:hAnsi="Times New Roman" w:cs="Times New Roman"/>
          <w:spacing w:val="-24"/>
          <w:sz w:val="27"/>
          <w:szCs w:val="27"/>
        </w:rPr>
        <w:t>p——</w:t>
      </w:r>
      <w:r>
        <w:rPr>
          <w:spacing w:val="-24"/>
          <w:sz w:val="27"/>
          <w:szCs w:val="27"/>
        </w:rPr>
        <w:t>检定内会境大气密度。</w:t>
      </w:r>
    </w:p>
    <w:p>
      <w:pPr>
        <w:spacing w:line="14" w:lineRule="auto"/>
        <w:rPr>
          <w:rFonts w:ascii="Arial"/>
          <w:sz w:val="2"/>
        </w:rPr>
      </w:pPr>
      <w:r>
        <w:rPr>
          <w:rFonts w:ascii="Arial" w:eastAsia="Arial" w:hAnsi="Arial" w:cs="Arial"/>
          <w:sz w:val="2"/>
          <w:szCs w:val="2"/>
        </w:rPr>
        <w:br w:type="column"/>
      </w:r>
    </w:p>
    <w:p>
      <w:pPr>
        <w:pStyle w:val="BodyText"/>
        <w:spacing w:before="53" w:line="214" w:lineRule="auto"/>
        <w:rPr>
          <w:sz w:val="27"/>
          <w:szCs w:val="27"/>
        </w:rPr>
      </w:pPr>
      <w:r>
        <w:rPr>
          <w:spacing w:val="-9"/>
          <w:sz w:val="27"/>
          <w:szCs w:val="27"/>
        </w:rPr>
        <w:t>(ps-p);</w:t>
      </w:r>
    </w:p>
    <w:p>
      <w:pPr>
        <w:pStyle w:val="BodyText"/>
        <w:spacing w:before="40" w:line="239" w:lineRule="auto"/>
        <w:ind w:left="49"/>
        <w:rPr>
          <w:rFonts w:ascii="Times New Roman" w:eastAsia="Times New Roman" w:hAnsi="Times New Roman" w:cs="Times New Roman"/>
          <w:sz w:val="27"/>
          <w:szCs w:val="27"/>
        </w:rPr>
      </w:pPr>
      <w:r>
        <w:rPr>
          <w:spacing w:val="-14"/>
          <w:position w:val="2"/>
          <w:sz w:val="27"/>
          <w:szCs w:val="27"/>
        </w:rPr>
        <w:t>不用砝码，则</w:t>
      </w:r>
      <w:r>
        <w:rPr>
          <w:spacing w:val="-44"/>
          <w:position w:val="2"/>
          <w:sz w:val="27"/>
          <w:szCs w:val="27"/>
        </w:rPr>
        <w:t xml:space="preserve"> </w:t>
      </w:r>
      <w:r>
        <w:rPr>
          <w:spacing w:val="-14"/>
          <w:position w:val="2"/>
          <w:sz w:val="27"/>
          <w:szCs w:val="27"/>
        </w:rPr>
        <w:t>c</w:t>
      </w:r>
      <w:r>
        <w:rPr>
          <w:spacing w:val="46"/>
          <w:position w:val="2"/>
          <w:sz w:val="27"/>
          <w:szCs w:val="27"/>
        </w:rPr>
        <w:t xml:space="preserve"> </w:t>
      </w:r>
      <w:r>
        <w:rPr>
          <w:rFonts w:ascii="STCaiyun" w:eastAsia="STCaiyun" w:hAnsi="STCaiyun" w:cs="STCaiyun"/>
          <w:spacing w:val="-14"/>
          <w:position w:val="2"/>
          <w:sz w:val="27"/>
          <w:szCs w:val="27"/>
        </w:rPr>
        <w:t xml:space="preserve">西    </w:t>
      </w:r>
      <w:r>
        <w:rPr>
          <w:rFonts w:ascii="Times New Roman" w:eastAsia="Times New Roman" w:hAnsi="Times New Roman" w:cs="Times New Roman"/>
          <w:i/>
          <w:iCs/>
          <w:spacing w:val="-14"/>
          <w:position w:val="-1"/>
          <w:sz w:val="27"/>
          <w:szCs w:val="27"/>
        </w:rPr>
        <w:t>(ps-pa);</w:t>
      </w:r>
    </w:p>
    <w:p>
      <w:pPr>
        <w:spacing w:line="239" w:lineRule="auto"/>
        <w:rPr>
          <w:rFonts w:ascii="Times New Roman" w:eastAsia="Times New Roman" w:hAnsi="Times New Roman" w:cs="Times New Roman"/>
          <w:sz w:val="27"/>
          <w:szCs w:val="27"/>
        </w:rPr>
        <w:sectPr>
          <w:headerReference w:type="default" r:id="rId80"/>
          <w:footerReference w:type="default" r:id="rId81"/>
          <w:type w:val="continuous"/>
          <w:pgSz w:w="12130" w:h="16910"/>
          <w:pgMar w:top="1849" w:right="1049" w:bottom="1039" w:left="1749" w:header="1623" w:footer="870" w:gutter="0"/>
          <w:pgNumType w:start="22"/>
          <w:cols w:num="2" w:space="708" w:equalWidth="0">
            <w:col w:w="5400" w:space="100"/>
            <w:col w:w="3831" w:space="0"/>
          </w:cols>
        </w:sectPr>
      </w:pPr>
    </w:p>
    <w:p>
      <w:pPr>
        <w:spacing w:before="129"/>
      </w:pPr>
    </w:p>
    <w:p>
      <w:pPr>
        <w:sectPr>
          <w:headerReference w:type="default" r:id="rId82"/>
          <w:footerReference w:type="default" r:id="rId83"/>
          <w:type w:val="continuous"/>
          <w:pgSz w:w="12130" w:h="16910"/>
          <w:pgMar w:top="1849" w:right="1049" w:bottom="1039" w:left="1749" w:header="1623" w:footer="870" w:gutter="0"/>
          <w:pgNumType w:start="23"/>
          <w:cols w:num="1" w:space="708" w:equalWidth="0">
            <w:col w:w="9331" w:space="0"/>
          </w:cols>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82" w:line="184" w:lineRule="auto"/>
        <w:ind w:left="509"/>
        <w:rPr>
          <w:sz w:val="25"/>
          <w:szCs w:val="25"/>
        </w:rPr>
      </w:pPr>
      <w:r>
        <w:rPr>
          <w:spacing w:val="-15"/>
          <w:sz w:val="25"/>
          <w:szCs w:val="25"/>
        </w:rPr>
        <w:t>③标准表法</w:t>
      </w:r>
    </w:p>
    <w:p>
      <w:pPr>
        <w:spacing w:line="14" w:lineRule="auto"/>
        <w:rPr>
          <w:rFonts w:ascii="Arial"/>
          <w:sz w:val="2"/>
        </w:rPr>
      </w:pPr>
      <w:r>
        <w:rPr>
          <w:rFonts w:ascii="Arial" w:eastAsia="Arial" w:hAnsi="Arial" w:cs="Arial"/>
          <w:sz w:val="2"/>
          <w:szCs w:val="2"/>
        </w:rPr>
        <w:br w:type="column"/>
      </w:r>
    </w:p>
    <w:p>
      <w:pPr>
        <w:spacing w:line="898" w:lineRule="exact"/>
      </w:pPr>
      <w:r>
        <w:rPr>
          <w:position w:val="-17"/>
        </w:rPr>
        <w:drawing>
          <wp:inline distT="0" distB="0" distL="0" distR="0">
            <wp:extent cx="3194093" cy="570592"/>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84"/>
                    <a:stretch>
                      <a:fillRect/>
                    </a:stretch>
                  </pic:blipFill>
                  <pic:spPr>
                    <a:xfrm>
                      <a:off x="0" y="0"/>
                      <a:ext cx="3194093" cy="570592"/>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67" w:lineRule="auto"/>
        <w:rPr>
          <w:rFonts w:ascii="Arial"/>
          <w:sz w:val="21"/>
        </w:rPr>
      </w:pPr>
    </w:p>
    <w:p>
      <w:pPr>
        <w:pStyle w:val="BodyText"/>
        <w:spacing w:before="72" w:line="222" w:lineRule="auto"/>
        <w:ind w:left="319"/>
        <w:rPr>
          <w:sz w:val="22"/>
          <w:szCs w:val="22"/>
        </w:rPr>
      </w:pPr>
      <w:r>
        <w:rPr>
          <w:spacing w:val="-11"/>
          <w:sz w:val="22"/>
          <w:szCs w:val="22"/>
        </w:rPr>
        <w:t>(7)</w:t>
      </w:r>
    </w:p>
    <w:p>
      <w:pPr>
        <w:spacing w:line="222" w:lineRule="auto"/>
        <w:rPr>
          <w:sz w:val="22"/>
          <w:szCs w:val="22"/>
        </w:rPr>
        <w:sectPr>
          <w:headerReference w:type="default" r:id="rId85"/>
          <w:footerReference w:type="default" r:id="rId86"/>
          <w:type w:val="continuous"/>
          <w:pgSz w:w="12130" w:h="16910"/>
          <w:pgMar w:top="1849" w:right="1049" w:bottom="1039" w:left="1749" w:header="1623" w:footer="870" w:gutter="0"/>
          <w:pgNumType w:start="24"/>
          <w:cols w:num="3" w:space="708" w:equalWidth="0">
            <w:col w:w="2180" w:space="100"/>
            <w:col w:w="6231" w:space="100"/>
            <w:col w:w="720" w:space="0"/>
          </w:cols>
        </w:sectPr>
      </w:pPr>
    </w:p>
    <w:p>
      <w:pPr>
        <w:pStyle w:val="BodyText"/>
        <w:spacing w:before="172" w:line="233" w:lineRule="auto"/>
        <w:ind w:left="9" w:right="48" w:firstLine="499"/>
        <w:jc w:val="both"/>
        <w:rPr>
          <w:sz w:val="27"/>
          <w:szCs w:val="27"/>
        </w:rPr>
      </w:pPr>
      <w:r>
        <w:rPr>
          <w:spacing w:val="-4"/>
          <w:sz w:val="27"/>
          <w:szCs w:val="27"/>
        </w:rPr>
        <w:t>采用标准表法检定流量计  确初准评声和被</w:t>
      </w:r>
      <w:r>
        <w:rPr>
          <w:spacing w:val="-5"/>
          <w:sz w:val="27"/>
          <w:szCs w:val="27"/>
        </w:rPr>
        <w:t>检江量计一般应为同类型、同规</w:t>
      </w:r>
      <w:r>
        <w:rPr>
          <w:sz w:val="27"/>
          <w:szCs w:val="27"/>
        </w:rPr>
        <w:t xml:space="preserve"> </w:t>
      </w:r>
      <w:r>
        <w:rPr>
          <w:spacing w:val="-20"/>
          <w:sz w:val="27"/>
          <w:szCs w:val="27"/>
        </w:rPr>
        <w:t>格。检定时将标准流量计和被检流量计中的上示一标准流量计和被检流量计的流量达</w:t>
      </w:r>
      <w:r>
        <w:rPr>
          <w:spacing w:val="18"/>
          <w:sz w:val="27"/>
          <w:szCs w:val="27"/>
        </w:rPr>
        <w:t xml:space="preserve"> </w:t>
      </w:r>
      <w:r>
        <w:rPr>
          <w:spacing w:val="-26"/>
          <w:sz w:val="27"/>
          <w:szCs w:val="27"/>
        </w:rPr>
        <w:t>到稳定时，同步读取两流量计的指示流量。若标准的和被检的流量计刻度状态相同，则</w:t>
      </w:r>
      <w:r>
        <w:rPr>
          <w:sz w:val="27"/>
          <w:szCs w:val="27"/>
        </w:rPr>
        <w:t xml:space="preserve"> </w:t>
      </w:r>
      <w:r>
        <w:rPr>
          <w:spacing w:val="-24"/>
          <w:sz w:val="27"/>
          <w:szCs w:val="27"/>
        </w:rPr>
        <w:t>标准浮子流量计的指示流量</w:t>
      </w:r>
      <w:r>
        <w:rPr>
          <w:spacing w:val="-28"/>
          <w:sz w:val="27"/>
          <w:szCs w:val="27"/>
        </w:rPr>
        <w:t xml:space="preserve"> </w:t>
      </w:r>
      <w:r>
        <w:rPr>
          <w:spacing w:val="-24"/>
          <w:sz w:val="27"/>
          <w:szCs w:val="27"/>
        </w:rPr>
        <w:t>qv</w:t>
      </w:r>
      <w:r>
        <w:rPr>
          <w:spacing w:val="-51"/>
          <w:sz w:val="27"/>
          <w:szCs w:val="27"/>
        </w:rPr>
        <w:t xml:space="preserve"> </w:t>
      </w:r>
      <w:r>
        <w:rPr>
          <w:spacing w:val="-24"/>
          <w:sz w:val="27"/>
          <w:szCs w:val="27"/>
        </w:rPr>
        <w:t>不需要修正，就可以作为被检流量计刻度状态下的实际</w:t>
      </w:r>
    </w:p>
    <w:p>
      <w:pPr>
        <w:spacing w:line="233" w:lineRule="auto"/>
        <w:rPr>
          <w:sz w:val="27"/>
          <w:szCs w:val="27"/>
        </w:rPr>
        <w:sectPr>
          <w:headerReference w:type="default" r:id="rId87"/>
          <w:footerReference w:type="default" r:id="rId88"/>
          <w:type w:val="continuous"/>
          <w:pgSz w:w="12130" w:h="16910"/>
          <w:pgMar w:top="1849" w:right="1049" w:bottom="1039" w:left="1749" w:header="1623" w:footer="870" w:gutter="0"/>
          <w:pgNumType w:start="25"/>
          <w:cols w:num="1" w:space="708" w:equalWidth="0">
            <w:col w:w="9331" w:space="0"/>
          </w:cols>
        </w:sectPr>
      </w:pPr>
    </w:p>
    <w:p>
      <w:pPr>
        <w:pStyle w:val="BodyText"/>
        <w:spacing w:before="58" w:line="212" w:lineRule="auto"/>
        <w:rPr>
          <w:sz w:val="27"/>
          <w:szCs w:val="27"/>
        </w:rPr>
      </w:pPr>
      <w:r>
        <w:rPr>
          <w:spacing w:val="7"/>
          <w:sz w:val="27"/>
          <w:szCs w:val="27"/>
        </w:rPr>
        <w:t>流量</w:t>
      </w:r>
      <w:r>
        <w:rPr>
          <w:rFonts w:ascii="Times New Roman" w:eastAsia="Times New Roman" w:hAnsi="Times New Roman" w:cs="Times New Roman"/>
          <w:sz w:val="27"/>
          <w:szCs w:val="27"/>
        </w:rPr>
        <w:t>qv</w:t>
      </w:r>
      <w:r>
        <w:rPr>
          <w:rFonts w:ascii="Times New Roman" w:eastAsia="Times New Roman" w:hAnsi="Times New Roman" w:cs="Times New Roman"/>
          <w:spacing w:val="7"/>
          <w:sz w:val="27"/>
          <w:szCs w:val="27"/>
        </w:rPr>
        <w:t>,</w:t>
      </w:r>
      <w:r>
        <w:rPr>
          <w:rFonts w:ascii="Times New Roman" w:eastAsia="Times New Roman" w:hAnsi="Times New Roman" w:cs="Times New Roman"/>
          <w:spacing w:val="19"/>
          <w:sz w:val="27"/>
          <w:szCs w:val="27"/>
        </w:rPr>
        <w:t xml:space="preserve">  </w:t>
      </w:r>
      <w:r>
        <w:rPr>
          <w:spacing w:val="7"/>
          <w:sz w:val="27"/>
          <w:szCs w:val="27"/>
        </w:rPr>
        <w:t>则</w:t>
      </w:r>
    </w:p>
    <w:p>
      <w:pPr>
        <w:spacing w:before="231" w:line="185" w:lineRule="auto"/>
        <w:ind w:left="4189"/>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qN</w:t>
      </w:r>
    </w:p>
    <w:p>
      <w:pPr>
        <w:pStyle w:val="BodyText"/>
        <w:spacing w:before="97" w:line="217" w:lineRule="auto"/>
        <w:ind w:left="509"/>
        <w:rPr>
          <w:sz w:val="27"/>
          <w:szCs w:val="27"/>
        </w:rPr>
      </w:pPr>
      <w:r>
        <w:rPr>
          <w:spacing w:val="-20"/>
          <w:w w:val="98"/>
          <w:sz w:val="27"/>
          <w:szCs w:val="27"/>
        </w:rPr>
        <w:t>④其他液体标准流量计法</w:t>
      </w:r>
    </w:p>
    <w:p>
      <w:pPr>
        <w:spacing w:before="165" w:line="170" w:lineRule="exact"/>
        <w:ind w:left="3979"/>
        <w:rPr>
          <w:rFonts w:ascii="Times New Roman" w:eastAsia="Times New Roman" w:hAnsi="Times New Roman" w:cs="Times New Roman"/>
          <w:sz w:val="25"/>
          <w:szCs w:val="25"/>
        </w:rPr>
      </w:pPr>
      <w:r>
        <w:rPr>
          <w:rFonts w:ascii="Times New Roman" w:eastAsia="Times New Roman" w:hAnsi="Times New Roman" w:cs="Times New Roman"/>
          <w:spacing w:val="-5"/>
          <w:position w:val="2"/>
          <w:sz w:val="25"/>
          <w:szCs w:val="25"/>
        </w:rPr>
        <w:t>qn</w:t>
      </w:r>
    </w:p>
    <w:p>
      <w:pPr>
        <w:spacing w:line="14" w:lineRule="auto"/>
        <w:rPr>
          <w:rFonts w:ascii="Arial"/>
          <w:sz w:val="2"/>
        </w:rPr>
      </w:pPr>
      <w:r>
        <w:rPr>
          <w:rFonts w:ascii="Arial" w:eastAsia="Arial" w:hAnsi="Arial" w:cs="Arial"/>
          <w:sz w:val="2"/>
          <w:szCs w:val="2"/>
        </w:rPr>
        <w:br w:type="column"/>
      </w:r>
    </w:p>
    <w:p>
      <w:pPr>
        <w:spacing w:line="269" w:lineRule="auto"/>
        <w:rPr>
          <w:rFonts w:ascii="Arial"/>
          <w:sz w:val="21"/>
        </w:rPr>
      </w:pPr>
    </w:p>
    <w:p>
      <w:pPr>
        <w:spacing w:line="270" w:lineRule="auto"/>
        <w:rPr>
          <w:rFonts w:ascii="Arial"/>
          <w:sz w:val="21"/>
        </w:rPr>
      </w:pPr>
    </w:p>
    <w:p>
      <w:pPr>
        <w:spacing w:before="52"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=Qv</w:t>
      </w:r>
    </w:p>
    <w:p>
      <w:pPr>
        <w:spacing w:line="446" w:lineRule="auto"/>
        <w:rPr>
          <w:rFonts w:ascii="Arial"/>
          <w:sz w:val="21"/>
        </w:rPr>
      </w:pPr>
    </w:p>
    <w:p>
      <w:pPr>
        <w:spacing w:before="72" w:line="191" w:lineRule="auto"/>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=Qv·k</w:t>
      </w:r>
    </w:p>
    <w:p>
      <w:pPr>
        <w:spacing w:line="14" w:lineRule="auto"/>
        <w:rPr>
          <w:rFonts w:ascii="Arial"/>
          <w:sz w:val="2"/>
        </w:rPr>
      </w:pPr>
      <w:r>
        <w:rPr>
          <w:rFonts w:ascii="Arial" w:eastAsia="Arial" w:hAnsi="Arial" w:cs="Arial"/>
          <w:sz w:val="2"/>
          <w:szCs w:val="2"/>
        </w:rPr>
        <w:br w:type="column"/>
      </w:r>
    </w:p>
    <w:p>
      <w:pPr>
        <w:spacing w:line="414" w:lineRule="auto"/>
        <w:rPr>
          <w:rFonts w:ascii="Arial"/>
          <w:sz w:val="21"/>
        </w:rPr>
      </w:pPr>
    </w:p>
    <w:p>
      <w:pPr>
        <w:pStyle w:val="BodyText"/>
        <w:spacing w:before="72" w:line="222" w:lineRule="auto"/>
        <w:ind w:left="310"/>
        <w:rPr>
          <w:sz w:val="22"/>
          <w:szCs w:val="22"/>
        </w:rPr>
      </w:pPr>
      <w:r>
        <w:rPr>
          <w:spacing w:val="-11"/>
          <w:sz w:val="22"/>
          <w:szCs w:val="22"/>
        </w:rPr>
        <w:t>(8)</w:t>
      </w:r>
    </w:p>
    <w:p>
      <w:pPr>
        <w:spacing w:line="443" w:lineRule="auto"/>
        <w:rPr>
          <w:rFonts w:ascii="Arial"/>
          <w:sz w:val="21"/>
        </w:rPr>
      </w:pPr>
    </w:p>
    <w:p>
      <w:pPr>
        <w:pStyle w:val="BodyText"/>
        <w:spacing w:before="69" w:line="210" w:lineRule="auto"/>
        <w:ind w:left="319"/>
        <w:rPr>
          <w:sz w:val="21"/>
          <w:szCs w:val="21"/>
        </w:rPr>
      </w:pPr>
      <w:r>
        <w:rPr>
          <w:spacing w:val="-11"/>
          <w:sz w:val="21"/>
          <w:szCs w:val="21"/>
        </w:rPr>
        <w:t>(9)</w:t>
      </w:r>
    </w:p>
    <w:p>
      <w:pPr>
        <w:spacing w:line="210" w:lineRule="auto"/>
        <w:rPr>
          <w:sz w:val="21"/>
          <w:szCs w:val="21"/>
        </w:rPr>
        <w:sectPr>
          <w:headerReference w:type="default" r:id="rId89"/>
          <w:footerReference w:type="default" r:id="rId90"/>
          <w:type w:val="continuous"/>
          <w:pgSz w:w="12130" w:h="16910"/>
          <w:pgMar w:top="1849" w:right="1049" w:bottom="1039" w:left="1749" w:header="1623" w:footer="870" w:gutter="0"/>
          <w:pgNumType w:start="26"/>
          <w:cols w:num="3" w:space="708" w:equalWidth="0">
            <w:col w:w="4519" w:space="100"/>
            <w:col w:w="3892" w:space="100"/>
            <w:col w:w="720" w:space="0"/>
          </w:cols>
        </w:sectPr>
      </w:pPr>
    </w:p>
    <w:p>
      <w:pPr>
        <w:pStyle w:val="BodyText"/>
        <w:spacing w:before="124" w:line="184" w:lineRule="auto"/>
        <w:rPr>
          <w:sz w:val="27"/>
          <w:szCs w:val="27"/>
        </w:rPr>
      </w:pPr>
      <w:r>
        <w:rPr>
          <w:spacing w:val="-26"/>
          <w:sz w:val="27"/>
          <w:szCs w:val="27"/>
        </w:rPr>
        <w:t>式中：</w:t>
      </w:r>
      <w:r>
        <w:rPr>
          <w:spacing w:val="-41"/>
          <w:sz w:val="27"/>
          <w:szCs w:val="27"/>
        </w:rPr>
        <w:t xml:space="preserve"> </w:t>
      </w:r>
      <w:r>
        <w:rPr>
          <w:spacing w:val="-26"/>
          <w:sz w:val="27"/>
          <w:szCs w:val="27"/>
        </w:rPr>
        <w:t>qv——标准流量计测得的体积流量。</w:t>
      </w:r>
    </w:p>
    <w:p>
      <w:pPr>
        <w:spacing w:line="184" w:lineRule="auto"/>
        <w:rPr>
          <w:sz w:val="27"/>
          <w:szCs w:val="27"/>
        </w:rPr>
      </w:pPr>
      <w:r>
        <w:rPr>
          <w:sz w:val="27"/>
          <w:szCs w:val="27"/>
        </w:rPr>
        <w:br/>
      </w:r>
      <w:r>
        <w:rPr>
          <w:sz w:val="27"/>
          <w:szCs w:val="2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1" w:history="1">
        <w:r>
          <w:rPr>
            <w:rFonts w:ascii="SimSun" w:eastAsia="SimSun" w:hAnsi="SimSun" w:cs="SimSun"/>
            <w:b/>
            <w:bCs/>
            <w:noProof w:val="0"/>
            <w:snapToGrid/>
            <w:color w:val="0000EE"/>
            <w:kern w:val="0"/>
            <w:sz w:val="30"/>
            <w:szCs w:val="30"/>
            <w:u w:val="single" w:color="0000EE"/>
          </w:rPr>
          <w:t>https://d.book118.com/808077071025006025</w:t>
        </w:r>
      </w:hyperlink>
    </w:p>
    <w:p>
      <w:pPr>
        <w:spacing w:line="184" w:lineRule="auto"/>
        <w:rPr>
          <w:sz w:val="27"/>
          <w:szCs w:val="27"/>
        </w:rPr>
      </w:pPr>
    </w:p>
    <w:sectPr>
      <w:headerReference w:type="default" r:id="rId92"/>
      <w:footerReference w:type="default" r:id="rId93"/>
      <w:type w:val="continuous"/>
      <w:pgSz w:w="12130" w:h="16910"/>
      <w:pgMar w:top="1849" w:right="1049" w:bottom="1039" w:left="1749" w:header="1623" w:footer="870" w:gutter="0"/>
      <w:pgNumType w:start="27"/>
      <w:cols w:num="1" w:space="708" w:equalWidth="0">
        <w:col w:w="933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39"/>
      <w:rPr>
        <w:sz w:val="17"/>
        <w:szCs w:val="17"/>
      </w:rPr>
    </w:pPr>
    <w:r>
      <w:rPr>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39"/>
      <w:rPr>
        <w:sz w:val="17"/>
        <w:szCs w:val="17"/>
      </w:rPr>
    </w:pPr>
    <w:r>
      <w:rPr>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80"/>
      <w:rPr>
        <w:sz w:val="17"/>
        <w:szCs w:val="17"/>
      </w:rPr>
    </w:pPr>
    <w:r>
      <w:rPr>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80"/>
      <w:rPr>
        <w:sz w:val="17"/>
        <w:szCs w:val="17"/>
      </w:rPr>
    </w:pPr>
    <w:r>
      <w:rPr>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49"/>
      <w:rPr>
        <w:sz w:val="17"/>
        <w:szCs w:val="17"/>
      </w:rPr>
    </w:pPr>
    <w:r>
      <w:rPr>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49"/>
      <w:rPr>
        <w:sz w:val="17"/>
        <w:szCs w:val="17"/>
      </w:rPr>
    </w:pPr>
    <w:r>
      <w:rPr>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56"/>
      <w:rPr>
        <w:sz w:val="16"/>
        <w:szCs w:val="16"/>
      </w:rPr>
    </w:pPr>
    <w:r>
      <w:rPr>
        <w:sz w:val="16"/>
        <w:szCs w:val="16"/>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56"/>
      <w:rPr>
        <w:sz w:val="16"/>
        <w:szCs w:val="16"/>
      </w:rPr>
    </w:pPr>
    <w:r>
      <w:rPr>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9"/>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9"/>
      <w:rPr>
        <w:sz w:val="16"/>
        <w:szCs w:val="16"/>
      </w:rPr>
    </w:pPr>
    <w:r>
      <w:rPr>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9"/>
      <w:rPr>
        <w:sz w:val="16"/>
        <w:szCs w:val="16"/>
      </w:rPr>
    </w:pPr>
    <w:r>
      <w:rPr>
        <w:sz w:val="16"/>
        <w:szCs w:val="1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9"/>
      <w:rPr>
        <w:sz w:val="16"/>
        <w:szCs w:val="16"/>
      </w:rPr>
    </w:pPr>
    <w:r>
      <w:rPr>
        <w:sz w:val="16"/>
        <w:szCs w:val="16"/>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50"/>
      <w:rPr>
        <w:sz w:val="16"/>
        <w:szCs w:val="16"/>
      </w:rPr>
    </w:pPr>
    <w:r>
      <w:rPr>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50"/>
      <w:rPr>
        <w:sz w:val="16"/>
        <w:szCs w:val="16"/>
      </w:rPr>
    </w:pPr>
    <w:r>
      <w:rPr>
        <w:sz w:val="16"/>
        <w:szCs w:val="16"/>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7"/>
        <w:szCs w:val="17"/>
      </w:rPr>
    </w:pPr>
    <w:r>
      <w:rPr>
        <w:sz w:val="17"/>
        <w:szCs w:val="17"/>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7"/>
        <w:szCs w:val="17"/>
      </w:rPr>
    </w:pPr>
    <w:r>
      <w:rPr>
        <w:sz w:val="17"/>
        <w:szCs w:val="17"/>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7"/>
        <w:szCs w:val="17"/>
      </w:rPr>
    </w:pPr>
    <w:r>
      <w:rPr>
        <w:sz w:val="17"/>
        <w:szCs w:val="17"/>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49"/>
      <w:rPr>
        <w:sz w:val="17"/>
        <w:szCs w:val="17"/>
      </w:rPr>
    </w:pPr>
    <w:r>
      <w:rPr>
        <w:sz w:val="17"/>
        <w:szCs w:val="17"/>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59"/>
      <w:rPr>
        <w:sz w:val="17"/>
        <w:szCs w:val="17"/>
      </w:rPr>
    </w:pPr>
    <w:r>
      <w:rPr>
        <w:sz w:val="17"/>
        <w:szCs w:val="17"/>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83"/>
    </w:pPr>
    <w:r>
      <w:drawing>
        <wp:anchor distT="0" distB="0" distL="0" distR="0" simplePos="0" relativeHeight="251658240" behindDoc="0" locked="0" layoutInCell="0" allowOverlap="1">
          <wp:simplePos x="0" y="0"/>
          <wp:positionH relativeFrom="page">
            <wp:posOffset>876324</wp:posOffset>
          </wp:positionH>
          <wp:positionV relativeFrom="page">
            <wp:posOffset>1117644</wp:posOffset>
          </wp:positionV>
          <wp:extent cx="5905505" cy="1268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905505" cy="12687"/>
                  </a:xfrm>
                  <a:prstGeom prst="rect">
                    <a:avLst/>
                  </a:prstGeom>
                </pic:spPr>
              </pic:pic>
            </a:graphicData>
          </a:graphic>
        </wp:anchor>
      </w:drawing>
    </w:r>
    <w:r>
      <w:rPr>
        <w:b/>
        <w:bCs/>
        <w:spacing w:val="-17"/>
      </w:rPr>
      <w:t>JJG</w:t>
    </w:r>
    <w:r>
      <w:rPr>
        <w:spacing w:val="-17"/>
      </w:rPr>
      <w:t xml:space="preserve"> </w:t>
    </w:r>
    <w:r>
      <w:rPr>
        <w:b/>
        <w:bCs/>
        <w:spacing w:val="-17"/>
      </w:rPr>
      <w:t>257—2007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83"/>
    </w:pPr>
    <w:r>
      <w:drawing>
        <wp:anchor distT="0" distB="0" distL="0" distR="0" simplePos="0" relativeHeight="251659264" behindDoc="0" locked="0" layoutInCell="0" allowOverlap="1">
          <wp:simplePos x="0" y="0"/>
          <wp:positionH relativeFrom="page">
            <wp:posOffset>876324</wp:posOffset>
          </wp:positionH>
          <wp:positionV relativeFrom="page">
            <wp:posOffset>1117644</wp:posOffset>
          </wp:positionV>
          <wp:extent cx="5905505" cy="12687"/>
          <wp:effectExtent l="0" t="0" r="0" b="0"/>
          <wp:wrapNone/>
          <wp:docPr id="2025348088" name="IM 2"/>
          <wp:cNvGraphicFramePr/>
          <a:graphic xmlns:a="http://schemas.openxmlformats.org/drawingml/2006/main">
            <a:graphicData uri="http://schemas.openxmlformats.org/drawingml/2006/picture">
              <pic:pic xmlns:pic="http://schemas.openxmlformats.org/drawingml/2006/picture">
                <pic:nvPicPr>
                  <pic:cNvPr id="2025348088" name="IM 2"/>
                  <pic:cNvPicPr/>
                </pic:nvPicPr>
                <pic:blipFill>
                  <a:blip xmlns:r="http://schemas.openxmlformats.org/officeDocument/2006/relationships" r:embed="rId1"/>
                  <a:stretch>
                    <a:fillRect/>
                  </a:stretch>
                </pic:blipFill>
                <pic:spPr>
                  <a:xfrm>
                    <a:off x="0" y="0"/>
                    <a:ext cx="5905505" cy="12687"/>
                  </a:xfrm>
                  <a:prstGeom prst="rect">
                    <a:avLst/>
                  </a:prstGeom>
                </pic:spPr>
              </pic:pic>
            </a:graphicData>
          </a:graphic>
        </wp:anchor>
      </w:drawing>
    </w:r>
    <w:r>
      <w:rPr>
        <w:b/>
        <w:bCs/>
        <w:spacing w:val="-17"/>
      </w:rPr>
      <w:t>JJG</w:t>
    </w:r>
    <w:r>
      <w:rPr>
        <w:spacing w:val="-17"/>
      </w:rPr>
      <w:t xml:space="preserve"> </w:t>
    </w:r>
    <w:r>
      <w:rPr>
        <w:b/>
        <w:bCs/>
        <w:spacing w:val="-17"/>
      </w:rPr>
      <w:t>257—2007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72"/>
    </w:pPr>
    <w:r>
      <w:rPr>
        <w:b/>
        <w:bCs/>
        <w:spacing w:val="-18"/>
      </w:rPr>
      <w:t>JJG</w:t>
    </w:r>
    <w:r>
      <w:rPr>
        <w:spacing w:val="-18"/>
      </w:rPr>
      <w:t xml:space="preserve"> </w:t>
    </w:r>
    <w:r>
      <w:rPr>
        <w:b/>
        <w:bCs/>
        <w:spacing w:val="-18"/>
      </w:rPr>
      <w:t>257—2007</w:t>
    </w:r>
  </w:p>
  <w:p>
    <w:pPr>
      <w:spacing w:before="39" w:line="11" w:lineRule="exact"/>
    </w:pPr>
    <w:r>
      <w:drawing>
        <wp:inline distT="0" distB="0" distL="0" distR="0">
          <wp:extent cx="5911847" cy="644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911847" cy="6443"/>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72"/>
    </w:pPr>
    <w:r>
      <w:rPr>
        <w:b/>
        <w:bCs/>
        <w:spacing w:val="-18"/>
      </w:rPr>
      <w:t>JJG</w:t>
    </w:r>
    <w:r>
      <w:rPr>
        <w:spacing w:val="-18"/>
      </w:rPr>
      <w:t xml:space="preserve"> </w:t>
    </w:r>
    <w:r>
      <w:rPr>
        <w:b/>
        <w:bCs/>
        <w:spacing w:val="-18"/>
      </w:rPr>
      <w:t>257—2007</w:t>
    </w:r>
  </w:p>
  <w:p>
    <w:pPr>
      <w:spacing w:before="39" w:line="11" w:lineRule="exact"/>
    </w:pPr>
    <w:r>
      <w:drawing>
        <wp:inline distT="0" distB="0" distL="0" distR="0">
          <wp:extent cx="5911847" cy="6443"/>
          <wp:effectExtent l="0" t="0" r="0" b="0"/>
          <wp:docPr id="1686109038" name="IM 4"/>
          <wp:cNvGraphicFramePr/>
          <a:graphic xmlns:a="http://schemas.openxmlformats.org/drawingml/2006/main">
            <a:graphicData uri="http://schemas.openxmlformats.org/drawingml/2006/picture">
              <pic:pic xmlns:pic="http://schemas.openxmlformats.org/drawingml/2006/picture">
                <pic:nvPicPr>
                  <pic:cNvPr id="1686109038" name="IM 4"/>
                  <pic:cNvPicPr/>
                </pic:nvPicPr>
                <pic:blipFill>
                  <a:blip xmlns:r="http://schemas.openxmlformats.org/officeDocument/2006/relationships" r:embed="rId1"/>
                  <a:stretch>
                    <a:fillRect/>
                  </a:stretch>
                </pic:blipFill>
                <pic:spPr>
                  <a:xfrm>
                    <a:off x="0" y="0"/>
                    <a:ext cx="5911847" cy="6443"/>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3817"/>
      </w:tabs>
      <w:spacing w:line="120" w:lineRule="auto"/>
    </w:pPr>
    <w:r>
      <w:rPr>
        <w:u w:val="single" w:color="auto"/>
      </w:rPr>
      <w:tab/>
    </w:r>
    <w:r>
      <w:rPr>
        <w:b/>
        <w:bCs/>
        <w:spacing w:val="-5"/>
        <w:u w:val="single" w:color="auto"/>
      </w:rPr>
      <w:t>LTG</w:t>
    </w:r>
    <w:r>
      <w:rPr>
        <w:spacing w:val="99"/>
        <w:u w:val="single" w:color="auto"/>
      </w:rPr>
      <w:t xml:space="preserve"> </w:t>
    </w:r>
    <w:r>
      <w:rPr>
        <w:b/>
        <w:bCs/>
        <w:spacing w:val="-5"/>
        <w:u w:val="single" w:color="auto"/>
      </w:rPr>
      <w:t>257—2007</w:t>
    </w:r>
    <w:r>
      <w:rPr>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3817"/>
      </w:tabs>
      <w:spacing w:line="120" w:lineRule="auto"/>
    </w:pPr>
    <w:r>
      <w:rPr>
        <w:u w:val="single" w:color="auto"/>
      </w:rPr>
      <w:tab/>
    </w:r>
    <w:r>
      <w:rPr>
        <w:b/>
        <w:bCs/>
        <w:spacing w:val="-5"/>
        <w:u w:val="single" w:color="auto"/>
      </w:rPr>
      <w:t>LTG</w:t>
    </w:r>
    <w:r>
      <w:rPr>
        <w:spacing w:val="99"/>
        <w:u w:val="single" w:color="auto"/>
      </w:rPr>
      <w:t xml:space="preserve"> </w:t>
    </w:r>
    <w:r>
      <w:rPr>
        <w:b/>
        <w:bCs/>
        <w:spacing w:val="-5"/>
        <w:u w:val="single" w:color="auto"/>
      </w:rPr>
      <w:t>257—2007</w:t>
    </w:r>
    <w:r>
      <w:rPr>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59"/>
    </w:pPr>
    <w:r>
      <w:drawing>
        <wp:anchor distT="0" distB="0" distL="0" distR="0" simplePos="0" relativeHeight="251660288" behindDoc="0" locked="0" layoutInCell="0" allowOverlap="1">
          <wp:simplePos x="0" y="0"/>
          <wp:positionH relativeFrom="page">
            <wp:posOffset>882666</wp:posOffset>
          </wp:positionH>
          <wp:positionV relativeFrom="page">
            <wp:posOffset>1079477</wp:posOffset>
          </wp:positionV>
          <wp:extent cx="5918188" cy="1268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918188" cy="12687"/>
                  </a:xfrm>
                  <a:prstGeom prst="rect">
                    <a:avLst/>
                  </a:prstGeom>
                </pic:spPr>
              </pic:pic>
            </a:graphicData>
          </a:graphic>
        </wp:anchor>
      </w:drawing>
    </w:r>
    <w:r>
      <w:rPr>
        <w:b/>
        <w:bCs/>
        <w:spacing w:val="-18"/>
      </w:rPr>
      <w:t>JJG</w:t>
    </w:r>
    <w:r>
      <w:rPr>
        <w:spacing w:val="-18"/>
      </w:rPr>
      <w:t xml:space="preserve"> </w:t>
    </w:r>
    <w:r>
      <w:rPr>
        <w:b/>
        <w:bCs/>
        <w:spacing w:val="-18"/>
      </w:rPr>
      <w:t>257—2007</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59"/>
    </w:pPr>
    <w:r>
      <w:drawing>
        <wp:anchor distT="0" distB="0" distL="0" distR="0" simplePos="0" relativeHeight="251661312" behindDoc="0" locked="0" layoutInCell="0" allowOverlap="1">
          <wp:simplePos x="0" y="0"/>
          <wp:positionH relativeFrom="page">
            <wp:posOffset>882666</wp:posOffset>
          </wp:positionH>
          <wp:positionV relativeFrom="page">
            <wp:posOffset>1079477</wp:posOffset>
          </wp:positionV>
          <wp:extent cx="5918188" cy="12687"/>
          <wp:effectExtent l="0" t="0" r="0" b="0"/>
          <wp:wrapNone/>
          <wp:docPr id="692634092" name="IM 12"/>
          <wp:cNvGraphicFramePr/>
          <a:graphic xmlns:a="http://schemas.openxmlformats.org/drawingml/2006/main">
            <a:graphicData uri="http://schemas.openxmlformats.org/drawingml/2006/picture">
              <pic:pic xmlns:pic="http://schemas.openxmlformats.org/drawingml/2006/picture">
                <pic:nvPicPr>
                  <pic:cNvPr id="692634092" name="IM 12"/>
                  <pic:cNvPicPr/>
                </pic:nvPicPr>
                <pic:blipFill>
                  <a:blip xmlns:r="http://schemas.openxmlformats.org/officeDocument/2006/relationships" r:embed="rId1"/>
                  <a:stretch>
                    <a:fillRect/>
                  </a:stretch>
                </pic:blipFill>
                <pic:spPr>
                  <a:xfrm>
                    <a:off x="0" y="0"/>
                    <a:ext cx="5918188" cy="12687"/>
                  </a:xfrm>
                  <a:prstGeom prst="rect">
                    <a:avLst/>
                  </a:prstGeom>
                </pic:spPr>
              </pic:pic>
            </a:graphicData>
          </a:graphic>
        </wp:anchor>
      </w:drawing>
    </w:r>
    <w:r>
      <w:rPr>
        <w:b/>
        <w:bCs/>
        <w:spacing w:val="-18"/>
      </w:rPr>
      <w:t>JJG</w:t>
    </w:r>
    <w:r>
      <w:rPr>
        <w:spacing w:val="-18"/>
      </w:rPr>
      <w:t xml:space="preserve"> </w:t>
    </w:r>
    <w:r>
      <w:rPr>
        <w:b/>
        <w:bCs/>
        <w:spacing w:val="-18"/>
      </w:rPr>
      <w:t>257—2007</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03"/>
      <w:rPr>
        <w:sz w:val="25"/>
        <w:szCs w:val="25"/>
      </w:rPr>
    </w:pPr>
    <w:r>
      <w:drawing>
        <wp:anchor distT="0" distB="0" distL="0" distR="0" simplePos="0" relativeHeight="251662336" behindDoc="0" locked="0" layoutInCell="0" allowOverlap="1">
          <wp:simplePos x="0" y="0"/>
          <wp:positionH relativeFrom="page">
            <wp:posOffset>838196</wp:posOffset>
          </wp:positionH>
          <wp:positionV relativeFrom="page">
            <wp:posOffset>1193768</wp:posOffset>
          </wp:positionV>
          <wp:extent cx="5911847" cy="1268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911847" cy="12687"/>
                  </a:xfrm>
                  <a:prstGeom prst="rect">
                    <a:avLst/>
                  </a:prstGeom>
                </pic:spPr>
              </pic:pic>
            </a:graphicData>
          </a:graphic>
        </wp:anchor>
      </w:drawing>
    </w:r>
    <w:r>
      <w:rPr>
        <w:b/>
        <w:bCs/>
        <w:spacing w:val="-21"/>
        <w:sz w:val="25"/>
        <w:szCs w:val="25"/>
      </w:rPr>
      <w:t>JJG</w:t>
    </w:r>
    <w:r>
      <w:rPr>
        <w:spacing w:val="-21"/>
        <w:sz w:val="25"/>
        <w:szCs w:val="25"/>
      </w:rPr>
      <w:t xml:space="preserve"> </w:t>
    </w:r>
    <w:r>
      <w:rPr>
        <w:b/>
        <w:bCs/>
        <w:spacing w:val="-21"/>
        <w:sz w:val="25"/>
        <w:szCs w:val="25"/>
      </w:rPr>
      <w:t>257—2007</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03"/>
      <w:rPr>
        <w:sz w:val="25"/>
        <w:szCs w:val="25"/>
      </w:rPr>
    </w:pPr>
    <w:r>
      <w:drawing>
        <wp:anchor distT="0" distB="0" distL="0" distR="0" simplePos="0" relativeHeight="251663360" behindDoc="0" locked="0" layoutInCell="0" allowOverlap="1">
          <wp:simplePos x="0" y="0"/>
          <wp:positionH relativeFrom="page">
            <wp:posOffset>838196</wp:posOffset>
          </wp:positionH>
          <wp:positionV relativeFrom="page">
            <wp:posOffset>1193768</wp:posOffset>
          </wp:positionV>
          <wp:extent cx="5911847" cy="12687"/>
          <wp:effectExtent l="0" t="0" r="0" b="0"/>
          <wp:wrapNone/>
          <wp:docPr id="1459734445" name="IM 14"/>
          <wp:cNvGraphicFramePr/>
          <a:graphic xmlns:a="http://schemas.openxmlformats.org/drawingml/2006/main">
            <a:graphicData uri="http://schemas.openxmlformats.org/drawingml/2006/picture">
              <pic:pic xmlns:pic="http://schemas.openxmlformats.org/drawingml/2006/picture">
                <pic:nvPicPr>
                  <pic:cNvPr id="1459734445" name="IM 14"/>
                  <pic:cNvPicPr/>
                </pic:nvPicPr>
                <pic:blipFill>
                  <a:blip xmlns:r="http://schemas.openxmlformats.org/officeDocument/2006/relationships" r:embed="rId1"/>
                  <a:stretch>
                    <a:fillRect/>
                  </a:stretch>
                </pic:blipFill>
                <pic:spPr>
                  <a:xfrm>
                    <a:off x="0" y="0"/>
                    <a:ext cx="5911847" cy="12687"/>
                  </a:xfrm>
                  <a:prstGeom prst="rect">
                    <a:avLst/>
                  </a:prstGeom>
                </pic:spPr>
              </pic:pic>
            </a:graphicData>
          </a:graphic>
        </wp:anchor>
      </w:drawing>
    </w:r>
    <w:r>
      <w:rPr>
        <w:b/>
        <w:bCs/>
        <w:spacing w:val="-21"/>
        <w:sz w:val="25"/>
        <w:szCs w:val="25"/>
      </w:rPr>
      <w:t>JJG</w:t>
    </w:r>
    <w:r>
      <w:rPr>
        <w:spacing w:val="-21"/>
        <w:sz w:val="25"/>
        <w:szCs w:val="25"/>
      </w:rPr>
      <w:t xml:space="preserve"> </w:t>
    </w:r>
    <w:r>
      <w:rPr>
        <w:b/>
        <w:bCs/>
        <w:spacing w:val="-21"/>
        <w:sz w:val="25"/>
        <w:szCs w:val="25"/>
      </w:rPr>
      <w:t>257—2007</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03"/>
      <w:rPr>
        <w:sz w:val="25"/>
        <w:szCs w:val="25"/>
      </w:rPr>
    </w:pPr>
    <w:r>
      <w:drawing>
        <wp:anchor distT="0" distB="0" distL="0" distR="0" simplePos="0" relativeHeight="251664384" behindDoc="0" locked="0" layoutInCell="0" allowOverlap="1">
          <wp:simplePos x="0" y="0"/>
          <wp:positionH relativeFrom="page">
            <wp:posOffset>838196</wp:posOffset>
          </wp:positionH>
          <wp:positionV relativeFrom="page">
            <wp:posOffset>1193768</wp:posOffset>
          </wp:positionV>
          <wp:extent cx="5911847" cy="12687"/>
          <wp:effectExtent l="0" t="0" r="0" b="0"/>
          <wp:wrapNone/>
          <wp:docPr id="909814156" name="IM 14"/>
          <wp:cNvGraphicFramePr/>
          <a:graphic xmlns:a="http://schemas.openxmlformats.org/drawingml/2006/main">
            <a:graphicData uri="http://schemas.openxmlformats.org/drawingml/2006/picture">
              <pic:pic xmlns:pic="http://schemas.openxmlformats.org/drawingml/2006/picture">
                <pic:nvPicPr>
                  <pic:cNvPr id="909814156" name="IM 14"/>
                  <pic:cNvPicPr/>
                </pic:nvPicPr>
                <pic:blipFill>
                  <a:blip xmlns:r="http://schemas.openxmlformats.org/officeDocument/2006/relationships" r:embed="rId1"/>
                  <a:stretch>
                    <a:fillRect/>
                  </a:stretch>
                </pic:blipFill>
                <pic:spPr>
                  <a:xfrm>
                    <a:off x="0" y="0"/>
                    <a:ext cx="5911847" cy="12687"/>
                  </a:xfrm>
                  <a:prstGeom prst="rect">
                    <a:avLst/>
                  </a:prstGeom>
                </pic:spPr>
              </pic:pic>
            </a:graphicData>
          </a:graphic>
        </wp:anchor>
      </w:drawing>
    </w:r>
    <w:r>
      <w:rPr>
        <w:b/>
        <w:bCs/>
        <w:spacing w:val="-21"/>
        <w:sz w:val="25"/>
        <w:szCs w:val="25"/>
      </w:rPr>
      <w:t>JJG</w:t>
    </w:r>
    <w:r>
      <w:rPr>
        <w:spacing w:val="-21"/>
        <w:sz w:val="25"/>
        <w:szCs w:val="25"/>
      </w:rPr>
      <w:t xml:space="preserve"> </w:t>
    </w:r>
    <w:r>
      <w:rPr>
        <w:b/>
        <w:bCs/>
        <w:spacing w:val="-21"/>
        <w:sz w:val="25"/>
        <w:szCs w:val="25"/>
      </w:rPr>
      <w:t>257—2007</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03"/>
      <w:rPr>
        <w:sz w:val="25"/>
        <w:szCs w:val="25"/>
      </w:rPr>
    </w:pPr>
    <w:r>
      <w:drawing>
        <wp:anchor distT="0" distB="0" distL="0" distR="0" simplePos="0" relativeHeight="251665408" behindDoc="0" locked="0" layoutInCell="0" allowOverlap="1">
          <wp:simplePos x="0" y="0"/>
          <wp:positionH relativeFrom="page">
            <wp:posOffset>838196</wp:posOffset>
          </wp:positionH>
          <wp:positionV relativeFrom="page">
            <wp:posOffset>1193768</wp:posOffset>
          </wp:positionV>
          <wp:extent cx="5911847" cy="12687"/>
          <wp:effectExtent l="0" t="0" r="0" b="0"/>
          <wp:wrapNone/>
          <wp:docPr id="928976636" name="IM 14"/>
          <wp:cNvGraphicFramePr/>
          <a:graphic xmlns:a="http://schemas.openxmlformats.org/drawingml/2006/main">
            <a:graphicData uri="http://schemas.openxmlformats.org/drawingml/2006/picture">
              <pic:pic xmlns:pic="http://schemas.openxmlformats.org/drawingml/2006/picture">
                <pic:nvPicPr>
                  <pic:cNvPr id="928976636" name="IM 14"/>
                  <pic:cNvPicPr/>
                </pic:nvPicPr>
                <pic:blipFill>
                  <a:blip xmlns:r="http://schemas.openxmlformats.org/officeDocument/2006/relationships" r:embed="rId1"/>
                  <a:stretch>
                    <a:fillRect/>
                  </a:stretch>
                </pic:blipFill>
                <pic:spPr>
                  <a:xfrm>
                    <a:off x="0" y="0"/>
                    <a:ext cx="5911847" cy="12687"/>
                  </a:xfrm>
                  <a:prstGeom prst="rect">
                    <a:avLst/>
                  </a:prstGeom>
                </pic:spPr>
              </pic:pic>
            </a:graphicData>
          </a:graphic>
        </wp:anchor>
      </w:drawing>
    </w:r>
    <w:r>
      <w:rPr>
        <w:b/>
        <w:bCs/>
        <w:spacing w:val="-21"/>
        <w:sz w:val="25"/>
        <w:szCs w:val="25"/>
      </w:rPr>
      <w:t>JJG</w:t>
    </w:r>
    <w:r>
      <w:rPr>
        <w:spacing w:val="-21"/>
        <w:sz w:val="25"/>
        <w:szCs w:val="25"/>
      </w:rPr>
      <w:t xml:space="preserve"> </w:t>
    </w:r>
    <w:r>
      <w:rPr>
        <w:b/>
        <w:bCs/>
        <w:spacing w:val="-21"/>
        <w:sz w:val="25"/>
        <w:szCs w:val="25"/>
      </w:rPr>
      <w:t>257—2007</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53"/>
    </w:pPr>
    <w:r>
      <w:drawing>
        <wp:anchor distT="0" distB="0" distL="0" distR="0" simplePos="0" relativeHeight="251666432" behindDoc="0" locked="0" layoutInCell="0" allowOverlap="1">
          <wp:simplePos x="0" y="0"/>
          <wp:positionH relativeFrom="page">
            <wp:posOffset>1028682</wp:posOffset>
          </wp:positionH>
          <wp:positionV relativeFrom="page">
            <wp:posOffset>1174738</wp:posOffset>
          </wp:positionV>
          <wp:extent cx="5905505" cy="12687"/>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5905505" cy="12687"/>
                  </a:xfrm>
                  <a:prstGeom prst="rect">
                    <a:avLst/>
                  </a:prstGeom>
                </pic:spPr>
              </pic:pic>
            </a:graphicData>
          </a:graphic>
        </wp:anchor>
      </w:drawing>
    </w:r>
    <w:r>
      <w:rPr>
        <w:b/>
        <w:bCs/>
        <w:spacing w:val="-16"/>
      </w:rPr>
      <w:t>JJG</w:t>
    </w:r>
    <w:r>
      <w:rPr>
        <w:spacing w:val="-16"/>
      </w:rPr>
      <w:t xml:space="preserve"> </w:t>
    </w:r>
    <w:r>
      <w:rPr>
        <w:b/>
        <w:bCs/>
        <w:spacing w:val="-16"/>
      </w:rPr>
      <w:t>257—2007</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53"/>
    </w:pPr>
    <w:r>
      <w:drawing>
        <wp:anchor distT="0" distB="0" distL="0" distR="0" simplePos="0" relativeHeight="251667456" behindDoc="0" locked="0" layoutInCell="0" allowOverlap="1">
          <wp:simplePos x="0" y="0"/>
          <wp:positionH relativeFrom="page">
            <wp:posOffset>1028682</wp:posOffset>
          </wp:positionH>
          <wp:positionV relativeFrom="page">
            <wp:posOffset>1174738</wp:posOffset>
          </wp:positionV>
          <wp:extent cx="5905505" cy="12687"/>
          <wp:effectExtent l="0" t="0" r="0" b="0"/>
          <wp:wrapNone/>
          <wp:docPr id="2083358639" name="IM 28"/>
          <wp:cNvGraphicFramePr/>
          <a:graphic xmlns:a="http://schemas.openxmlformats.org/drawingml/2006/main">
            <a:graphicData uri="http://schemas.openxmlformats.org/drawingml/2006/picture">
              <pic:pic xmlns:pic="http://schemas.openxmlformats.org/drawingml/2006/picture">
                <pic:nvPicPr>
                  <pic:cNvPr id="2083358639" name="IM 28"/>
                  <pic:cNvPicPr/>
                </pic:nvPicPr>
                <pic:blipFill>
                  <a:blip xmlns:r="http://schemas.openxmlformats.org/officeDocument/2006/relationships" r:embed="rId1"/>
                  <a:stretch>
                    <a:fillRect/>
                  </a:stretch>
                </pic:blipFill>
                <pic:spPr>
                  <a:xfrm>
                    <a:off x="0" y="0"/>
                    <a:ext cx="5905505" cy="12687"/>
                  </a:xfrm>
                  <a:prstGeom prst="rect">
                    <a:avLst/>
                  </a:prstGeom>
                </pic:spPr>
              </pic:pic>
            </a:graphicData>
          </a:graphic>
        </wp:anchor>
      </w:drawing>
    </w:r>
    <w:r>
      <w:rPr>
        <w:b/>
        <w:bCs/>
        <w:spacing w:val="-16"/>
      </w:rPr>
      <w:t>JJG</w:t>
    </w:r>
    <w:r>
      <w:rPr>
        <w:spacing w:val="-16"/>
      </w:rPr>
      <w:t xml:space="preserve"> </w:t>
    </w:r>
    <w:r>
      <w:rPr>
        <w:b/>
        <w:bCs/>
        <w:spacing w:val="-16"/>
      </w:rPr>
      <w:t>257—2007</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49"/>
      <w:rPr>
        <w:rFonts w:ascii="Times New Roman" w:eastAsia="Times New Roman" w:hAnsi="Times New Roman" w:cs="Times New Roman"/>
        <w:sz w:val="19"/>
        <w:szCs w:val="19"/>
      </w:rPr>
    </w:pPr>
    <w:r>
      <w:drawing>
        <wp:anchor distT="0" distB="0" distL="0" distR="0" simplePos="0" relativeHeight="251668480" behindDoc="0" locked="0" layoutInCell="0" allowOverlap="1">
          <wp:simplePos x="0" y="0"/>
          <wp:positionH relativeFrom="page">
            <wp:posOffset>958844</wp:posOffset>
          </wp:positionH>
          <wp:positionV relativeFrom="page">
            <wp:posOffset>1130331</wp:posOffset>
          </wp:positionV>
          <wp:extent cx="5899162" cy="12687"/>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899162" cy="12687"/>
                  </a:xfrm>
                  <a:prstGeom prst="rect">
                    <a:avLst/>
                  </a:prstGeom>
                </pic:spPr>
              </pic:pic>
            </a:graphicData>
          </a:graphic>
        </wp:anchor>
      </w:drawing>
    </w:r>
    <w:r>
      <w:rPr>
        <w:rFonts w:ascii="Times New Roman" w:eastAsia="Times New Roman" w:hAnsi="Times New Roman" w:cs="Times New Roman"/>
        <w:sz w:val="19"/>
        <w:szCs w:val="19"/>
      </w:rPr>
      <w:t>JJG     257—2007</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49"/>
      <w:rPr>
        <w:rFonts w:ascii="Times New Roman" w:eastAsia="Times New Roman" w:hAnsi="Times New Roman" w:cs="Times New Roman"/>
        <w:sz w:val="19"/>
        <w:szCs w:val="19"/>
      </w:rPr>
    </w:pPr>
    <w:r>
      <w:drawing>
        <wp:anchor distT="0" distB="0" distL="0" distR="0" simplePos="0" relativeHeight="251669504" behindDoc="0" locked="0" layoutInCell="0" allowOverlap="1">
          <wp:simplePos x="0" y="0"/>
          <wp:positionH relativeFrom="page">
            <wp:posOffset>958844</wp:posOffset>
          </wp:positionH>
          <wp:positionV relativeFrom="page">
            <wp:posOffset>1130331</wp:posOffset>
          </wp:positionV>
          <wp:extent cx="5899162" cy="12687"/>
          <wp:effectExtent l="0" t="0" r="0" b="0"/>
          <wp:wrapNone/>
          <wp:docPr id="2143020999" name="IM 30"/>
          <wp:cNvGraphicFramePr/>
          <a:graphic xmlns:a="http://schemas.openxmlformats.org/drawingml/2006/main">
            <a:graphicData uri="http://schemas.openxmlformats.org/drawingml/2006/picture">
              <pic:pic xmlns:pic="http://schemas.openxmlformats.org/drawingml/2006/picture">
                <pic:nvPicPr>
                  <pic:cNvPr id="2143020999" name="IM 30"/>
                  <pic:cNvPicPr/>
                </pic:nvPicPr>
                <pic:blipFill>
                  <a:blip xmlns:r="http://schemas.openxmlformats.org/officeDocument/2006/relationships" r:embed="rId1"/>
                  <a:stretch>
                    <a:fillRect/>
                  </a:stretch>
                </pic:blipFill>
                <pic:spPr>
                  <a:xfrm>
                    <a:off x="0" y="0"/>
                    <a:ext cx="5899162" cy="12687"/>
                  </a:xfrm>
                  <a:prstGeom prst="rect">
                    <a:avLst/>
                  </a:prstGeom>
                </pic:spPr>
              </pic:pic>
            </a:graphicData>
          </a:graphic>
        </wp:anchor>
      </w:drawing>
    </w:r>
    <w:r>
      <w:rPr>
        <w:rFonts w:ascii="Times New Roman" w:eastAsia="Times New Roman" w:hAnsi="Times New Roman" w:cs="Times New Roman"/>
        <w:sz w:val="19"/>
        <w:szCs w:val="19"/>
      </w:rPr>
      <w:t>JJG     257—2007</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49"/>
      <w:rPr>
        <w:rFonts w:ascii="Times New Roman" w:eastAsia="Times New Roman" w:hAnsi="Times New Roman" w:cs="Times New Roman"/>
        <w:sz w:val="19"/>
        <w:szCs w:val="19"/>
      </w:rPr>
    </w:pPr>
    <w:r>
      <w:drawing>
        <wp:anchor distT="0" distB="0" distL="0" distR="0" simplePos="0" relativeHeight="251670528" behindDoc="0" locked="0" layoutInCell="0" allowOverlap="1">
          <wp:simplePos x="0" y="0"/>
          <wp:positionH relativeFrom="page">
            <wp:posOffset>958844</wp:posOffset>
          </wp:positionH>
          <wp:positionV relativeFrom="page">
            <wp:posOffset>1130331</wp:posOffset>
          </wp:positionV>
          <wp:extent cx="5899162" cy="12687"/>
          <wp:effectExtent l="0" t="0" r="0" b="0"/>
          <wp:wrapNone/>
          <wp:docPr id="648111834" name="IM 30"/>
          <wp:cNvGraphicFramePr/>
          <a:graphic xmlns:a="http://schemas.openxmlformats.org/drawingml/2006/main">
            <a:graphicData uri="http://schemas.openxmlformats.org/drawingml/2006/picture">
              <pic:pic xmlns:pic="http://schemas.openxmlformats.org/drawingml/2006/picture">
                <pic:nvPicPr>
                  <pic:cNvPr id="648111834" name="IM 30"/>
                  <pic:cNvPicPr/>
                </pic:nvPicPr>
                <pic:blipFill>
                  <a:blip xmlns:r="http://schemas.openxmlformats.org/officeDocument/2006/relationships" r:embed="rId1"/>
                  <a:stretch>
                    <a:fillRect/>
                  </a:stretch>
                </pic:blipFill>
                <pic:spPr>
                  <a:xfrm>
                    <a:off x="0" y="0"/>
                    <a:ext cx="5899162" cy="12687"/>
                  </a:xfrm>
                  <a:prstGeom prst="rect">
                    <a:avLst/>
                  </a:prstGeom>
                </pic:spPr>
              </pic:pic>
            </a:graphicData>
          </a:graphic>
        </wp:anchor>
      </w:drawing>
    </w:r>
    <w:r>
      <w:rPr>
        <w:rFonts w:ascii="Times New Roman" w:eastAsia="Times New Roman" w:hAnsi="Times New Roman" w:cs="Times New Roman"/>
        <w:sz w:val="19"/>
        <w:szCs w:val="19"/>
      </w:rPr>
      <w:t>JJG     257—2007</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49"/>
      <w:rPr>
        <w:rFonts w:ascii="Times New Roman" w:eastAsia="Times New Roman" w:hAnsi="Times New Roman" w:cs="Times New Roman"/>
        <w:sz w:val="19"/>
        <w:szCs w:val="19"/>
      </w:rPr>
    </w:pPr>
    <w:r>
      <w:drawing>
        <wp:anchor distT="0" distB="0" distL="0" distR="0" simplePos="0" relativeHeight="251671552" behindDoc="0" locked="0" layoutInCell="0" allowOverlap="1">
          <wp:simplePos x="0" y="0"/>
          <wp:positionH relativeFrom="page">
            <wp:posOffset>958844</wp:posOffset>
          </wp:positionH>
          <wp:positionV relativeFrom="page">
            <wp:posOffset>1130331</wp:posOffset>
          </wp:positionV>
          <wp:extent cx="5899162" cy="12687"/>
          <wp:effectExtent l="0" t="0" r="0" b="0"/>
          <wp:wrapNone/>
          <wp:docPr id="844408413" name="IM 30"/>
          <wp:cNvGraphicFramePr/>
          <a:graphic xmlns:a="http://schemas.openxmlformats.org/drawingml/2006/main">
            <a:graphicData uri="http://schemas.openxmlformats.org/drawingml/2006/picture">
              <pic:pic xmlns:pic="http://schemas.openxmlformats.org/drawingml/2006/picture">
                <pic:nvPicPr>
                  <pic:cNvPr id="844408413" name="IM 30"/>
                  <pic:cNvPicPr/>
                </pic:nvPicPr>
                <pic:blipFill>
                  <a:blip xmlns:r="http://schemas.openxmlformats.org/officeDocument/2006/relationships" r:embed="rId1"/>
                  <a:stretch>
                    <a:fillRect/>
                  </a:stretch>
                </pic:blipFill>
                <pic:spPr>
                  <a:xfrm>
                    <a:off x="0" y="0"/>
                    <a:ext cx="5899162" cy="12687"/>
                  </a:xfrm>
                  <a:prstGeom prst="rect">
                    <a:avLst/>
                  </a:prstGeom>
                </pic:spPr>
              </pic:pic>
            </a:graphicData>
          </a:graphic>
        </wp:anchor>
      </w:drawing>
    </w:r>
    <w:r>
      <w:rPr>
        <w:rFonts w:ascii="Times New Roman" w:eastAsia="Times New Roman" w:hAnsi="Times New Roman" w:cs="Times New Roman"/>
        <w:sz w:val="19"/>
        <w:szCs w:val="19"/>
      </w:rPr>
      <w:t>JJG     257—2007</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2576"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3600"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258214945" name="IM 34"/>
          <wp:cNvGraphicFramePr/>
          <a:graphic xmlns:a="http://schemas.openxmlformats.org/drawingml/2006/main">
            <a:graphicData uri="http://schemas.openxmlformats.org/drawingml/2006/picture">
              <pic:pic xmlns:pic="http://schemas.openxmlformats.org/drawingml/2006/picture">
                <pic:nvPicPr>
                  <pic:cNvPr id="258214945"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4624"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571169434" name="IM 34"/>
          <wp:cNvGraphicFramePr/>
          <a:graphic xmlns:a="http://schemas.openxmlformats.org/drawingml/2006/main">
            <a:graphicData uri="http://schemas.openxmlformats.org/drawingml/2006/picture">
              <pic:pic xmlns:pic="http://schemas.openxmlformats.org/drawingml/2006/picture">
                <pic:nvPicPr>
                  <pic:cNvPr id="571169434"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5648"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950911017" name="IM 34"/>
          <wp:cNvGraphicFramePr/>
          <a:graphic xmlns:a="http://schemas.openxmlformats.org/drawingml/2006/main">
            <a:graphicData uri="http://schemas.openxmlformats.org/drawingml/2006/picture">
              <pic:pic xmlns:pic="http://schemas.openxmlformats.org/drawingml/2006/picture">
                <pic:nvPicPr>
                  <pic:cNvPr id="950911017"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6672"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798323598" name="IM 34"/>
          <wp:cNvGraphicFramePr/>
          <a:graphic xmlns:a="http://schemas.openxmlformats.org/drawingml/2006/main">
            <a:graphicData uri="http://schemas.openxmlformats.org/drawingml/2006/picture">
              <pic:pic xmlns:pic="http://schemas.openxmlformats.org/drawingml/2006/picture">
                <pic:nvPicPr>
                  <pic:cNvPr id="798323598"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7696"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1014652237" name="IM 34"/>
          <wp:cNvGraphicFramePr/>
          <a:graphic xmlns:a="http://schemas.openxmlformats.org/drawingml/2006/main">
            <a:graphicData uri="http://schemas.openxmlformats.org/drawingml/2006/picture">
              <pic:pic xmlns:pic="http://schemas.openxmlformats.org/drawingml/2006/picture">
                <pic:nvPicPr>
                  <pic:cNvPr id="1014652237"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8720"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494443762" name="IM 34"/>
          <wp:cNvGraphicFramePr/>
          <a:graphic xmlns:a="http://schemas.openxmlformats.org/drawingml/2006/main">
            <a:graphicData uri="http://schemas.openxmlformats.org/drawingml/2006/picture">
              <pic:pic xmlns:pic="http://schemas.openxmlformats.org/drawingml/2006/picture">
                <pic:nvPicPr>
                  <pic:cNvPr id="494443762"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79744"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1394627836" name="IM 34"/>
          <wp:cNvGraphicFramePr/>
          <a:graphic xmlns:a="http://schemas.openxmlformats.org/drawingml/2006/main">
            <a:graphicData uri="http://schemas.openxmlformats.org/drawingml/2006/picture">
              <pic:pic xmlns:pic="http://schemas.openxmlformats.org/drawingml/2006/picture">
                <pic:nvPicPr>
                  <pic:cNvPr id="1394627836"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8"/>
        <w:szCs w:val="18"/>
      </w:rPr>
    </w:pPr>
    <w:r>
      <w:drawing>
        <wp:anchor distT="0" distB="0" distL="0" distR="0" simplePos="0" relativeHeight="251680768" behindDoc="0" locked="0" layoutInCell="0" allowOverlap="1">
          <wp:simplePos x="0" y="0"/>
          <wp:positionH relativeFrom="page">
            <wp:posOffset>1117563</wp:posOffset>
          </wp:positionH>
          <wp:positionV relativeFrom="page">
            <wp:posOffset>1162050</wp:posOffset>
          </wp:positionV>
          <wp:extent cx="5918254" cy="12670"/>
          <wp:effectExtent l="0" t="0" r="0" b="0"/>
          <wp:wrapNone/>
          <wp:docPr id="1523681997" name="IM 34"/>
          <wp:cNvGraphicFramePr/>
          <a:graphic xmlns:a="http://schemas.openxmlformats.org/drawingml/2006/main">
            <a:graphicData uri="http://schemas.openxmlformats.org/drawingml/2006/picture">
              <pic:pic xmlns:pic="http://schemas.openxmlformats.org/drawingml/2006/picture">
                <pic:nvPicPr>
                  <pic:cNvPr id="1523681997" name="IM 34"/>
                  <pic:cNvPicPr/>
                </pic:nvPicPr>
                <pic:blipFill>
                  <a:blip xmlns:r="http://schemas.openxmlformats.org/officeDocument/2006/relationships" r:embed="rId1"/>
                  <a:stretch>
                    <a:fillRect/>
                  </a:stretch>
                </pic:blipFill>
                <pic:spPr>
                  <a:xfrm>
                    <a:off x="0" y="0"/>
                    <a:ext cx="5918254" cy="12670"/>
                  </a:xfrm>
                  <a:prstGeom prst="rect">
                    <a:avLst/>
                  </a:prstGeom>
                </pic:spPr>
              </pic:pic>
            </a:graphicData>
          </a:graphic>
        </wp:anchor>
      </w:drawing>
    </w:r>
    <w:r>
      <w:rPr>
        <w:rFonts w:ascii="Times New Roman" w:eastAsia="Times New Roman" w:hAnsi="Times New Roman" w:cs="Times New Roman"/>
        <w:spacing w:val="-1"/>
        <w:sz w:val="18"/>
        <w:szCs w:val="18"/>
      </w:rPr>
      <w:t>JJG      257—2007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2"/>
      <w:szCs w:val="2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4.1.2.1" TargetMode="External" /><Relationship Id="rId15" Type="http://schemas.openxmlformats.org/officeDocument/2006/relationships/hyperlink" Target="4.1.2.2" TargetMode="External" /><Relationship Id="rId16" Type="http://schemas.openxmlformats.org/officeDocument/2006/relationships/image" Target="media/image5.jpe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yperlink" Target="6.3.2.1" TargetMode="External" /><Relationship Id="rId22" Type="http://schemas.openxmlformats.org/officeDocument/2006/relationships/hyperlink" Target="6.3.2.2" TargetMode="Externa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yperlink" Target="6.3.2.3" TargetMode="External" /><Relationship Id="rId26" Type="http://schemas.openxmlformats.org/officeDocument/2006/relationships/hyperlink" Target="6.3.2.4" TargetMode="External" /><Relationship Id="rId27" Type="http://schemas.openxmlformats.org/officeDocument/2006/relationships/hyperlink" Target="6.3.2.5" TargetMode="External" /><Relationship Id="rId28" Type="http://schemas.openxmlformats.org/officeDocument/2006/relationships/hyperlink" Target="6.3.2.6" TargetMode="External" /><Relationship Id="rId29" Type="http://schemas.openxmlformats.org/officeDocument/2006/relationships/hyperlink" Target="6.3.3.1" TargetMode="Externa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7.jpeg" /><Relationship Id="rId33" Type="http://schemas.openxmlformats.org/officeDocument/2006/relationships/image" Target="media/image8.png"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yperlink" Target="6.3.3.2" TargetMode="External" /><Relationship Id="rId37" Type="http://schemas.openxmlformats.org/officeDocument/2006/relationships/image" Target="media/image10.jpeg" /><Relationship Id="rId38" Type="http://schemas.openxmlformats.org/officeDocument/2006/relationships/image" Target="media/image11.jpeg" /><Relationship Id="rId39" Type="http://schemas.openxmlformats.org/officeDocument/2006/relationships/header" Target="header10.xml" /><Relationship Id="rId4" Type="http://schemas.openxmlformats.org/officeDocument/2006/relationships/header" Target="header1.xml" /><Relationship Id="rId40" Type="http://schemas.openxmlformats.org/officeDocument/2006/relationships/footer" Target="footer10.xml" /><Relationship Id="rId41" Type="http://schemas.openxmlformats.org/officeDocument/2006/relationships/header" Target="header11.xml" /><Relationship Id="rId42" Type="http://schemas.openxmlformats.org/officeDocument/2006/relationships/footer" Target="footer11.xm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hyperlink" Target="7.1.3.1" TargetMode="External" /><Relationship Id="rId46" Type="http://schemas.openxmlformats.org/officeDocument/2006/relationships/hyperlink" Target="7.1.3.2" TargetMode="External" /><Relationship Id="rId47" Type="http://schemas.openxmlformats.org/officeDocument/2006/relationships/hyperlink" Target="7.1.4.1" TargetMode="External" /><Relationship Id="rId48" Type="http://schemas.openxmlformats.org/officeDocument/2006/relationships/hyperlink" Target="7.1.4.2" TargetMode="External" /><Relationship Id="rId49" Type="http://schemas.openxmlformats.org/officeDocument/2006/relationships/hyperlink" Target="7.1.4.3" TargetMode="External" /><Relationship Id="rId5" Type="http://schemas.openxmlformats.org/officeDocument/2006/relationships/footer" Target="footer1.xml" /><Relationship Id="rId50" Type="http://schemas.openxmlformats.org/officeDocument/2006/relationships/hyperlink" Target="7.1.4.4" TargetMode="External" /><Relationship Id="rId51" Type="http://schemas.openxmlformats.org/officeDocument/2006/relationships/header" Target="header13.xml" /><Relationship Id="rId52" Type="http://schemas.openxmlformats.org/officeDocument/2006/relationships/footer" Target="footer13.xml" /><Relationship Id="rId53" Type="http://schemas.openxmlformats.org/officeDocument/2006/relationships/hyperlink" Target="7.1.5.1" TargetMode="External" /><Relationship Id="rId54" Type="http://schemas.openxmlformats.org/officeDocument/2006/relationships/hyperlink" Target="7.1.5.2" TargetMode="External" /><Relationship Id="rId55" Type="http://schemas.openxmlformats.org/officeDocument/2006/relationships/hyperlink" Target="7.1.5.3" TargetMode="External" /><Relationship Id="rId56" Type="http://schemas.openxmlformats.org/officeDocument/2006/relationships/header" Target="header14.xml" /><Relationship Id="rId57" Type="http://schemas.openxmlformats.org/officeDocument/2006/relationships/footer" Target="footer14.xml" /><Relationship Id="rId58" Type="http://schemas.openxmlformats.org/officeDocument/2006/relationships/hyperlink" Target="7.3.6.1" TargetMode="External" /><Relationship Id="rId59" Type="http://schemas.openxmlformats.org/officeDocument/2006/relationships/header" Target="header15.xml" /><Relationship Id="rId6" Type="http://schemas.openxmlformats.org/officeDocument/2006/relationships/header" Target="header2.xml" /><Relationship Id="rId60" Type="http://schemas.openxmlformats.org/officeDocument/2006/relationships/footer" Target="footer15.xml" /><Relationship Id="rId61" Type="http://schemas.openxmlformats.org/officeDocument/2006/relationships/header" Target="header16.xml" /><Relationship Id="rId62" Type="http://schemas.openxmlformats.org/officeDocument/2006/relationships/footer" Target="footer16.xml" /><Relationship Id="rId63" Type="http://schemas.openxmlformats.org/officeDocument/2006/relationships/image" Target="media/image14.png" /><Relationship Id="rId64" Type="http://schemas.openxmlformats.org/officeDocument/2006/relationships/header" Target="header17.xml" /><Relationship Id="rId65" Type="http://schemas.openxmlformats.org/officeDocument/2006/relationships/footer" Target="footer17.xml" /><Relationship Id="rId66" Type="http://schemas.openxmlformats.org/officeDocument/2006/relationships/header" Target="header18.xml" /><Relationship Id="rId67" Type="http://schemas.openxmlformats.org/officeDocument/2006/relationships/footer" Target="footer18.xml" /><Relationship Id="rId68" Type="http://schemas.openxmlformats.org/officeDocument/2006/relationships/image" Target="media/image15.jpeg" /><Relationship Id="rId69" Type="http://schemas.openxmlformats.org/officeDocument/2006/relationships/header" Target="header19.xml" /><Relationship Id="rId7" Type="http://schemas.openxmlformats.org/officeDocument/2006/relationships/footer" Target="footer2.xml" /><Relationship Id="rId70" Type="http://schemas.openxmlformats.org/officeDocument/2006/relationships/footer" Target="footer19.xml" /><Relationship Id="rId71" Type="http://schemas.openxmlformats.org/officeDocument/2006/relationships/image" Target="media/image17.png" /><Relationship Id="rId72" Type="http://schemas.openxmlformats.org/officeDocument/2006/relationships/image" Target="media/image18.png" /><Relationship Id="rId73" Type="http://schemas.openxmlformats.org/officeDocument/2006/relationships/image" Target="media/image19.jpeg" /><Relationship Id="rId74" Type="http://schemas.openxmlformats.org/officeDocument/2006/relationships/image" Target="media/image20.jpeg" /><Relationship Id="rId75" Type="http://schemas.openxmlformats.org/officeDocument/2006/relationships/header" Target="header20.xml" /><Relationship Id="rId76" Type="http://schemas.openxmlformats.org/officeDocument/2006/relationships/footer" Target="footer20.xml" /><Relationship Id="rId77" Type="http://schemas.openxmlformats.org/officeDocument/2006/relationships/header" Target="header21.xml" /><Relationship Id="rId78" Type="http://schemas.openxmlformats.org/officeDocument/2006/relationships/footer" Target="footer21.xml" /><Relationship Id="rId79" Type="http://schemas.openxmlformats.org/officeDocument/2006/relationships/image" Target="media/image21.jpeg" /><Relationship Id="rId8" Type="http://schemas.openxmlformats.org/officeDocument/2006/relationships/image" Target="media/image2.jpeg" /><Relationship Id="rId80" Type="http://schemas.openxmlformats.org/officeDocument/2006/relationships/header" Target="header22.xml" /><Relationship Id="rId81" Type="http://schemas.openxmlformats.org/officeDocument/2006/relationships/footer" Target="footer22.xml" /><Relationship Id="rId82" Type="http://schemas.openxmlformats.org/officeDocument/2006/relationships/header" Target="header23.xml" /><Relationship Id="rId83" Type="http://schemas.openxmlformats.org/officeDocument/2006/relationships/footer" Target="footer23.xml" /><Relationship Id="rId84" Type="http://schemas.openxmlformats.org/officeDocument/2006/relationships/image" Target="media/image22.png" /><Relationship Id="rId85" Type="http://schemas.openxmlformats.org/officeDocument/2006/relationships/header" Target="header24.xml" /><Relationship Id="rId86" Type="http://schemas.openxmlformats.org/officeDocument/2006/relationships/footer" Target="footer24.xml" /><Relationship Id="rId87" Type="http://schemas.openxmlformats.org/officeDocument/2006/relationships/header" Target="header25.xml" /><Relationship Id="rId88" Type="http://schemas.openxmlformats.org/officeDocument/2006/relationships/footer" Target="footer25.xml" /><Relationship Id="rId89" Type="http://schemas.openxmlformats.org/officeDocument/2006/relationships/header" Target="header26.xml" /><Relationship Id="rId9" Type="http://schemas.openxmlformats.org/officeDocument/2006/relationships/image" Target="media/image3.jpeg" /><Relationship Id="rId90" Type="http://schemas.openxmlformats.org/officeDocument/2006/relationships/footer" Target="footer26.xml" /><Relationship Id="rId91" Type="http://schemas.openxmlformats.org/officeDocument/2006/relationships/hyperlink" Target="https://d.book118.com/808077071025006025" TargetMode="External" /><Relationship Id="rId92" Type="http://schemas.openxmlformats.org/officeDocument/2006/relationships/header" Target="header27.xml" /><Relationship Id="rId93" Type="http://schemas.openxmlformats.org/officeDocument/2006/relationships/footer" Target="footer27.xml" /><Relationship Id="rId94" Type="http://schemas.openxmlformats.org/officeDocument/2006/relationships/theme" Target="theme/theme1.xml" /><Relationship Id="rId95"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4.jpeg" /></Relationships>
</file>

<file path=word/_rels/header4.xml.rels><?xml version="1.0" encoding="utf-8" standalone="yes"?><Relationships xmlns="http://schemas.openxmlformats.org/package/2006/relationships"><Relationship Id="rId1" Type="http://schemas.openxmlformats.org/officeDocument/2006/relationships/image" Target="media/image4.jpe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_rels/header9.xml.rels><?xml version="1.0" encoding="utf-8" standalone="yes"?><Relationships xmlns="http://schemas.openxmlformats.org/package/2006/relationships"><Relationship Id="rId1" Type="http://schemas.openxmlformats.org/officeDocument/2006/relationships/image" Target="media/image9.png" /></Relationships>
</file>

<file path=word/_rels/header10.xml.rels><?xml version="1.0" encoding="utf-8" standalone="yes"?><Relationships xmlns="http://schemas.openxmlformats.org/package/2006/relationships"><Relationship Id="rId1" Type="http://schemas.openxmlformats.org/officeDocument/2006/relationships/image" Target="media/image9.png" /></Relationships>
</file>

<file path=word/_rels/header11.xml.rels><?xml version="1.0" encoding="utf-8" standalone="yes"?><Relationships xmlns="http://schemas.openxmlformats.org/package/2006/relationships"><Relationship Id="rId1" Type="http://schemas.openxmlformats.org/officeDocument/2006/relationships/image" Target="media/image9.png" /></Relationships>
</file>

<file path=word/_rels/header12.xml.rels><?xml version="1.0" encoding="utf-8" standalone="yes"?><Relationships xmlns="http://schemas.openxmlformats.org/package/2006/relationships"><Relationship Id="rId1" Type="http://schemas.openxmlformats.org/officeDocument/2006/relationships/image" Target="media/image9.png" /></Relationships>
</file>

<file path=word/_rels/header13.xml.rels><?xml version="1.0" encoding="utf-8" standalone="yes"?><Relationships xmlns="http://schemas.openxmlformats.org/package/2006/relationships"><Relationship Id="rId1" Type="http://schemas.openxmlformats.org/officeDocument/2006/relationships/image" Target="media/image12.png" /></Relationships>
</file>

<file path=word/_rels/header14.xml.rels><?xml version="1.0" encoding="utf-8" standalone="yes"?><Relationships xmlns="http://schemas.openxmlformats.org/package/2006/relationships"><Relationship Id="rId1" Type="http://schemas.openxmlformats.org/officeDocument/2006/relationships/image" Target="media/image12.png" /></Relationships>
</file>

<file path=word/_rels/header15.xml.rels><?xml version="1.0" encoding="utf-8" standalone="yes"?><Relationships xmlns="http://schemas.openxmlformats.org/package/2006/relationships"><Relationship Id="rId1" Type="http://schemas.openxmlformats.org/officeDocument/2006/relationships/image" Target="media/image13.png" /></Relationships>
</file>

<file path=word/_rels/header16.xml.rels><?xml version="1.0" encoding="utf-8" standalone="yes"?><Relationships xmlns="http://schemas.openxmlformats.org/package/2006/relationships"><Relationship Id="rId1" Type="http://schemas.openxmlformats.org/officeDocument/2006/relationships/image" Target="media/image13.png" /></Relationships>
</file>

<file path=word/_rels/header17.xml.rels><?xml version="1.0" encoding="utf-8" standalone="yes"?><Relationships xmlns="http://schemas.openxmlformats.org/package/2006/relationships"><Relationship Id="rId1" Type="http://schemas.openxmlformats.org/officeDocument/2006/relationships/image" Target="media/image13.png" /></Relationships>
</file>

<file path=word/_rels/header18.xml.rels><?xml version="1.0" encoding="utf-8" standalone="yes"?><Relationships xmlns="http://schemas.openxmlformats.org/package/2006/relationships"><Relationship Id="rId1" Type="http://schemas.openxmlformats.org/officeDocument/2006/relationships/image" Target="media/image13.png" /></Relationships>
</file>

<file path=word/_rels/header19.xml.rels><?xml version="1.0" encoding="utf-8" standalone="yes"?><Relationships xmlns="http://schemas.openxmlformats.org/package/2006/relationships"><Relationship Id="rId1" Type="http://schemas.openxmlformats.org/officeDocument/2006/relationships/image" Target="media/image16.jpeg" /></Relationships>
</file>

<file path=word/_rels/header20.xml.rels><?xml version="1.0" encoding="utf-8" standalone="yes"?><Relationships xmlns="http://schemas.openxmlformats.org/package/2006/relationships"><Relationship Id="rId1" Type="http://schemas.openxmlformats.org/officeDocument/2006/relationships/image" Target="media/image16.jpeg" /></Relationships>
</file>

<file path=word/_rels/header21.xml.rels><?xml version="1.0" encoding="utf-8" standalone="yes"?><Relationships xmlns="http://schemas.openxmlformats.org/package/2006/relationships"><Relationship Id="rId1" Type="http://schemas.openxmlformats.org/officeDocument/2006/relationships/image" Target="media/image16.jpeg" /></Relationships>
</file>

<file path=word/_rels/header22.xml.rels><?xml version="1.0" encoding="utf-8" standalone="yes"?><Relationships xmlns="http://schemas.openxmlformats.org/package/2006/relationships"><Relationship Id="rId1" Type="http://schemas.openxmlformats.org/officeDocument/2006/relationships/image" Target="media/image16.jpeg" /></Relationships>
</file>

<file path=word/_rels/header23.xml.rels><?xml version="1.0" encoding="utf-8" standalone="yes"?><Relationships xmlns="http://schemas.openxmlformats.org/package/2006/relationships"><Relationship Id="rId1" Type="http://schemas.openxmlformats.org/officeDocument/2006/relationships/image" Target="media/image16.jpeg" /></Relationships>
</file>

<file path=word/_rels/header24.xml.rels><?xml version="1.0" encoding="utf-8" standalone="yes"?><Relationships xmlns="http://schemas.openxmlformats.org/package/2006/relationships"><Relationship Id="rId1" Type="http://schemas.openxmlformats.org/officeDocument/2006/relationships/image" Target="media/image16.jpeg" /></Relationships>
</file>

<file path=word/_rels/header25.xml.rels><?xml version="1.0" encoding="utf-8" standalone="yes"?><Relationships xmlns="http://schemas.openxmlformats.org/package/2006/relationships"><Relationship Id="rId1" Type="http://schemas.openxmlformats.org/officeDocument/2006/relationships/image" Target="media/image16.jpeg" /></Relationships>
</file>

<file path=word/_rels/header26.xml.rels><?xml version="1.0" encoding="utf-8" standalone="yes"?><Relationships xmlns="http://schemas.openxmlformats.org/package/2006/relationships"><Relationship Id="rId1" Type="http://schemas.openxmlformats.org/officeDocument/2006/relationships/image" Target="media/image16.jpeg" /></Relationships>
</file>

<file path=word/_rels/header27.xml.rels><?xml version="1.0" encoding="utf-8" standalone="yes"?><Relationships xmlns="http://schemas.openxmlformats.org/package/2006/relationships"><Relationship Id="rId1" Type="http://schemas.openxmlformats.org/officeDocument/2006/relationships/image" Target="media/image1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2024-01-10T22:22:32Z</vt:filetime>
  </property>
  <property fmtid="{D5CDD505-2E9C-101B-9397-08002B2CF9AE}" pid="3" name="CRO">
    <vt:lpwstr>wqlLaW5nc29mdCBQREYgdG8gV1BTIDkw</vt:lpwstr>
  </property>
  <property fmtid="{D5CDD505-2E9C-101B-9397-08002B2CF9AE}" pid="4" name="UsrData">
    <vt:lpwstr>659ea8214bc505001ff6c1dawl</vt:lpwstr>
  </property>
</Properties>
</file>