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体育专用地坪漆项目规划设计纲要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34" w:history="1">
        <w:r>
          <w:rPr>
            <w:rFonts w:ascii="仿宋" w:eastAsia="仿宋" w:hAnsi="仿宋" w:cs="仿宋" w:hint="eastAsia"/>
            <w:lang w:eastAsia="zh-CN"/>
          </w:rPr>
          <w:t>概论</w:t>
        </w:r>
        <w:r>
          <w:tab/>
        </w:r>
        <w:r>
          <w:fldChar w:fldCharType="begin"/>
        </w:r>
        <w:r>
          <w:instrText xml:space="preserve"> PAGEREF _Toc16534 \h </w:instrText>
        </w:r>
        <w:r>
          <w:fldChar w:fldCharType="separate"/>
        </w:r>
        <w:r>
          <w:t>3</w:t>
        </w:r>
        <w:r>
          <w:fldChar w:fldCharType="end"/>
        </w:r>
      </w:hyperlink>
    </w:p>
    <w:p>
      <w:pPr>
        <w:pStyle w:val="TOC1"/>
        <w:tabs>
          <w:tab w:val="right" w:leader="dot" w:pos="8306"/>
        </w:tabs>
      </w:pPr>
      <w:hyperlink w:anchor="_Toc24857" w:history="1">
        <w:r>
          <w:rPr>
            <w:rFonts w:ascii="仿宋" w:eastAsia="仿宋" w:hAnsi="仿宋" w:cs="仿宋" w:hint="eastAsia"/>
            <w:lang w:eastAsia="zh-CN"/>
          </w:rPr>
          <w:t>一、体育专用地坪漆项目概论</w:t>
        </w:r>
        <w:r>
          <w:tab/>
        </w:r>
        <w:r>
          <w:fldChar w:fldCharType="begin"/>
        </w:r>
        <w:r>
          <w:instrText xml:space="preserve"> PAGEREF _Toc24857 \h </w:instrText>
        </w:r>
        <w:r>
          <w:fldChar w:fldCharType="separate"/>
        </w:r>
        <w:r>
          <w:t>3</w:t>
        </w:r>
        <w:r>
          <w:fldChar w:fldCharType="end"/>
        </w:r>
      </w:hyperlink>
    </w:p>
    <w:p>
      <w:pPr>
        <w:pStyle w:val="TOC2"/>
        <w:tabs>
          <w:tab w:val="right" w:leader="dot" w:pos="8306"/>
        </w:tabs>
      </w:pPr>
      <w:hyperlink w:anchor="_Toc12744" w:history="1">
        <w:r>
          <w:rPr>
            <w:rFonts w:ascii="仿宋" w:eastAsia="仿宋" w:hAnsi="仿宋" w:cs="仿宋" w:hint="eastAsia"/>
            <w:lang w:eastAsia="zh-CN"/>
          </w:rPr>
          <w:t>(一)、体育专用地坪漆项目概况</w:t>
        </w:r>
        <w:r>
          <w:tab/>
        </w:r>
        <w:r>
          <w:fldChar w:fldCharType="begin"/>
        </w:r>
        <w:r>
          <w:instrText xml:space="preserve"> PAGEREF _Toc12744 \h </w:instrText>
        </w:r>
        <w:r>
          <w:fldChar w:fldCharType="separate"/>
        </w:r>
        <w:r>
          <w:t>3</w:t>
        </w:r>
        <w:r>
          <w:fldChar w:fldCharType="end"/>
        </w:r>
      </w:hyperlink>
    </w:p>
    <w:p>
      <w:pPr>
        <w:pStyle w:val="TOC2"/>
        <w:tabs>
          <w:tab w:val="right" w:leader="dot" w:pos="8306"/>
        </w:tabs>
      </w:pPr>
      <w:hyperlink w:anchor="_Toc6338" w:history="1">
        <w:r>
          <w:rPr>
            <w:rFonts w:ascii="仿宋" w:eastAsia="仿宋" w:hAnsi="仿宋" w:cs="仿宋" w:hint="eastAsia"/>
            <w:lang w:eastAsia="zh-CN"/>
          </w:rPr>
          <w:t>(二)、体育专用地坪漆项目目标</w:t>
        </w:r>
        <w:r>
          <w:tab/>
        </w:r>
        <w:r>
          <w:fldChar w:fldCharType="begin"/>
        </w:r>
        <w:r>
          <w:instrText xml:space="preserve"> PAGEREF _Toc6338 \h </w:instrText>
        </w:r>
        <w:r>
          <w:fldChar w:fldCharType="separate"/>
        </w:r>
        <w:r>
          <w:t>5</w:t>
        </w:r>
        <w:r>
          <w:fldChar w:fldCharType="end"/>
        </w:r>
      </w:hyperlink>
    </w:p>
    <w:p>
      <w:pPr>
        <w:pStyle w:val="TOC2"/>
        <w:tabs>
          <w:tab w:val="right" w:leader="dot" w:pos="8306"/>
        </w:tabs>
      </w:pPr>
      <w:hyperlink w:anchor="_Toc18863" w:history="1">
        <w:r>
          <w:rPr>
            <w:rFonts w:ascii="仿宋" w:eastAsia="仿宋" w:hAnsi="仿宋" w:cs="仿宋" w:hint="eastAsia"/>
            <w:lang w:eastAsia="zh-CN"/>
          </w:rPr>
          <w:t>(三)、体育专用地坪漆项目提出的理由</w:t>
        </w:r>
        <w:r>
          <w:tab/>
        </w:r>
        <w:r>
          <w:fldChar w:fldCharType="begin"/>
        </w:r>
        <w:r>
          <w:instrText xml:space="preserve"> PAGEREF _Toc18863 \h </w:instrText>
        </w:r>
        <w:r>
          <w:fldChar w:fldCharType="separate"/>
        </w:r>
        <w:r>
          <w:t>6</w:t>
        </w:r>
        <w:r>
          <w:fldChar w:fldCharType="end"/>
        </w:r>
      </w:hyperlink>
    </w:p>
    <w:p>
      <w:pPr>
        <w:pStyle w:val="TOC2"/>
        <w:tabs>
          <w:tab w:val="right" w:leader="dot" w:pos="8306"/>
        </w:tabs>
      </w:pPr>
      <w:hyperlink w:anchor="_Toc29325" w:history="1">
        <w:r>
          <w:rPr>
            <w:rFonts w:ascii="仿宋" w:eastAsia="仿宋" w:hAnsi="仿宋" w:cs="仿宋" w:hint="eastAsia"/>
            <w:lang w:eastAsia="zh-CN"/>
          </w:rPr>
          <w:t>(四)、体育专用地坪漆项目意义</w:t>
        </w:r>
        <w:r>
          <w:tab/>
        </w:r>
        <w:r>
          <w:fldChar w:fldCharType="begin"/>
        </w:r>
        <w:r>
          <w:instrText xml:space="preserve"> PAGEREF _Toc29325 \h </w:instrText>
        </w:r>
        <w:r>
          <w:fldChar w:fldCharType="separate"/>
        </w:r>
        <w:r>
          <w:t>8</w:t>
        </w:r>
        <w:r>
          <w:fldChar w:fldCharType="end"/>
        </w:r>
      </w:hyperlink>
    </w:p>
    <w:p>
      <w:pPr>
        <w:pStyle w:val="TOC2"/>
        <w:tabs>
          <w:tab w:val="right" w:leader="dot" w:pos="8306"/>
        </w:tabs>
      </w:pPr>
      <w:hyperlink w:anchor="_Toc15737" w:history="1">
        <w:r>
          <w:rPr>
            <w:rFonts w:ascii="仿宋" w:eastAsia="仿宋" w:hAnsi="仿宋" w:cs="仿宋" w:hint="eastAsia"/>
            <w:lang w:eastAsia="zh-CN"/>
          </w:rPr>
          <w:t>(五)、体育专用地坪漆项目背景</w:t>
        </w:r>
        <w:r>
          <w:tab/>
        </w:r>
        <w:r>
          <w:fldChar w:fldCharType="begin"/>
        </w:r>
        <w:r>
          <w:instrText xml:space="preserve"> PAGEREF _Toc15737 \h </w:instrText>
        </w:r>
        <w:r>
          <w:fldChar w:fldCharType="separate"/>
        </w:r>
        <w:r>
          <w:t>9</w:t>
        </w:r>
        <w:r>
          <w:fldChar w:fldCharType="end"/>
        </w:r>
      </w:hyperlink>
    </w:p>
    <w:p>
      <w:pPr>
        <w:pStyle w:val="TOC1"/>
        <w:tabs>
          <w:tab w:val="right" w:leader="dot" w:pos="8306"/>
        </w:tabs>
      </w:pPr>
      <w:hyperlink w:anchor="_Toc25299" w:history="1">
        <w:r>
          <w:rPr>
            <w:rFonts w:ascii="仿宋" w:eastAsia="仿宋" w:hAnsi="仿宋" w:cs="仿宋" w:hint="eastAsia"/>
            <w:lang w:eastAsia="zh-CN"/>
          </w:rPr>
          <w:t>二、体育专用地坪漆项目绩效评估</w:t>
        </w:r>
        <w:r>
          <w:tab/>
        </w:r>
        <w:r>
          <w:fldChar w:fldCharType="begin"/>
        </w:r>
        <w:r>
          <w:instrText xml:space="preserve"> PAGEREF _Toc25299 \h </w:instrText>
        </w:r>
        <w:r>
          <w:fldChar w:fldCharType="separate"/>
        </w:r>
        <w:r>
          <w:t>10</w:t>
        </w:r>
        <w:r>
          <w:fldChar w:fldCharType="end"/>
        </w:r>
      </w:hyperlink>
    </w:p>
    <w:p>
      <w:pPr>
        <w:pStyle w:val="TOC2"/>
        <w:tabs>
          <w:tab w:val="right" w:leader="dot" w:pos="8306"/>
        </w:tabs>
      </w:pPr>
      <w:hyperlink w:anchor="_Toc7258" w:history="1">
        <w:r>
          <w:rPr>
            <w:rFonts w:ascii="仿宋" w:eastAsia="仿宋" w:hAnsi="仿宋" w:cs="仿宋" w:hint="eastAsia"/>
            <w:lang w:eastAsia="zh-CN"/>
          </w:rPr>
          <w:t>(一)、绩效评估指标</w:t>
        </w:r>
        <w:r>
          <w:tab/>
        </w:r>
        <w:r>
          <w:fldChar w:fldCharType="begin"/>
        </w:r>
        <w:r>
          <w:instrText xml:space="preserve"> PAGEREF _Toc7258 \h </w:instrText>
        </w:r>
        <w:r>
          <w:fldChar w:fldCharType="separate"/>
        </w:r>
        <w:r>
          <w:t>10</w:t>
        </w:r>
        <w:r>
          <w:fldChar w:fldCharType="end"/>
        </w:r>
      </w:hyperlink>
    </w:p>
    <w:p>
      <w:pPr>
        <w:pStyle w:val="TOC2"/>
        <w:tabs>
          <w:tab w:val="right" w:leader="dot" w:pos="8306"/>
        </w:tabs>
      </w:pPr>
      <w:hyperlink w:anchor="_Toc32564" w:history="1">
        <w:r>
          <w:rPr>
            <w:rFonts w:ascii="仿宋" w:eastAsia="仿宋" w:hAnsi="仿宋" w:cs="仿宋" w:hint="eastAsia"/>
            <w:lang w:eastAsia="zh-CN"/>
          </w:rPr>
          <w:t>(二)、绩效评估方法</w:t>
        </w:r>
        <w:r>
          <w:tab/>
        </w:r>
        <w:r>
          <w:fldChar w:fldCharType="begin"/>
        </w:r>
        <w:r>
          <w:instrText xml:space="preserve"> PAGEREF _Toc32564 \h </w:instrText>
        </w:r>
        <w:r>
          <w:fldChar w:fldCharType="separate"/>
        </w:r>
        <w:r>
          <w:t>11</w:t>
        </w:r>
        <w:r>
          <w:fldChar w:fldCharType="end"/>
        </w:r>
      </w:hyperlink>
    </w:p>
    <w:p>
      <w:pPr>
        <w:pStyle w:val="TOC2"/>
        <w:tabs>
          <w:tab w:val="right" w:leader="dot" w:pos="8306"/>
        </w:tabs>
      </w:pPr>
      <w:hyperlink w:anchor="_Toc17351" w:history="1">
        <w:r>
          <w:rPr>
            <w:rFonts w:ascii="仿宋" w:eastAsia="仿宋" w:hAnsi="仿宋" w:cs="仿宋" w:hint="eastAsia"/>
            <w:lang w:eastAsia="zh-CN"/>
          </w:rPr>
          <w:t>(三)、绩效评估周期</w:t>
        </w:r>
        <w:r>
          <w:tab/>
        </w:r>
        <w:r>
          <w:fldChar w:fldCharType="begin"/>
        </w:r>
        <w:r>
          <w:instrText xml:space="preserve"> PAGEREF _Toc17351 \h </w:instrText>
        </w:r>
        <w:r>
          <w:fldChar w:fldCharType="separate"/>
        </w:r>
        <w:r>
          <w:t>12</w:t>
        </w:r>
        <w:r>
          <w:fldChar w:fldCharType="end"/>
        </w:r>
      </w:hyperlink>
    </w:p>
    <w:p>
      <w:pPr>
        <w:pStyle w:val="TOC1"/>
        <w:tabs>
          <w:tab w:val="right" w:leader="dot" w:pos="8306"/>
        </w:tabs>
      </w:pPr>
      <w:hyperlink w:anchor="_Toc7263" w:history="1">
        <w:r>
          <w:rPr>
            <w:rFonts w:ascii="仿宋" w:eastAsia="仿宋" w:hAnsi="仿宋" w:cs="仿宋" w:hint="eastAsia"/>
            <w:lang w:eastAsia="zh-CN"/>
          </w:rPr>
          <w:t>三、体育专用地坪漆项目选址可行性分析</w:t>
        </w:r>
        <w:r>
          <w:tab/>
        </w:r>
        <w:r>
          <w:fldChar w:fldCharType="begin"/>
        </w:r>
        <w:r>
          <w:instrText xml:space="preserve"> PAGEREF _Toc7263 \h </w:instrText>
        </w:r>
        <w:r>
          <w:fldChar w:fldCharType="separate"/>
        </w:r>
        <w:r>
          <w:t>13</w:t>
        </w:r>
        <w:r>
          <w:fldChar w:fldCharType="end"/>
        </w:r>
      </w:hyperlink>
    </w:p>
    <w:p>
      <w:pPr>
        <w:pStyle w:val="TOC2"/>
        <w:tabs>
          <w:tab w:val="right" w:leader="dot" w:pos="8306"/>
        </w:tabs>
      </w:pPr>
      <w:hyperlink w:anchor="_Toc5780" w:history="1">
        <w:r>
          <w:rPr>
            <w:rFonts w:ascii="仿宋" w:eastAsia="仿宋" w:hAnsi="仿宋" w:cs="仿宋" w:hint="eastAsia"/>
            <w:lang w:eastAsia="zh-CN"/>
          </w:rPr>
          <w:t>(一)、体育专用地坪漆项目选址</w:t>
        </w:r>
        <w:r>
          <w:tab/>
        </w:r>
        <w:r>
          <w:fldChar w:fldCharType="begin"/>
        </w:r>
        <w:r>
          <w:instrText xml:space="preserve"> PAGEREF _Toc5780 \h </w:instrText>
        </w:r>
        <w:r>
          <w:fldChar w:fldCharType="separate"/>
        </w:r>
        <w:r>
          <w:t>13</w:t>
        </w:r>
        <w:r>
          <w:fldChar w:fldCharType="end"/>
        </w:r>
      </w:hyperlink>
    </w:p>
    <w:p>
      <w:pPr>
        <w:pStyle w:val="TOC2"/>
        <w:tabs>
          <w:tab w:val="right" w:leader="dot" w:pos="8306"/>
        </w:tabs>
      </w:pPr>
      <w:hyperlink w:anchor="_Toc30509" w:history="1">
        <w:r>
          <w:rPr>
            <w:rFonts w:ascii="仿宋" w:eastAsia="仿宋" w:hAnsi="仿宋" w:cs="仿宋" w:hint="eastAsia"/>
            <w:lang w:eastAsia="zh-CN"/>
          </w:rPr>
          <w:t>(二)、用地控制指标</w:t>
        </w:r>
        <w:r>
          <w:tab/>
        </w:r>
        <w:r>
          <w:fldChar w:fldCharType="begin"/>
        </w:r>
        <w:r>
          <w:instrText xml:space="preserve"> PAGEREF _Toc30509 \h </w:instrText>
        </w:r>
        <w:r>
          <w:fldChar w:fldCharType="separate"/>
        </w:r>
        <w:r>
          <w:t>13</w:t>
        </w:r>
        <w:r>
          <w:fldChar w:fldCharType="end"/>
        </w:r>
      </w:hyperlink>
    </w:p>
    <w:p>
      <w:pPr>
        <w:pStyle w:val="TOC2"/>
        <w:tabs>
          <w:tab w:val="right" w:leader="dot" w:pos="8306"/>
        </w:tabs>
      </w:pPr>
      <w:hyperlink w:anchor="_Toc5672" w:history="1">
        <w:r>
          <w:rPr>
            <w:rFonts w:ascii="仿宋" w:eastAsia="仿宋" w:hAnsi="仿宋" w:cs="仿宋" w:hint="eastAsia"/>
            <w:lang w:eastAsia="zh-CN"/>
          </w:rPr>
          <w:t>(三)、节约用地措施</w:t>
        </w:r>
        <w:r>
          <w:tab/>
        </w:r>
        <w:r>
          <w:fldChar w:fldCharType="begin"/>
        </w:r>
        <w:r>
          <w:instrText xml:space="preserve"> PAGEREF _Toc5672 \h </w:instrText>
        </w:r>
        <w:r>
          <w:fldChar w:fldCharType="separate"/>
        </w:r>
        <w:r>
          <w:t>15</w:t>
        </w:r>
        <w:r>
          <w:fldChar w:fldCharType="end"/>
        </w:r>
      </w:hyperlink>
    </w:p>
    <w:p>
      <w:pPr>
        <w:pStyle w:val="TOC2"/>
        <w:tabs>
          <w:tab w:val="right" w:leader="dot" w:pos="8306"/>
        </w:tabs>
      </w:pPr>
      <w:hyperlink w:anchor="_Toc11158" w:history="1">
        <w:r>
          <w:rPr>
            <w:rFonts w:ascii="仿宋" w:eastAsia="仿宋" w:hAnsi="仿宋" w:cs="仿宋" w:hint="eastAsia"/>
            <w:lang w:eastAsia="zh-CN"/>
          </w:rPr>
          <w:t>(四)、总图布置方案</w:t>
        </w:r>
        <w:r>
          <w:tab/>
        </w:r>
        <w:r>
          <w:fldChar w:fldCharType="begin"/>
        </w:r>
        <w:r>
          <w:instrText xml:space="preserve"> PAGEREF _Toc11158 \h </w:instrText>
        </w:r>
        <w:r>
          <w:fldChar w:fldCharType="separate"/>
        </w:r>
        <w:r>
          <w:t>16</w:t>
        </w:r>
        <w:r>
          <w:fldChar w:fldCharType="end"/>
        </w:r>
      </w:hyperlink>
    </w:p>
    <w:p>
      <w:pPr>
        <w:pStyle w:val="TOC2"/>
        <w:tabs>
          <w:tab w:val="right" w:leader="dot" w:pos="8306"/>
        </w:tabs>
      </w:pPr>
      <w:hyperlink w:anchor="_Toc13853" w:history="1">
        <w:r>
          <w:rPr>
            <w:rFonts w:ascii="仿宋" w:eastAsia="仿宋" w:hAnsi="仿宋" w:cs="仿宋" w:hint="eastAsia"/>
            <w:lang w:eastAsia="zh-CN"/>
          </w:rPr>
          <w:t>(五)、选址综合评价</w:t>
        </w:r>
        <w:r>
          <w:tab/>
        </w:r>
        <w:r>
          <w:fldChar w:fldCharType="begin"/>
        </w:r>
        <w:r>
          <w:instrText xml:space="preserve"> PAGEREF _Toc13853 \h </w:instrText>
        </w:r>
        <w:r>
          <w:fldChar w:fldCharType="separate"/>
        </w:r>
        <w:r>
          <w:t>17</w:t>
        </w:r>
        <w:r>
          <w:fldChar w:fldCharType="end"/>
        </w:r>
      </w:hyperlink>
    </w:p>
    <w:p>
      <w:pPr>
        <w:pStyle w:val="TOC1"/>
        <w:tabs>
          <w:tab w:val="right" w:leader="dot" w:pos="8306"/>
        </w:tabs>
      </w:pPr>
      <w:hyperlink w:anchor="_Toc4166" w:history="1">
        <w:r>
          <w:rPr>
            <w:rFonts w:ascii="仿宋" w:eastAsia="仿宋" w:hAnsi="仿宋" w:cs="仿宋" w:hint="eastAsia"/>
            <w:lang w:eastAsia="zh-CN"/>
          </w:rPr>
          <w:t>四、体育专用地坪漆项目危机管理</w:t>
        </w:r>
        <w:r>
          <w:tab/>
        </w:r>
        <w:r>
          <w:fldChar w:fldCharType="begin"/>
        </w:r>
        <w:r>
          <w:instrText xml:space="preserve"> PAGEREF _Toc4166 \h </w:instrText>
        </w:r>
        <w:r>
          <w:fldChar w:fldCharType="separate"/>
        </w:r>
        <w:r>
          <w:t>19</w:t>
        </w:r>
        <w:r>
          <w:fldChar w:fldCharType="end"/>
        </w:r>
      </w:hyperlink>
    </w:p>
    <w:p>
      <w:pPr>
        <w:pStyle w:val="TOC2"/>
        <w:tabs>
          <w:tab w:val="right" w:leader="dot" w:pos="8306"/>
        </w:tabs>
      </w:pPr>
      <w:hyperlink w:anchor="_Toc17921" w:history="1">
        <w:r>
          <w:rPr>
            <w:rFonts w:ascii="仿宋" w:eastAsia="仿宋" w:hAnsi="仿宋" w:cs="仿宋" w:hint="eastAsia"/>
            <w:lang w:eastAsia="zh-CN"/>
          </w:rPr>
          <w:t>(一)、危机预警与识别</w:t>
        </w:r>
        <w:r>
          <w:tab/>
        </w:r>
        <w:r>
          <w:fldChar w:fldCharType="begin"/>
        </w:r>
        <w:r>
          <w:instrText xml:space="preserve"> PAGEREF _Toc17921 \h </w:instrText>
        </w:r>
        <w:r>
          <w:fldChar w:fldCharType="separate"/>
        </w:r>
        <w:r>
          <w:t>19</w:t>
        </w:r>
        <w:r>
          <w:fldChar w:fldCharType="end"/>
        </w:r>
      </w:hyperlink>
    </w:p>
    <w:p>
      <w:pPr>
        <w:pStyle w:val="TOC2"/>
        <w:tabs>
          <w:tab w:val="right" w:leader="dot" w:pos="8306"/>
        </w:tabs>
      </w:pPr>
      <w:hyperlink w:anchor="_Toc987" w:history="1">
        <w:r>
          <w:rPr>
            <w:rFonts w:ascii="仿宋" w:eastAsia="仿宋" w:hAnsi="仿宋" w:cs="仿宋" w:hint="eastAsia"/>
            <w:lang w:eastAsia="zh-CN"/>
          </w:rPr>
          <w:t>(二)、危机应对与恢复</w:t>
        </w:r>
        <w:r>
          <w:tab/>
        </w:r>
        <w:r>
          <w:fldChar w:fldCharType="begin"/>
        </w:r>
        <w:r>
          <w:instrText xml:space="preserve"> PAGEREF _Toc987 \h </w:instrText>
        </w:r>
        <w:r>
          <w:fldChar w:fldCharType="separate"/>
        </w:r>
        <w:r>
          <w:t>20</w:t>
        </w:r>
        <w:r>
          <w:fldChar w:fldCharType="end"/>
        </w:r>
      </w:hyperlink>
    </w:p>
    <w:p>
      <w:pPr>
        <w:pStyle w:val="TOC1"/>
        <w:tabs>
          <w:tab w:val="right" w:leader="dot" w:pos="8306"/>
        </w:tabs>
      </w:pPr>
      <w:hyperlink w:anchor="_Toc27166" w:history="1">
        <w:r>
          <w:rPr>
            <w:rFonts w:ascii="仿宋" w:eastAsia="仿宋" w:hAnsi="仿宋" w:cs="仿宋" w:hint="eastAsia"/>
            <w:lang w:eastAsia="zh-CN"/>
          </w:rPr>
          <w:t>五、体育专用地坪漆项目可持续发展</w:t>
        </w:r>
        <w:r>
          <w:tab/>
        </w:r>
        <w:r>
          <w:fldChar w:fldCharType="begin"/>
        </w:r>
        <w:r>
          <w:instrText xml:space="preserve"> PAGEREF _Toc27166 \h </w:instrText>
        </w:r>
        <w:r>
          <w:fldChar w:fldCharType="separate"/>
        </w:r>
        <w:r>
          <w:t>21</w:t>
        </w:r>
        <w:r>
          <w:fldChar w:fldCharType="end"/>
        </w:r>
      </w:hyperlink>
    </w:p>
    <w:p>
      <w:pPr>
        <w:pStyle w:val="TOC2"/>
        <w:tabs>
          <w:tab w:val="right" w:leader="dot" w:pos="8306"/>
        </w:tabs>
      </w:pPr>
      <w:hyperlink w:anchor="_Toc24851" w:history="1">
        <w:r>
          <w:rPr>
            <w:rFonts w:ascii="仿宋" w:eastAsia="仿宋" w:hAnsi="仿宋" w:cs="仿宋" w:hint="eastAsia"/>
            <w:lang w:eastAsia="zh-CN"/>
          </w:rPr>
          <w:t>(一)、可持续战略与实践</w:t>
        </w:r>
        <w:r>
          <w:tab/>
        </w:r>
        <w:r>
          <w:fldChar w:fldCharType="begin"/>
        </w:r>
        <w:r>
          <w:instrText xml:space="preserve"> PAGEREF _Toc24851 \h </w:instrText>
        </w:r>
        <w:r>
          <w:fldChar w:fldCharType="separate"/>
        </w:r>
        <w:r>
          <w:t>21</w:t>
        </w:r>
        <w:r>
          <w:fldChar w:fldCharType="end"/>
        </w:r>
      </w:hyperlink>
    </w:p>
    <w:p>
      <w:pPr>
        <w:pStyle w:val="TOC2"/>
        <w:tabs>
          <w:tab w:val="right" w:leader="dot" w:pos="8306"/>
        </w:tabs>
      </w:pPr>
      <w:hyperlink w:anchor="_Toc9066" w:history="1">
        <w:r>
          <w:rPr>
            <w:rFonts w:ascii="仿宋" w:eastAsia="仿宋" w:hAnsi="仿宋" w:cs="仿宋" w:hint="eastAsia"/>
            <w:lang w:eastAsia="zh-CN"/>
          </w:rPr>
          <w:t>(二)、环保与社会责任</w:t>
        </w:r>
        <w:r>
          <w:tab/>
        </w:r>
        <w:r>
          <w:fldChar w:fldCharType="begin"/>
        </w:r>
        <w:r>
          <w:instrText xml:space="preserve"> PAGEREF _Toc9066 \h </w:instrText>
        </w:r>
        <w:r>
          <w:fldChar w:fldCharType="separate"/>
        </w:r>
        <w:r>
          <w:t>22</w:t>
        </w:r>
        <w:r>
          <w:fldChar w:fldCharType="end"/>
        </w:r>
      </w:hyperlink>
    </w:p>
    <w:p>
      <w:pPr>
        <w:pStyle w:val="TOC1"/>
        <w:tabs>
          <w:tab w:val="right" w:leader="dot" w:pos="8306"/>
        </w:tabs>
      </w:pPr>
      <w:hyperlink w:anchor="_Toc14709" w:history="1">
        <w:r>
          <w:rPr>
            <w:rFonts w:ascii="仿宋" w:eastAsia="仿宋" w:hAnsi="仿宋" w:cs="仿宋" w:hint="eastAsia"/>
            <w:lang w:eastAsia="zh-CN"/>
          </w:rPr>
          <w:t>六、体育专用地坪漆项目建设背景及必要性分析</w:t>
        </w:r>
        <w:r>
          <w:tab/>
        </w:r>
        <w:r>
          <w:fldChar w:fldCharType="begin"/>
        </w:r>
        <w:r>
          <w:instrText xml:space="preserve"> PAGEREF _Toc14709 \h </w:instrText>
        </w:r>
        <w:r>
          <w:fldChar w:fldCharType="separate"/>
        </w:r>
        <w:r>
          <w:t>23</w:t>
        </w:r>
        <w:r>
          <w:fldChar w:fldCharType="end"/>
        </w:r>
      </w:hyperlink>
    </w:p>
    <w:p>
      <w:pPr>
        <w:pStyle w:val="TOC2"/>
        <w:tabs>
          <w:tab w:val="right" w:leader="dot" w:pos="8306"/>
        </w:tabs>
      </w:pPr>
      <w:hyperlink w:anchor="_Toc10255" w:history="1">
        <w:r>
          <w:rPr>
            <w:rFonts w:ascii="仿宋" w:eastAsia="仿宋" w:hAnsi="仿宋" w:cs="仿宋" w:hint="eastAsia"/>
            <w:lang w:eastAsia="zh-CN"/>
          </w:rPr>
          <w:t>(一)、体育专用地坪漆项目背景分析</w:t>
        </w:r>
        <w:r>
          <w:tab/>
        </w:r>
        <w:r>
          <w:fldChar w:fldCharType="begin"/>
        </w:r>
        <w:r>
          <w:instrText xml:space="preserve"> PAGEREF _Toc10255 \h </w:instrText>
        </w:r>
        <w:r>
          <w:fldChar w:fldCharType="separate"/>
        </w:r>
        <w:r>
          <w:t>23</w:t>
        </w:r>
        <w:r>
          <w:fldChar w:fldCharType="end"/>
        </w:r>
      </w:hyperlink>
    </w:p>
    <w:p>
      <w:pPr>
        <w:pStyle w:val="TOC2"/>
        <w:tabs>
          <w:tab w:val="right" w:leader="dot" w:pos="8306"/>
        </w:tabs>
      </w:pPr>
      <w:hyperlink w:anchor="_Toc12861" w:history="1">
        <w:r>
          <w:rPr>
            <w:rFonts w:ascii="仿宋" w:eastAsia="仿宋" w:hAnsi="仿宋" w:cs="仿宋" w:hint="eastAsia"/>
            <w:lang w:eastAsia="zh-CN"/>
          </w:rPr>
          <w:t>(二)、体育专用地坪漆项目建设必要性分析</w:t>
        </w:r>
        <w:r>
          <w:tab/>
        </w:r>
        <w:r>
          <w:fldChar w:fldCharType="begin"/>
        </w:r>
        <w:r>
          <w:instrText xml:space="preserve"> PAGEREF _Toc12861 \h </w:instrText>
        </w:r>
        <w:r>
          <w:fldChar w:fldCharType="separate"/>
        </w:r>
        <w:r>
          <w:t>25</w:t>
        </w:r>
        <w:r>
          <w:fldChar w:fldCharType="end"/>
        </w:r>
      </w:hyperlink>
    </w:p>
    <w:p>
      <w:pPr>
        <w:pStyle w:val="TOC1"/>
        <w:tabs>
          <w:tab w:val="right" w:leader="dot" w:pos="8306"/>
        </w:tabs>
      </w:pPr>
      <w:hyperlink w:anchor="_Toc6450" w:history="1">
        <w:r>
          <w:rPr>
            <w:rFonts w:ascii="仿宋" w:eastAsia="仿宋" w:hAnsi="仿宋" w:cs="仿宋" w:hint="eastAsia"/>
            <w:lang w:eastAsia="zh-CN"/>
          </w:rPr>
          <w:t>七、体育专用地坪漆项目人力资源管理</w:t>
        </w:r>
        <w:r>
          <w:tab/>
        </w:r>
        <w:r>
          <w:fldChar w:fldCharType="begin"/>
        </w:r>
        <w:r>
          <w:instrText xml:space="preserve"> PAGEREF _Toc6450 \h </w:instrText>
        </w:r>
        <w:r>
          <w:fldChar w:fldCharType="separate"/>
        </w:r>
        <w:r>
          <w:t>26</w:t>
        </w:r>
        <w:r>
          <w:fldChar w:fldCharType="end"/>
        </w:r>
      </w:hyperlink>
    </w:p>
    <w:p>
      <w:pPr>
        <w:pStyle w:val="TOC2"/>
        <w:tabs>
          <w:tab w:val="right" w:leader="dot" w:pos="8306"/>
        </w:tabs>
      </w:pPr>
      <w:hyperlink w:anchor="_Toc32136" w:history="1">
        <w:r>
          <w:rPr>
            <w:rFonts w:ascii="仿宋" w:eastAsia="仿宋" w:hAnsi="仿宋" w:cs="仿宋" w:hint="eastAsia"/>
            <w:lang w:eastAsia="zh-CN"/>
          </w:rPr>
          <w:t>(一)、建立健全的预算管理制度</w:t>
        </w:r>
        <w:r>
          <w:tab/>
        </w:r>
        <w:r>
          <w:fldChar w:fldCharType="begin"/>
        </w:r>
        <w:r>
          <w:instrText xml:space="preserve"> PAGEREF _Toc32136 \h </w:instrText>
        </w:r>
        <w:r>
          <w:fldChar w:fldCharType="separate"/>
        </w:r>
        <w:r>
          <w:t>26</w:t>
        </w:r>
        <w:r>
          <w:fldChar w:fldCharType="end"/>
        </w:r>
      </w:hyperlink>
    </w:p>
    <w:p>
      <w:pPr>
        <w:pStyle w:val="TOC2"/>
        <w:tabs>
          <w:tab w:val="right" w:leader="dot" w:pos="8306"/>
        </w:tabs>
      </w:pPr>
      <w:hyperlink w:anchor="_Toc18392" w:history="1">
        <w:r>
          <w:rPr>
            <w:rFonts w:ascii="仿宋" w:eastAsia="仿宋" w:hAnsi="仿宋" w:cs="仿宋" w:hint="eastAsia"/>
            <w:lang w:eastAsia="zh-CN"/>
          </w:rPr>
          <w:t>(二)、加强资金流动监控</w:t>
        </w:r>
        <w:r>
          <w:tab/>
        </w:r>
        <w:r>
          <w:fldChar w:fldCharType="begin"/>
        </w:r>
        <w:r>
          <w:instrText xml:space="preserve"> PAGEREF _Toc18392 \h </w:instrText>
        </w:r>
        <w:r>
          <w:fldChar w:fldCharType="separate"/>
        </w:r>
        <w:r>
          <w:t>28</w:t>
        </w:r>
        <w:r>
          <w:fldChar w:fldCharType="end"/>
        </w:r>
      </w:hyperlink>
    </w:p>
    <w:p>
      <w:pPr>
        <w:pStyle w:val="TOC2"/>
        <w:tabs>
          <w:tab w:val="right" w:leader="dot" w:pos="8306"/>
        </w:tabs>
      </w:pPr>
      <w:hyperlink w:anchor="_Toc31261" w:history="1">
        <w:r>
          <w:rPr>
            <w:rFonts w:ascii="仿宋" w:eastAsia="仿宋" w:hAnsi="仿宋" w:cs="仿宋" w:hint="eastAsia"/>
            <w:lang w:eastAsia="zh-CN"/>
          </w:rPr>
          <w:t>(三)、制定完善的风险控制机制</w:t>
        </w:r>
        <w:r>
          <w:tab/>
        </w:r>
        <w:r>
          <w:fldChar w:fldCharType="begin"/>
        </w:r>
        <w:r>
          <w:instrText xml:space="preserve"> PAGEREF _Toc31261 \h </w:instrText>
        </w:r>
        <w:r>
          <w:fldChar w:fldCharType="separate"/>
        </w:r>
        <w:r>
          <w:t>29</w:t>
        </w:r>
        <w:r>
          <w:fldChar w:fldCharType="end"/>
        </w:r>
      </w:hyperlink>
    </w:p>
    <w:p>
      <w:pPr>
        <w:pStyle w:val="TOC2"/>
        <w:tabs>
          <w:tab w:val="right" w:leader="dot" w:pos="8306"/>
        </w:tabs>
      </w:pPr>
      <w:hyperlink w:anchor="_Toc2594" w:history="1">
        <w:r>
          <w:rPr>
            <w:rFonts w:ascii="仿宋" w:eastAsia="仿宋" w:hAnsi="仿宋" w:cs="仿宋" w:hint="eastAsia"/>
            <w:lang w:eastAsia="zh-CN"/>
          </w:rPr>
          <w:t>(四)、优化成本管理</w:t>
        </w:r>
        <w:r>
          <w:tab/>
        </w:r>
        <w:r>
          <w:fldChar w:fldCharType="begin"/>
        </w:r>
        <w:r>
          <w:instrText xml:space="preserve"> PAGEREF _Toc2594 \h </w:instrText>
        </w:r>
        <w:r>
          <w:fldChar w:fldCharType="separate"/>
        </w:r>
        <w:r>
          <w:t>30</w:t>
        </w:r>
        <w:r>
          <w:fldChar w:fldCharType="end"/>
        </w:r>
      </w:hyperlink>
    </w:p>
    <w:p>
      <w:pPr>
        <w:pStyle w:val="TOC1"/>
        <w:tabs>
          <w:tab w:val="right" w:leader="dot" w:pos="8306"/>
        </w:tabs>
      </w:pPr>
      <w:hyperlink w:anchor="_Toc5700" w:history="1">
        <w:r>
          <w:rPr>
            <w:rFonts w:ascii="仿宋" w:eastAsia="仿宋" w:hAnsi="仿宋" w:cs="仿宋" w:hint="eastAsia"/>
            <w:lang w:eastAsia="zh-CN"/>
          </w:rPr>
          <w:t>八、体育专用地坪漆项目环境影响分析</w:t>
        </w:r>
        <w:r>
          <w:tab/>
        </w:r>
        <w:r>
          <w:fldChar w:fldCharType="begin"/>
        </w:r>
        <w:r>
          <w:instrText xml:space="preserve"> PAGEREF _Toc5700 \h </w:instrText>
        </w:r>
        <w:r>
          <w:fldChar w:fldCharType="separate"/>
        </w:r>
        <w:r>
          <w:t>32</w:t>
        </w:r>
        <w:r>
          <w:fldChar w:fldCharType="end"/>
        </w:r>
      </w:hyperlink>
    </w:p>
    <w:p>
      <w:pPr>
        <w:pStyle w:val="TOC2"/>
        <w:tabs>
          <w:tab w:val="right" w:leader="dot" w:pos="8306"/>
        </w:tabs>
      </w:pPr>
      <w:hyperlink w:anchor="_Toc27446" w:history="1">
        <w:r>
          <w:rPr>
            <w:rFonts w:ascii="仿宋" w:eastAsia="仿宋" w:hAnsi="仿宋" w:cs="仿宋" w:hint="eastAsia"/>
            <w:lang w:eastAsia="zh-CN"/>
          </w:rPr>
          <w:t>(一)、建设区域环境质量现状</w:t>
        </w:r>
        <w:r>
          <w:tab/>
        </w:r>
        <w:r>
          <w:fldChar w:fldCharType="begin"/>
        </w:r>
        <w:r>
          <w:instrText xml:space="preserve"> PAGEREF _Toc27446 \h </w:instrText>
        </w:r>
        <w:r>
          <w:fldChar w:fldCharType="separate"/>
        </w:r>
        <w:r>
          <w:t>32</w:t>
        </w:r>
        <w:r>
          <w:fldChar w:fldCharType="end"/>
        </w:r>
      </w:hyperlink>
    </w:p>
    <w:p>
      <w:pPr>
        <w:pStyle w:val="TOC2"/>
        <w:tabs>
          <w:tab w:val="right" w:leader="dot" w:pos="8306"/>
        </w:tabs>
      </w:pPr>
      <w:hyperlink w:anchor="_Toc13961" w:history="1">
        <w:r>
          <w:rPr>
            <w:rFonts w:ascii="仿宋" w:eastAsia="仿宋" w:hAnsi="仿宋" w:cs="仿宋" w:hint="eastAsia"/>
            <w:lang w:eastAsia="zh-CN"/>
          </w:rPr>
          <w:t>(二)、建设期环境保护</w:t>
        </w:r>
        <w:r>
          <w:tab/>
        </w:r>
        <w:r>
          <w:fldChar w:fldCharType="begin"/>
        </w:r>
        <w:r>
          <w:instrText xml:space="preserve"> PAGEREF _Toc13961 \h </w:instrText>
        </w:r>
        <w:r>
          <w:fldChar w:fldCharType="separate"/>
        </w:r>
        <w:r>
          <w:t>33</w:t>
        </w:r>
        <w:r>
          <w:fldChar w:fldCharType="end"/>
        </w:r>
      </w:hyperlink>
    </w:p>
    <w:p>
      <w:pPr>
        <w:pStyle w:val="TOC2"/>
        <w:tabs>
          <w:tab w:val="right" w:leader="dot" w:pos="8306"/>
        </w:tabs>
      </w:pPr>
      <w:hyperlink w:anchor="_Toc4998" w:history="1">
        <w:r>
          <w:rPr>
            <w:rFonts w:ascii="仿宋" w:eastAsia="仿宋" w:hAnsi="仿宋" w:cs="仿宋" w:hint="eastAsia"/>
            <w:lang w:eastAsia="zh-CN"/>
          </w:rPr>
          <w:t>(三)、运营期环境保护</w:t>
        </w:r>
        <w:r>
          <w:tab/>
        </w:r>
        <w:r>
          <w:fldChar w:fldCharType="begin"/>
        </w:r>
        <w:r>
          <w:instrText xml:space="preserve"> PAGEREF _Toc4998 \h </w:instrText>
        </w:r>
        <w:r>
          <w:fldChar w:fldCharType="separate"/>
        </w:r>
        <w:r>
          <w:t>35</w:t>
        </w:r>
        <w:r>
          <w:fldChar w:fldCharType="end"/>
        </w:r>
      </w:hyperlink>
    </w:p>
    <w:p>
      <w:pPr>
        <w:pStyle w:val="TOC2"/>
        <w:tabs>
          <w:tab w:val="right" w:leader="dot" w:pos="8306"/>
        </w:tabs>
      </w:pPr>
      <w:hyperlink w:anchor="_Toc10077" w:history="1">
        <w:r>
          <w:rPr>
            <w:rFonts w:ascii="仿宋" w:eastAsia="仿宋" w:hAnsi="仿宋" w:cs="仿宋" w:hint="eastAsia"/>
            <w:lang w:eastAsia="zh-CN"/>
          </w:rPr>
          <w:t>(四)、体育专用地坪漆项目建设对区域经济的影响</w:t>
        </w:r>
        <w:r>
          <w:tab/>
        </w:r>
        <w:r>
          <w:fldChar w:fldCharType="begin"/>
        </w:r>
        <w:r>
          <w:instrText xml:space="preserve"> PAGEREF _Toc10077 \h </w:instrText>
        </w:r>
        <w:r>
          <w:fldChar w:fldCharType="separate"/>
        </w:r>
        <w:r>
          <w:t>36</w:t>
        </w:r>
        <w:r>
          <w:fldChar w:fldCharType="end"/>
        </w:r>
      </w:hyperlink>
    </w:p>
    <w:p>
      <w:pPr>
        <w:pStyle w:val="TOC2"/>
        <w:tabs>
          <w:tab w:val="right" w:leader="dot" w:pos="8306"/>
        </w:tabs>
      </w:pPr>
      <w:hyperlink w:anchor="_Toc29793" w:history="1">
        <w:r>
          <w:rPr>
            <w:rFonts w:ascii="仿宋" w:eastAsia="仿宋" w:hAnsi="仿宋" w:cs="仿宋" w:hint="eastAsia"/>
            <w:lang w:eastAsia="zh-CN"/>
          </w:rPr>
          <w:t>(五)、废弃物处理</w:t>
        </w:r>
        <w:r>
          <w:tab/>
        </w:r>
        <w:r>
          <w:fldChar w:fldCharType="begin"/>
        </w:r>
        <w:r>
          <w:instrText xml:space="preserve"> PAGEREF _Toc29793 \h </w:instrText>
        </w:r>
        <w:r>
          <w:fldChar w:fldCharType="separate"/>
        </w:r>
        <w:r>
          <w:t>38</w:t>
        </w:r>
        <w:r>
          <w:fldChar w:fldCharType="end"/>
        </w:r>
      </w:hyperlink>
    </w:p>
    <w:p>
      <w:pPr>
        <w:pStyle w:val="TOC2"/>
        <w:tabs>
          <w:tab w:val="right" w:leader="dot" w:pos="8306"/>
        </w:tabs>
      </w:pPr>
      <w:hyperlink w:anchor="_Toc6382" w:history="1">
        <w:r>
          <w:rPr>
            <w:rFonts w:ascii="仿宋" w:eastAsia="仿宋" w:hAnsi="仿宋" w:cs="仿宋" w:hint="eastAsia"/>
            <w:lang w:eastAsia="zh-CN"/>
          </w:rPr>
          <w:t>(六)、特殊环境影响分析</w:t>
        </w:r>
        <w:r>
          <w:tab/>
        </w:r>
        <w:r>
          <w:fldChar w:fldCharType="begin"/>
        </w:r>
        <w:r>
          <w:instrText xml:space="preserve"> PAGEREF _Toc6382 \h </w:instrText>
        </w:r>
        <w:r>
          <w:fldChar w:fldCharType="separate"/>
        </w:r>
        <w:r>
          <w:t>39</w:t>
        </w:r>
        <w:r>
          <w:fldChar w:fldCharType="end"/>
        </w:r>
      </w:hyperlink>
    </w:p>
    <w:p>
      <w:pPr>
        <w:pStyle w:val="TOC2"/>
        <w:tabs>
          <w:tab w:val="right" w:leader="dot" w:pos="8306"/>
        </w:tabs>
      </w:pPr>
      <w:hyperlink w:anchor="_Toc22762" w:history="1">
        <w:r>
          <w:rPr>
            <w:rFonts w:ascii="仿宋" w:eastAsia="仿宋" w:hAnsi="仿宋" w:cs="仿宋" w:hint="eastAsia"/>
            <w:lang w:eastAsia="zh-CN"/>
          </w:rPr>
          <w:t>(七)、清洁生产</w:t>
        </w:r>
        <w:r>
          <w:tab/>
        </w:r>
        <w:r>
          <w:fldChar w:fldCharType="begin"/>
        </w:r>
        <w:r>
          <w:instrText xml:space="preserve"> PAGEREF _Toc22762 \h </w:instrText>
        </w:r>
        <w:r>
          <w:fldChar w:fldCharType="separate"/>
        </w:r>
        <w:r>
          <w:t>40</w:t>
        </w:r>
        <w:r>
          <w:fldChar w:fldCharType="end"/>
        </w:r>
      </w:hyperlink>
    </w:p>
    <w:p>
      <w:pPr>
        <w:pStyle w:val="TOC2"/>
        <w:tabs>
          <w:tab w:val="right" w:leader="dot" w:pos="8306"/>
        </w:tabs>
      </w:pPr>
      <w:hyperlink w:anchor="_Toc24251" w:history="1">
        <w:r>
          <w:rPr>
            <w:rFonts w:ascii="仿宋" w:eastAsia="仿宋" w:hAnsi="仿宋" w:cs="仿宋" w:hint="eastAsia"/>
            <w:lang w:eastAsia="zh-CN"/>
          </w:rPr>
          <w:t>(八)、环境保护综合评价</w:t>
        </w:r>
        <w:r>
          <w:tab/>
        </w:r>
        <w:r>
          <w:fldChar w:fldCharType="begin"/>
        </w:r>
        <w:r>
          <w:instrText xml:space="preserve"> PAGEREF _Toc24251 \h </w:instrText>
        </w:r>
        <w:r>
          <w:fldChar w:fldCharType="separate"/>
        </w:r>
        <w:r>
          <w:t>41</w:t>
        </w:r>
        <w:r>
          <w:fldChar w:fldCharType="end"/>
        </w:r>
      </w:hyperlink>
    </w:p>
    <w:p>
      <w:pPr>
        <w:pStyle w:val="TOC1"/>
        <w:tabs>
          <w:tab w:val="right" w:leader="dot" w:pos="8306"/>
        </w:tabs>
      </w:pPr>
      <w:hyperlink w:anchor="_Toc20460" w:history="1">
        <w:r>
          <w:rPr>
            <w:rFonts w:ascii="仿宋" w:eastAsia="仿宋" w:hAnsi="仿宋" w:cs="仿宋" w:hint="eastAsia"/>
            <w:lang w:eastAsia="zh-CN"/>
          </w:rPr>
          <w:t>九、体育专用地坪漆项目投资规划</w:t>
        </w:r>
        <w:r>
          <w:tab/>
        </w:r>
        <w:r>
          <w:fldChar w:fldCharType="begin"/>
        </w:r>
        <w:r>
          <w:instrText xml:space="preserve"> PAGEREF _Toc20460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95" w:history="1">
        <w:r>
          <w:rPr>
            <w:rFonts w:ascii="仿宋" w:eastAsia="仿宋" w:hAnsi="仿宋" w:cs="仿宋" w:hint="eastAsia"/>
            <w:lang w:eastAsia="zh-CN"/>
          </w:rPr>
          <w:t>(一)、体育专用地坪漆项目总投资估算</w:t>
        </w:r>
        <w:r>
          <w:tab/>
        </w:r>
        <w:r>
          <w:fldChar w:fldCharType="begin"/>
        </w:r>
        <w:r>
          <w:instrText xml:space="preserve"> PAGEREF _Toc14495 \h </w:instrText>
        </w:r>
        <w:r>
          <w:fldChar w:fldCharType="separate"/>
        </w:r>
        <w:r>
          <w:t>43</w:t>
        </w:r>
        <w:r>
          <w:fldChar w:fldCharType="end"/>
        </w:r>
      </w:hyperlink>
    </w:p>
    <w:p>
      <w:pPr>
        <w:pStyle w:val="TOC2"/>
        <w:tabs>
          <w:tab w:val="right" w:leader="dot" w:pos="8306"/>
        </w:tabs>
      </w:pPr>
      <w:hyperlink w:anchor="_Toc15650" w:history="1">
        <w:r>
          <w:rPr>
            <w:rFonts w:ascii="仿宋" w:eastAsia="仿宋" w:hAnsi="仿宋" w:cs="仿宋" w:hint="eastAsia"/>
            <w:lang w:eastAsia="zh-CN"/>
          </w:rPr>
          <w:t>(二)、资金筹措</w:t>
        </w:r>
        <w:r>
          <w:tab/>
        </w:r>
        <w:r>
          <w:fldChar w:fldCharType="begin"/>
        </w:r>
        <w:r>
          <w:instrText xml:space="preserve"> PAGEREF _Toc15650 \h </w:instrText>
        </w:r>
        <w:r>
          <w:fldChar w:fldCharType="separate"/>
        </w:r>
        <w:r>
          <w:t>44</w:t>
        </w:r>
        <w:r>
          <w:fldChar w:fldCharType="end"/>
        </w:r>
      </w:hyperlink>
    </w:p>
    <w:p>
      <w:pPr>
        <w:pStyle w:val="TOC1"/>
        <w:tabs>
          <w:tab w:val="right" w:leader="dot" w:pos="8306"/>
        </w:tabs>
      </w:pPr>
      <w:hyperlink w:anchor="_Toc22898" w:history="1">
        <w:r>
          <w:rPr>
            <w:rFonts w:ascii="仿宋" w:eastAsia="仿宋" w:hAnsi="仿宋" w:cs="仿宋" w:hint="eastAsia"/>
            <w:lang w:eastAsia="zh-CN"/>
          </w:rPr>
          <w:t>十、体育专用地坪漆项目计划安排</w:t>
        </w:r>
        <w:r>
          <w:tab/>
        </w:r>
        <w:r>
          <w:fldChar w:fldCharType="begin"/>
        </w:r>
        <w:r>
          <w:instrText xml:space="preserve"> PAGEREF _Toc22898 \h </w:instrText>
        </w:r>
        <w:r>
          <w:fldChar w:fldCharType="separate"/>
        </w:r>
        <w:r>
          <w:t>45</w:t>
        </w:r>
        <w:r>
          <w:fldChar w:fldCharType="end"/>
        </w:r>
      </w:hyperlink>
    </w:p>
    <w:p>
      <w:pPr>
        <w:pStyle w:val="TOC2"/>
        <w:tabs>
          <w:tab w:val="right" w:leader="dot" w:pos="8306"/>
        </w:tabs>
      </w:pPr>
      <w:hyperlink w:anchor="_Toc5612" w:history="1">
        <w:r>
          <w:rPr>
            <w:rFonts w:ascii="仿宋" w:eastAsia="仿宋" w:hAnsi="仿宋" w:cs="仿宋" w:hint="eastAsia"/>
            <w:lang w:eastAsia="zh-CN"/>
          </w:rPr>
          <w:t>(一)、建设周期</w:t>
        </w:r>
        <w:r>
          <w:tab/>
        </w:r>
        <w:r>
          <w:fldChar w:fldCharType="begin"/>
        </w:r>
        <w:r>
          <w:instrText xml:space="preserve"> PAGEREF _Toc5612 \h </w:instrText>
        </w:r>
        <w:r>
          <w:fldChar w:fldCharType="separate"/>
        </w:r>
        <w:r>
          <w:t>45</w:t>
        </w:r>
        <w:r>
          <w:fldChar w:fldCharType="end"/>
        </w:r>
      </w:hyperlink>
    </w:p>
    <w:p>
      <w:pPr>
        <w:pStyle w:val="TOC2"/>
        <w:tabs>
          <w:tab w:val="right" w:leader="dot" w:pos="8306"/>
        </w:tabs>
      </w:pPr>
      <w:hyperlink w:anchor="_Toc16237" w:history="1">
        <w:r>
          <w:rPr>
            <w:rFonts w:ascii="仿宋" w:eastAsia="仿宋" w:hAnsi="仿宋" w:cs="仿宋" w:hint="eastAsia"/>
            <w:lang w:eastAsia="zh-CN"/>
          </w:rPr>
          <w:t>(二)、建设进度</w:t>
        </w:r>
        <w:r>
          <w:tab/>
        </w:r>
        <w:r>
          <w:fldChar w:fldCharType="begin"/>
        </w:r>
        <w:r>
          <w:instrText xml:space="preserve"> PAGEREF _Toc16237 \h </w:instrText>
        </w:r>
        <w:r>
          <w:fldChar w:fldCharType="separate"/>
        </w:r>
        <w:r>
          <w:t>46</w:t>
        </w:r>
        <w:r>
          <w:fldChar w:fldCharType="end"/>
        </w:r>
      </w:hyperlink>
    </w:p>
    <w:p>
      <w:pPr>
        <w:pStyle w:val="TOC2"/>
        <w:tabs>
          <w:tab w:val="right" w:leader="dot" w:pos="8306"/>
        </w:tabs>
      </w:pPr>
      <w:hyperlink w:anchor="_Toc11405" w:history="1">
        <w:r>
          <w:rPr>
            <w:rFonts w:ascii="仿宋" w:eastAsia="仿宋" w:hAnsi="仿宋" w:cs="仿宋" w:hint="eastAsia"/>
            <w:lang w:eastAsia="zh-CN"/>
          </w:rPr>
          <w:t>(三)、进度安排注意事项</w:t>
        </w:r>
        <w:r>
          <w:tab/>
        </w:r>
        <w:r>
          <w:fldChar w:fldCharType="begin"/>
        </w:r>
        <w:r>
          <w:instrText xml:space="preserve"> PAGEREF _Toc11405 \h </w:instrText>
        </w:r>
        <w:r>
          <w:fldChar w:fldCharType="separate"/>
        </w:r>
        <w:r>
          <w:t>47</w:t>
        </w:r>
        <w:r>
          <w:fldChar w:fldCharType="end"/>
        </w:r>
      </w:hyperlink>
    </w:p>
    <w:p>
      <w:pPr>
        <w:pStyle w:val="TOC2"/>
        <w:tabs>
          <w:tab w:val="right" w:leader="dot" w:pos="8306"/>
        </w:tabs>
      </w:pPr>
      <w:hyperlink w:anchor="_Toc21748" w:history="1">
        <w:r>
          <w:rPr>
            <w:rFonts w:ascii="仿宋" w:eastAsia="仿宋" w:hAnsi="仿宋" w:cs="仿宋" w:hint="eastAsia"/>
            <w:lang w:eastAsia="zh-CN"/>
          </w:rPr>
          <w:t>(四)、人力资源配置</w:t>
        </w:r>
        <w:r>
          <w:tab/>
        </w:r>
        <w:r>
          <w:fldChar w:fldCharType="begin"/>
        </w:r>
        <w:r>
          <w:instrText xml:space="preserve"> PAGEREF _Toc21748 \h </w:instrText>
        </w:r>
        <w:r>
          <w:fldChar w:fldCharType="separate"/>
        </w:r>
        <w:r>
          <w:t>48</w:t>
        </w:r>
        <w:r>
          <w:fldChar w:fldCharType="end"/>
        </w:r>
      </w:hyperlink>
    </w:p>
    <w:p>
      <w:pPr>
        <w:pStyle w:val="TOC1"/>
        <w:tabs>
          <w:tab w:val="right" w:leader="dot" w:pos="8306"/>
        </w:tabs>
      </w:pPr>
      <w:hyperlink w:anchor="_Toc18012" w:history="1">
        <w:r>
          <w:rPr>
            <w:rFonts w:ascii="仿宋" w:eastAsia="仿宋" w:hAnsi="仿宋" w:cs="仿宋" w:hint="eastAsia"/>
            <w:lang w:eastAsia="zh-CN"/>
          </w:rPr>
          <w:t>十一、体育专用地坪漆项目创新与研发</w:t>
        </w:r>
        <w:r>
          <w:tab/>
        </w:r>
        <w:r>
          <w:fldChar w:fldCharType="begin"/>
        </w:r>
        <w:r>
          <w:instrText xml:space="preserve"> PAGEREF _Toc18012 \h </w:instrText>
        </w:r>
        <w:r>
          <w:fldChar w:fldCharType="separate"/>
        </w:r>
        <w:r>
          <w:t>49</w:t>
        </w:r>
        <w:r>
          <w:fldChar w:fldCharType="end"/>
        </w:r>
      </w:hyperlink>
    </w:p>
    <w:p>
      <w:pPr>
        <w:pStyle w:val="TOC2"/>
        <w:tabs>
          <w:tab w:val="right" w:leader="dot" w:pos="8306"/>
        </w:tabs>
      </w:pPr>
      <w:hyperlink w:anchor="_Toc17528" w:history="1">
        <w:r>
          <w:rPr>
            <w:rFonts w:ascii="仿宋" w:eastAsia="仿宋" w:hAnsi="仿宋" w:cs="仿宋" w:hint="eastAsia"/>
            <w:lang w:eastAsia="zh-CN"/>
          </w:rPr>
          <w:t>(一)、创新策略与方向</w:t>
        </w:r>
        <w:r>
          <w:tab/>
        </w:r>
        <w:r>
          <w:fldChar w:fldCharType="begin"/>
        </w:r>
        <w:r>
          <w:instrText xml:space="preserve"> PAGEREF _Toc17528 \h </w:instrText>
        </w:r>
        <w:r>
          <w:fldChar w:fldCharType="separate"/>
        </w:r>
        <w:r>
          <w:t>49</w:t>
        </w:r>
        <w:r>
          <w:fldChar w:fldCharType="end"/>
        </w:r>
      </w:hyperlink>
    </w:p>
    <w:p>
      <w:pPr>
        <w:pStyle w:val="TOC2"/>
        <w:tabs>
          <w:tab w:val="right" w:leader="dot" w:pos="8306"/>
        </w:tabs>
      </w:pPr>
      <w:hyperlink w:anchor="_Toc23706" w:history="1">
        <w:r>
          <w:rPr>
            <w:rFonts w:ascii="仿宋" w:eastAsia="仿宋" w:hAnsi="仿宋" w:cs="仿宋" w:hint="eastAsia"/>
            <w:lang w:eastAsia="zh-CN"/>
          </w:rPr>
          <w:t>(二)、研发规划与投入</w:t>
        </w:r>
        <w:r>
          <w:tab/>
        </w:r>
        <w:r>
          <w:fldChar w:fldCharType="begin"/>
        </w:r>
        <w:r>
          <w:instrText xml:space="preserve"> PAGEREF _Toc23706 \h </w:instrText>
        </w:r>
        <w:r>
          <w:fldChar w:fldCharType="separate"/>
        </w:r>
        <w:r>
          <w:t>50</w:t>
        </w:r>
        <w:r>
          <w:fldChar w:fldCharType="end"/>
        </w:r>
      </w:hyperlink>
    </w:p>
    <w:p>
      <w:pPr>
        <w:pStyle w:val="TOC1"/>
        <w:tabs>
          <w:tab w:val="right" w:leader="dot" w:pos="8306"/>
        </w:tabs>
      </w:pPr>
      <w:hyperlink w:anchor="_Toc134" w:history="1">
        <w:r>
          <w:rPr>
            <w:rFonts w:ascii="仿宋" w:eastAsia="仿宋" w:hAnsi="仿宋" w:cs="仿宋" w:hint="eastAsia"/>
            <w:lang w:eastAsia="zh-CN"/>
          </w:rPr>
          <w:t>十二、体育专用地坪漆项目风险管理</w:t>
        </w:r>
        <w:r>
          <w:tab/>
        </w:r>
        <w:r>
          <w:fldChar w:fldCharType="begin"/>
        </w:r>
        <w:r>
          <w:instrText xml:space="preserve"> PAGEREF _Toc134 \h </w:instrText>
        </w:r>
        <w:r>
          <w:fldChar w:fldCharType="separate"/>
        </w:r>
        <w:r>
          <w:t>52</w:t>
        </w:r>
        <w:r>
          <w:fldChar w:fldCharType="end"/>
        </w:r>
      </w:hyperlink>
    </w:p>
    <w:p>
      <w:pPr>
        <w:pStyle w:val="TOC2"/>
        <w:tabs>
          <w:tab w:val="right" w:leader="dot" w:pos="8306"/>
        </w:tabs>
      </w:pPr>
      <w:hyperlink w:anchor="_Toc9408" w:history="1">
        <w:r>
          <w:rPr>
            <w:rFonts w:ascii="仿宋" w:eastAsia="仿宋" w:hAnsi="仿宋" w:cs="仿宋" w:hint="eastAsia"/>
            <w:lang w:eastAsia="zh-CN"/>
          </w:rPr>
          <w:t>(一)、风险识别与评估</w:t>
        </w:r>
        <w:r>
          <w:tab/>
        </w:r>
        <w:r>
          <w:fldChar w:fldCharType="begin"/>
        </w:r>
        <w:r>
          <w:instrText xml:space="preserve"> PAGEREF _Toc9408 \h </w:instrText>
        </w:r>
        <w:r>
          <w:fldChar w:fldCharType="separate"/>
        </w:r>
        <w:r>
          <w:t>52</w:t>
        </w:r>
        <w:r>
          <w:fldChar w:fldCharType="end"/>
        </w:r>
      </w:hyperlink>
    </w:p>
    <w:p>
      <w:pPr>
        <w:pStyle w:val="TOC2"/>
        <w:tabs>
          <w:tab w:val="right" w:leader="dot" w:pos="8306"/>
        </w:tabs>
      </w:pPr>
      <w:hyperlink w:anchor="_Toc18757" w:history="1">
        <w:r>
          <w:rPr>
            <w:rFonts w:ascii="仿宋" w:eastAsia="仿宋" w:hAnsi="仿宋" w:cs="仿宋" w:hint="eastAsia"/>
            <w:lang w:eastAsia="zh-CN"/>
          </w:rPr>
          <w:t>(二)、风险应对策略</w:t>
        </w:r>
        <w:r>
          <w:tab/>
        </w:r>
        <w:r>
          <w:fldChar w:fldCharType="begin"/>
        </w:r>
        <w:r>
          <w:instrText xml:space="preserve"> PAGEREF _Toc18757 \h </w:instrText>
        </w:r>
        <w:r>
          <w:fldChar w:fldCharType="separate"/>
        </w:r>
        <w:r>
          <w:t>53</w:t>
        </w:r>
        <w:r>
          <w:fldChar w:fldCharType="end"/>
        </w:r>
      </w:hyperlink>
    </w:p>
    <w:p>
      <w:pPr>
        <w:pStyle w:val="TOC2"/>
        <w:tabs>
          <w:tab w:val="right" w:leader="dot" w:pos="8306"/>
        </w:tabs>
      </w:pPr>
      <w:hyperlink w:anchor="_Toc9354" w:history="1">
        <w:r>
          <w:rPr>
            <w:rFonts w:ascii="仿宋" w:eastAsia="仿宋" w:hAnsi="仿宋" w:cs="仿宋" w:hint="eastAsia"/>
            <w:lang w:eastAsia="zh-CN"/>
          </w:rPr>
          <w:t>(三)、风险监控与控制</w:t>
        </w:r>
        <w:r>
          <w:tab/>
        </w:r>
        <w:r>
          <w:fldChar w:fldCharType="begin"/>
        </w:r>
        <w:r>
          <w:instrText xml:space="preserve"> PAGEREF _Toc9354 \h </w:instrText>
        </w:r>
        <w:r>
          <w:fldChar w:fldCharType="separate"/>
        </w:r>
        <w:r>
          <w:t>55</w:t>
        </w:r>
        <w:r>
          <w:fldChar w:fldCharType="end"/>
        </w:r>
      </w:hyperlink>
    </w:p>
    <w:p>
      <w:pPr>
        <w:pStyle w:val="TOC1"/>
        <w:tabs>
          <w:tab w:val="right" w:leader="dot" w:pos="8306"/>
        </w:tabs>
      </w:pPr>
      <w:hyperlink w:anchor="_Toc752" w:history="1">
        <w:r>
          <w:rPr>
            <w:rFonts w:ascii="仿宋" w:eastAsia="仿宋" w:hAnsi="仿宋" w:cs="仿宋" w:hint="eastAsia"/>
            <w:lang w:eastAsia="zh-CN"/>
          </w:rPr>
          <w:t>十三、供应链管理</w:t>
        </w:r>
        <w:r>
          <w:tab/>
        </w:r>
        <w:r>
          <w:fldChar w:fldCharType="begin"/>
        </w:r>
        <w:r>
          <w:instrText xml:space="preserve"> PAGEREF _Toc752 \h </w:instrText>
        </w:r>
        <w:r>
          <w:fldChar w:fldCharType="separate"/>
        </w:r>
        <w:r>
          <w:t>56</w:t>
        </w:r>
        <w:r>
          <w:fldChar w:fldCharType="end"/>
        </w:r>
      </w:hyperlink>
    </w:p>
    <w:p>
      <w:pPr>
        <w:pStyle w:val="TOC2"/>
        <w:tabs>
          <w:tab w:val="right" w:leader="dot" w:pos="8306"/>
        </w:tabs>
      </w:pPr>
      <w:hyperlink w:anchor="_Toc30473" w:history="1">
        <w:r>
          <w:rPr>
            <w:rFonts w:ascii="仿宋" w:eastAsia="仿宋" w:hAnsi="仿宋" w:cs="仿宋" w:hint="eastAsia"/>
            <w:lang w:eastAsia="zh-CN"/>
          </w:rPr>
          <w:t>(一)、供应链战略规划</w:t>
        </w:r>
        <w:r>
          <w:tab/>
        </w:r>
        <w:r>
          <w:fldChar w:fldCharType="begin"/>
        </w:r>
        <w:r>
          <w:instrText xml:space="preserve"> PAGEREF _Toc30473 \h </w:instrText>
        </w:r>
        <w:r>
          <w:fldChar w:fldCharType="separate"/>
        </w:r>
        <w:r>
          <w:t>56</w:t>
        </w:r>
        <w:r>
          <w:fldChar w:fldCharType="end"/>
        </w:r>
      </w:hyperlink>
    </w:p>
    <w:p>
      <w:pPr>
        <w:pStyle w:val="TOC2"/>
        <w:tabs>
          <w:tab w:val="right" w:leader="dot" w:pos="8306"/>
        </w:tabs>
      </w:pPr>
      <w:hyperlink w:anchor="_Toc3344" w:history="1">
        <w:r>
          <w:rPr>
            <w:rFonts w:ascii="仿宋" w:eastAsia="仿宋" w:hAnsi="仿宋" w:cs="仿宋" w:hint="eastAsia"/>
            <w:lang w:eastAsia="zh-CN"/>
          </w:rPr>
          <w:t>(二)、供应商选择与合作</w:t>
        </w:r>
        <w:r>
          <w:tab/>
        </w:r>
        <w:r>
          <w:fldChar w:fldCharType="begin"/>
        </w:r>
        <w:r>
          <w:instrText xml:space="preserve"> PAGEREF _Toc3344 \h </w:instrText>
        </w:r>
        <w:r>
          <w:fldChar w:fldCharType="separate"/>
        </w:r>
        <w:r>
          <w:t>58</w:t>
        </w:r>
        <w:r>
          <w:fldChar w:fldCharType="end"/>
        </w:r>
      </w:hyperlink>
    </w:p>
    <w:p>
      <w:pPr>
        <w:pStyle w:val="TOC2"/>
        <w:tabs>
          <w:tab w:val="right" w:leader="dot" w:pos="8306"/>
        </w:tabs>
      </w:pPr>
      <w:hyperlink w:anchor="_Toc21368" w:history="1">
        <w:r>
          <w:rPr>
            <w:rFonts w:ascii="仿宋" w:eastAsia="仿宋" w:hAnsi="仿宋" w:cs="仿宋" w:hint="eastAsia"/>
            <w:lang w:eastAsia="zh-CN"/>
          </w:rPr>
          <w:t>(三)、物流与库存管理</w:t>
        </w:r>
        <w:r>
          <w:tab/>
        </w:r>
        <w:r>
          <w:fldChar w:fldCharType="begin"/>
        </w:r>
        <w:r>
          <w:instrText xml:space="preserve"> PAGEREF _Toc21368 \h </w:instrText>
        </w:r>
        <w:r>
          <w:fldChar w:fldCharType="separate"/>
        </w:r>
        <w:r>
          <w:t>59</w:t>
        </w:r>
        <w:r>
          <w:fldChar w:fldCharType="end"/>
        </w:r>
      </w:hyperlink>
    </w:p>
    <w:p>
      <w:pPr>
        <w:pStyle w:val="TOC1"/>
        <w:tabs>
          <w:tab w:val="right" w:leader="dot" w:pos="8306"/>
        </w:tabs>
      </w:pPr>
      <w:hyperlink w:anchor="_Toc2169" w:history="1">
        <w:r>
          <w:rPr>
            <w:rFonts w:ascii="仿宋" w:eastAsia="仿宋" w:hAnsi="仿宋" w:cs="仿宋" w:hint="eastAsia"/>
            <w:lang w:eastAsia="zh-CN"/>
          </w:rPr>
          <w:t>十四、利益相关者分析与沟通计划</w:t>
        </w:r>
        <w:r>
          <w:tab/>
        </w:r>
        <w:r>
          <w:fldChar w:fldCharType="begin"/>
        </w:r>
        <w:r>
          <w:instrText xml:space="preserve"> PAGEREF _Toc2169 \h </w:instrText>
        </w:r>
        <w:r>
          <w:fldChar w:fldCharType="separate"/>
        </w:r>
        <w:r>
          <w:t>60</w:t>
        </w:r>
        <w:r>
          <w:fldChar w:fldCharType="end"/>
        </w:r>
      </w:hyperlink>
    </w:p>
    <w:p>
      <w:pPr>
        <w:pStyle w:val="TOC2"/>
        <w:tabs>
          <w:tab w:val="right" w:leader="dot" w:pos="8306"/>
        </w:tabs>
      </w:pPr>
      <w:hyperlink w:anchor="_Toc11193" w:history="1">
        <w:r>
          <w:rPr>
            <w:rFonts w:ascii="仿宋" w:eastAsia="仿宋" w:hAnsi="仿宋" w:cs="仿宋" w:hint="eastAsia"/>
            <w:lang w:eastAsia="zh-CN"/>
          </w:rPr>
          <w:t>(一)、利益相关者分析</w:t>
        </w:r>
        <w:r>
          <w:tab/>
        </w:r>
        <w:r>
          <w:fldChar w:fldCharType="begin"/>
        </w:r>
        <w:r>
          <w:instrText xml:space="preserve"> PAGEREF _Toc11193 \h </w:instrText>
        </w:r>
        <w:r>
          <w:fldChar w:fldCharType="separate"/>
        </w:r>
        <w:r>
          <w:t>60</w:t>
        </w:r>
        <w:r>
          <w:fldChar w:fldCharType="end"/>
        </w:r>
      </w:hyperlink>
    </w:p>
    <w:p>
      <w:pPr>
        <w:pStyle w:val="TOC2"/>
        <w:tabs>
          <w:tab w:val="right" w:leader="dot" w:pos="8306"/>
        </w:tabs>
      </w:pPr>
      <w:hyperlink w:anchor="_Toc10851" w:history="1">
        <w:r>
          <w:rPr>
            <w:rFonts w:ascii="仿宋" w:eastAsia="仿宋" w:hAnsi="仿宋" w:cs="仿宋" w:hint="eastAsia"/>
            <w:lang w:eastAsia="zh-CN"/>
          </w:rPr>
          <w:t>(二)、沟通计划</w:t>
        </w:r>
        <w:r>
          <w:tab/>
        </w:r>
        <w:r>
          <w:fldChar w:fldCharType="begin"/>
        </w:r>
        <w:r>
          <w:instrText xml:space="preserve"> PAGEREF _Toc10851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857"/>
      <w:r>
        <w:rPr>
          <w:rFonts w:ascii="仿宋" w:eastAsia="仿宋" w:hAnsi="仿宋" w:cs="仿宋" w:hint="eastAsia"/>
          <w:sz w:val="28"/>
          <w:lang w:eastAsia="zh-CN"/>
        </w:rPr>
        <w:t>一、体育专用地坪漆项目概论</w:t>
      </w:r>
      <w:bookmarkEnd w:id="2"/>
    </w:p>
    <w:p>
      <w:pPr>
        <w:pStyle w:val="Heading2"/>
        <w:rPr>
          <w:rFonts w:ascii="仿宋" w:eastAsia="仿宋" w:hAnsi="仿宋" w:cs="仿宋" w:hint="eastAsia"/>
          <w:lang w:eastAsia="zh-CN"/>
        </w:rPr>
      </w:pPr>
      <w:bookmarkStart w:id="3" w:name="_Toc12744"/>
      <w:r>
        <w:rPr>
          <w:rFonts w:ascii="仿宋" w:eastAsia="仿宋" w:hAnsi="仿宋" w:cs="仿宋" w:hint="eastAsia"/>
          <w:lang w:eastAsia="zh-CN"/>
        </w:rPr>
        <w:t>(一)、体育专用地坪漆项目概况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起源追溯至对市场的深入洞察。市场的不断演变与变革为体育专用地坪漆项目提供了难得的机遇。当前市场存在的需求缺口和变革的大环境共同构成了体育专用地坪漆项目的背景。这个体育专用地坪漆项目旨在充分利用市场机遇，填补行业中尚未满足的需求，为客户提供全新的解决方案。市场的变革和需求的增长使得这个体育专用地坪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体育专用地坪漆项目名称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体育专用地坪漆项目正式命名为体育专用地坪漆。这个名称不仅仅是一个标识，更代表了体育专用地坪漆项目的核心理念和愿景。它蕴含着体育专用地坪漆项目所要解决问题的关键字，具有强烈的表达和辨识度，为体育专用地坪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体育专用地坪漆项目目标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核心目标是提供一种全新、高效的解决方案，满足客户日益增长的需求。体育专用地坪漆项目追求的不仅仅是满足市场需求，更是在市场中获得卓越的竞争优势。通过不断提升产品或服务的质量和创新水平，体育专用地坪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体育专用地坪漆项目范围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全面涵盖了产品研发、制造、市场推广和售后服务，确保从产品设计到最终用户体验的全方位关注。这一全面的体育专用地坪漆项目范围是为了确保体育专用地坪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体育专用地坪漆项目时间表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体育专用地坪漆项目计划在未来18个月内完成，包括研发、测试、市场试点和正式推出等不同阶段。这个时间表的合理设计是为了确保体育专用地坪漆项目各个阶段的顺利推进，以便按时交付高质量的成果。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体育专用地坪漆项目预算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总预算估算为XX百万美元，主要分配在研发、市场推广、人员培训和运营等方面。这一充足的预算为体育专用地坪漆项目提供了充足的资源，确保体育专用地坪漆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体育专用地坪漆项目风险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可能面临的风险包括市场接受度低、技术难题、竞争激烈等。体育专用地坪漆项目团队已经制定了相应的风险应对计划，通过前瞻性的风险管理，确保体育专用地坪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体育专用地坪漆项目团队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体育专用地坪漆项目汇聚了一支经验丰富、多领域专业素养的核心团队，确保体育专用地坪漆项目在各个方面都能拥有高水平的执行力。团队的协同作战是体育专用地坪漆项目成功的关键因素之一。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体育专用地坪漆项目背景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体育专用地坪漆项目的背景根植于市场对更高效、创新产品的渴望，同时也受到科技发展对行业格局的深刻改变的影响。这为体育专用地坪漆项目提供了广阔的发展空间和市场需求。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体育专用地坪漆项目现状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截至目前，体育专用地坪漆项目已完成市场调研和技术验证，取得了初步的成功。这为体育专用地坪漆项目在未来的发展奠定了坚实的基础，为更远大的目标打下了坚实的基石。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338"/>
      <w:r>
        <w:rPr>
          <w:rFonts w:ascii="仿宋" w:eastAsia="仿宋" w:hAnsi="仿宋" w:cs="仿宋" w:hint="eastAsia"/>
          <w:sz w:val="28"/>
          <w:lang w:eastAsia="zh-CN"/>
        </w:rPr>
        <w:t>(二)、体育专用地坪漆项目目标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keyword》体育专用地坪漆项目首要业务目标是在市场中占据有利地位，实现产品/服务的成功推广和销售。通过不断提升产品质量、创新性，体育专用地坪漆项目追求成为行业中的领导者，赢得更多客户的青睐。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在科技迅速发展的时代，体育专用地坪漆项目着眼于技术创新。通过持续的研发和技术升级，体育专用地坪漆项目旨在推出更具创新性的产品或服务，以满足市场对新鲜、先进解决方案的需求。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为了建立可持续的客户关系，体育专用地坪漆项目设定了客户满意度目标。通过提供卓越的产品质量和优质的客户服务，体育专用地坪漆项目追求赢得客户的信任和忠诚度，确保他们的满意度达到行业领先水平。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体育专用地坪漆项目注重社会责任和可持续发展。通过实施环保、社会责任体育专用地坪漆项目，体育专用地坪漆项目致力于在经济发展的同时保护环境，促进社会公平，实现可持续经营。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体育专用地坪漆项目的团队是实现目标的核心驱动力。因此，体育专用地坪漆项目设定了团队发展目标，包括提升团队成员的专业技能、培养领导力，以及搭建协同高效的团队工作氛围。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863"/>
      <w:r>
        <w:rPr>
          <w:rFonts w:ascii="仿宋" w:eastAsia="仿宋" w:hAnsi="仿宋" w:cs="仿宋" w:hint="eastAsia"/>
          <w:sz w:val="28"/>
          <w:lang w:eastAsia="zh-CN"/>
        </w:rPr>
        <w:t>(三)、体育专用地坪漆项目提出的理由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体育专用地坪漆项目提出的理由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提出源于对市场机遇的深刻洞察。当前市场中存在的需求缺口和行业发展趋势表明，有巨大的商业机会等待被开发。通过准确捕捉市场机遇，体育专用地坪漆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理念基于对技术创新的信仰。通过持续的研发和技术投入，体育专用地坪漆项目有望推出更具创新性的产品或服务。在科技飞速发展的当下，体育专用地坪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提出是为了增强企业的行业竞争力。通过提升产品或服务的质量和独特性，体育专用地坪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响应了消费者需求的变化。随着社会和科技的不断发展，消费者对产品和服务的需求也在发生变化。通过深入了解并及时回应消费者的新需求，体育专用地坪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提出是企业战略发展规划的一部分。在面对日益激烈的市场竞争和不断变化的商业环境中，体育专用地坪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提出不仅仅是基于商业考量，还注重社会责任。通过推出环保、社会责任等方面的体育专用地坪漆项目，体育专用地坪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体育专用地坪漆项目的提出反映了对利益相关者期望的关注。包括客户、员工、投资者等利益相关者在企业发展中都有着各自的期望，体育专用地坪漆项目力求在满足这些期望的同时，取得更大的共赢。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325"/>
      <w:r>
        <w:rPr>
          <w:rFonts w:ascii="仿宋" w:eastAsia="仿宋" w:hAnsi="仿宋" w:cs="仿宋" w:hint="eastAsia"/>
          <w:sz w:val="28"/>
          <w:lang w:eastAsia="zh-CN"/>
        </w:rPr>
        <w:t>(四)、体育专用地坪漆项目意义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在实施体育专用地坪漆项目的过程中，我们不仅仅是在追逐商业成功，更是为企业和社会的多个层面创造了深远的意义。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首要意义在于提升企业的市场竞争力。通过持续的创新和对产品质量的高标准要求，体育专用地坪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体育专用地坪漆项目的推进将促使行业技术水平的提升。通过引入先进技术和创新性解决方案，体育专用地坪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体育专用地坪漆项目不仅创造了大量就业机会，提高了就业水平，还注重社会责任和环保。通过参与社会公益事业和推动环保体育专用地坪漆项目，体育专用地坪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综合而言，体育专用地坪漆项目意义重大，不仅推动了企业的发展，也为行业和社会的进步贡献了积极力量。这是一个全面而深刻的影响，将在未来产生可持续的正面效应。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737"/>
      <w:r>
        <w:rPr>
          <w:rFonts w:ascii="仿宋" w:eastAsia="仿宋" w:hAnsi="仿宋" w:cs="仿宋" w:hint="eastAsia"/>
          <w:sz w:val="28"/>
          <w:lang w:eastAsia="zh-CN"/>
        </w:rPr>
        <w:t>(五)、体育专用地坪漆项目背景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在当今迅猛发展的商业环境中，体育专用地坪漆项目的动因根植于对多方面因素的审慎考量。这个体育专用地坪漆项目的提出并非孤立的决策，而是对企业所处背景深入思考的产物。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体育专用地坪漆项目背后的首要原因。科技的迅速发展和全球市场的快速变化使得企业必须灵活应对。体育专用地坪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竞争的激烈程度也是体育专用地坪漆项目背景中不可忽视的一环。企业需要在激烈竞争中脱颖而出，为此，体育专用地坪漆项目致力于打破常规，提供独特的价值主张，以吸引客户并确保市场份额的增长。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技术的迅速发展为企业带来了机遇与挑战。作为体育专用地坪漆项目启动的背景之一，对新兴技术的应用将有助于提升企业的技术水平，使其在不断演进的商业环境中保持竞争优势。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此外，社会对企业责任的期望也在逐渐升高。体育专用地坪漆项目充分融入了社会责任的理念，通过可持续经营和社会公益体育专用地坪漆项目，企图为社会贡献一份力量，在商业成功的同时关注社会价值。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299"/>
      <w:r>
        <w:rPr>
          <w:rFonts w:ascii="仿宋" w:eastAsia="仿宋" w:hAnsi="仿宋" w:cs="仿宋" w:hint="eastAsia"/>
          <w:sz w:val="28"/>
          <w:lang w:eastAsia="zh-CN"/>
        </w:rPr>
        <w:t>二、体育专用地坪漆项目绩效评估</w:t>
      </w:r>
      <w:bookmarkEnd w:id="8"/>
    </w:p>
    <w:p>
      <w:pPr>
        <w:pStyle w:val="Heading2"/>
        <w:rPr>
          <w:rFonts w:ascii="仿宋" w:eastAsia="仿宋" w:hAnsi="仿宋" w:cs="仿宋" w:hint="eastAsia"/>
          <w:lang w:eastAsia="zh-CN"/>
        </w:rPr>
      </w:pPr>
      <w:bookmarkStart w:id="9" w:name="_Toc725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体育专用地坪漆项目中，我们设计了一套全面的绩效评估指标，以确保体育专用地坪漆项目的可控和成功交付。这些指标跨足体育专用地坪漆项目目标、成本、进度和质量等多个维度，为我们提供了全面洞察体育专用地坪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目标达成率是我们关注的首要指标。我们设定了明确的目标，并通过定期监测和评估，迅速发现并应对潜在的目标偏差。这为体育专用地坪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成本绩效是另一个核心关注点。通过实际成本与预算成本的对比分析，我们深入了解成本差异的原因，及时调整资源分配，保持体育专用地坪漆项目在经济效益方面的合理水平。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体育专用地坪漆项目进度作为关键的绩效指标之一，得到了精心的关注。我们制定了详细的体育专用地坪漆项目进度计划，并设立了进度符合度指标，确保实际进度与计划进度保持一致。这使我们能够快速发现和解决潜在的进度问题，保持体育专用地坪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体育专用地坪漆项目绩效的不可或缺的一环。我们引入了一系列的质量标准和客户满意度指标，以确保体育专用地坪漆项目交付的成果在质量上达到或超越预期水平。通过持续监测这些指标，我们努力提升体育专用地坪漆项目整体质量水平，为体育专用地坪漆项目的成功交付提供有力保障。通过这些科学且全面的绩效评估，我们能够更好地引导体育专用地坪漆项目的持续改进，确保体育专用地坪漆项目目标的顺利达成。</w:t>
      </w:r>
    </w:p>
    <w:p>
      <w:pPr>
        <w:pStyle w:val="Heading2"/>
        <w:ind w:firstLine="560" w:firstLineChars="200"/>
        <w:rPr>
          <w:rFonts w:ascii="仿宋" w:eastAsia="仿宋" w:hAnsi="仿宋" w:cs="仿宋" w:hint="eastAsia"/>
          <w:sz w:val="28"/>
          <w:lang w:eastAsia="zh-CN"/>
        </w:rPr>
      </w:pPr>
      <w:bookmarkStart w:id="10" w:name="_Toc3256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绩效评估是体育专用地坪漆项目中的关键环节，为确保体育专用地坪漆项目达到预期目标，我们采用了多层次、多维度的绩效评估方法。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体育专用地坪漆项目的战略目标对齐，确保每个决策和行动都与体育专用地坪漆项目整体目标保持一致。团队会定期召开战略对齐会议，审视当前工作与体育专用地坪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体育专用地坪漆项目进度、质量、成本和风险等方面。这些指标通过数据收集和分析，为体育专用地坪漆项目管理团队提供了客观的评估依据。例如，我们通过体育专用地坪漆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体育专用地坪漆项目内部，还考虑了体育专用地坪漆项目对外部环境的影响。我们定期进行干系人满意度调查，以了解各利益相关方对体育专用地坪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这种多层次、多角度的绩效评估方法，使得我们能够全面了解体育专用地坪漆项目的运行状态，及时做出调整，确保体育专用地坪漆项目在不断变化的环境中保持稳健前行。</w:t>
      </w:r>
    </w:p>
    <w:p>
      <w:pPr>
        <w:pStyle w:val="Heading2"/>
        <w:ind w:firstLine="560" w:firstLineChars="200"/>
        <w:rPr>
          <w:rFonts w:ascii="仿宋" w:eastAsia="仿宋" w:hAnsi="仿宋" w:cs="仿宋" w:hint="eastAsia"/>
          <w:sz w:val="28"/>
          <w:lang w:eastAsia="zh-CN"/>
        </w:rPr>
      </w:pPr>
      <w:bookmarkStart w:id="11" w:name="_Toc1735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为了确保体育专用地坪漆项目的有效管理和不断优化，我们采用了精心设计的绩效评估周期。这个周期旨在实现灵活、实时和全面的评估，以适应体育专用地坪漆项目执行中的各种挑战。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体育专用地坪漆项目的不同需求，分为短期、中期和长期。短期评估关注每个迭代或工作周期，以及时发现和解决当前任务中的问题。中期评估涵盖几个迭代，深入了解整体体育专用地坪漆项目的趋势和性能。长期评估则着眼于整个体育专用地坪漆项目阶段，确保体育专用地坪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体育专用地坪漆项目管理工具和协作平台，团队成员能够随时更新和分享体育专用地坪漆项目数据。这种实时性的反馈机制使我们能够及时察觉潜在问题，快速调整，保持体育专用地坪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体育专用地坪漆项目的决策制定密不可分。每个周期的体育专用地坪漆项目回顾会议成为集体总结经验、识别问题深层次原因并找到创新解决方案的平台。这种定期的反思与调整机制使体育专用地坪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7263"/>
      <w:r>
        <w:rPr>
          <w:rFonts w:ascii="仿宋" w:eastAsia="仿宋" w:hAnsi="仿宋" w:cs="仿宋" w:hint="eastAsia"/>
          <w:sz w:val="28"/>
          <w:lang w:eastAsia="zh-CN"/>
        </w:rPr>
        <w:t>三、体育专用地坪漆项目选址可行性分析</w:t>
      </w:r>
      <w:bookmarkEnd w:id="12"/>
    </w:p>
    <w:p>
      <w:pPr>
        <w:pStyle w:val="Heading2"/>
        <w:rPr>
          <w:rFonts w:ascii="仿宋" w:eastAsia="仿宋" w:hAnsi="仿宋" w:cs="仿宋" w:hint="eastAsia"/>
          <w:lang w:eastAsia="zh-CN"/>
        </w:rPr>
      </w:pPr>
      <w:bookmarkStart w:id="13" w:name="_Toc5780"/>
      <w:r>
        <w:rPr>
          <w:rFonts w:ascii="仿宋" w:eastAsia="仿宋" w:hAnsi="仿宋" w:cs="仿宋" w:hint="eastAsia"/>
          <w:lang w:eastAsia="zh-CN"/>
        </w:rPr>
        <w:t>(一)、体育专用地坪漆项目选址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该体育专用地坪漆项目选址位于XX省XX市XX区XXX街道</w:t>
      </w:r>
    </w:p>
    <w:p>
      <w:pPr>
        <w:pStyle w:val="Heading2"/>
        <w:ind w:firstLine="560" w:firstLineChars="200"/>
        <w:rPr>
          <w:rFonts w:ascii="仿宋" w:eastAsia="仿宋" w:hAnsi="仿宋" w:cs="仿宋" w:hint="eastAsia"/>
          <w:sz w:val="28"/>
          <w:lang w:eastAsia="zh-CN"/>
        </w:rPr>
      </w:pPr>
      <w:bookmarkStart w:id="14" w:name="_Toc3050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体育专用地坪漆项目的征地面积将根据体育专用地坪漆项目的实际规模和需求进行精确规划。具体面积XXX平方米，旨在确保体育专用地坪漆项目不仅能够满足当前的发展需求，还能够预留空间以适应未来的扩展。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净用地面积是在征地面积基础上去除不可利用面积后的实际可开发用地。具体面积XXX平方米，考虑到环保、交通、安全等多方面因素，以确保体育专用地坪漆项目在整体利用效率上达到最优。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体育专用地坪漆项目计划建设的建筑总规模具体面积XXX平方米。这一规模的确定综合考虑了体育专用地坪漆项目的性质、规模，以及城市规划的相关要求，确保建筑布局与周边环境协调一致。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绿地率是体育专用地坪漆项目用地中被规划为绿地的比例。具体面积XXX平方米，旨在通过合理规划绿地，改善体育专用地坪漆项目周边环境，提升居民生活质量，并符合城市整体绿化规划。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容积率是用地上可以建设的建筑总体积与用地面积之比。具体面积XXX，通过合理的容积率规划，确保体育专用地坪漆项目建筑规模与周边环境和谐共生。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体育专用地坪漆项目选址与当地城市规划相一致，具体面积XXX平方米。通过与城市规划部门深入沟通，确保体育专用地坪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体育专用地坪漆项目选址符合当地产业政策，具体面积XXX平方米。这包括体育专用地坪漆项目对当地经济的促进作用，以及对相关产业的带动效应，确保体育专用地坪漆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用地总体要求必须符合环保和可持续发展的原则，具体面积XXX平方米。通过采用绿色建筑设计、节能减排等措施，确保体育专用地坪漆项目在建设和运营过程中对环境的影响最小化，达到可持续发展的要求。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确保体育专用地坪漆项目选址具备必要的公共设施配套，具体面积XXX平方米。这包括交通便利性、教育、医疗等基础设施，以提高居民生活品质，使得体育专用地坪漆项目选址更具吸引力。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考虑用地总体要求对当地社会稳定性的影响，具体面积XXX平方米。通过深入了解当地社区反馈，确保体育专用地坪漆项目的选址和建设过程对当地社会和谐稳定产生积极作用。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体育专用地坪漆项目选址不仅符合法规和规划，还在实际操作中具有可行性。这一全面规划将为体育专用地坪漆项目的成功实施提供坚实的基础，确保体育专用地坪漆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567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体育专用地坪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体育专用地坪漆项目的设备规划和空间设计中，我们将采取灵活设备布局的措施。设备布局将根据实际需求进行灵活设计，避免不必要的浪费。通过合理规划设备摆放位置，我们将提高设备的利用率，减少设备间距，以确保体育专用地坪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体育专用地坪漆项目内部引入共享设施的概念，例如共享会议室、办公区等。通过这种方式，我们可以减少对资源的重复建设，提高资源共享效率，从而减小体育专用地坪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115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体育专用地坪漆项目的总图布置中，我们将不同功能区域进行明确的规划，以最大程度满足体育专用地坪漆项目的多元需求。生产区将被合理布置，确保生产线的顺畅运作；办公区域将被设计成开放、灵活的办公空间，促进团队协作；休闲区域将被设置为员工放松休息的场所，提高员工工作舒适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https://d.book118.com/815010123312011102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E249CB"/>
    <w:rsid w:val="12E249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010123312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2024-02-01T23:22:00Z</dcterms:created>
  <dcterms:modified xsi:type="dcterms:W3CDTF">2024-02-01T23:22:40Z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316E4D1FB92D4B0AB950A99CD378D1D4_11</vt:lpwstr>
  </property>
  <property fmtid="{D5CDD505-2E9C-101B-9397-08002B2CF9AE}" pid="3" name="KSOProductBuildVer">
    <vt:lpwstr>2052-12.1.0.16250</vt:lpwstr>
  </property>
</Properties>
</file>