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line="256" w:lineRule="auto"/>
        <w:rPr>
          <w:rFonts w:ascii="Arial"/>
          <w:sz w:val="21"/>
        </w:rPr>
      </w:pPr>
      <w:r>
        <w:pict>
          <v:rect id="_x0000_s1025" style="width:133.25pt;height:0.5pt;margin-top:272.45pt;margin-left:49.56pt;mso-position-horizontal-relative:page;mso-position-vertical-relative:page;position:absolute;z-index:251663360" o:allowincell="f" filled="t" fillcolor="#336" stroked="f"/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61.25pt;height:39.6pt;margin-top:56.91pt;margin-left:53.19pt;mso-position-horizontal-relative:page;mso-position-vertical-relative:page;position:absolute;z-index:251662336" o:allowincell="f" filled="f" stroked="f">
            <o:lock v:ext="edit" aspectratio="f"/>
            <v:textbox inset="0,0,0,0">
              <w:txbxContent>
                <w:p>
                  <w:pPr>
                    <w:spacing w:before="20" w:line="415" w:lineRule="exact"/>
                    <w:ind w:left="20"/>
                    <w:rPr>
                      <w:rFonts w:ascii="KaiTi" w:eastAsia="KaiTi" w:hAnsi="KaiTi" w:cs="KaiTi"/>
                      <w:sz w:val="18"/>
                      <w:szCs w:val="18"/>
                    </w:rPr>
                  </w:pPr>
                  <w:r>
                    <w:rPr>
                      <w:rFonts w:ascii="KaiTi" w:eastAsia="KaiTi" w:hAnsi="KaiTi" w:cs="KaiTi"/>
                      <w:position w:val="18"/>
                      <w:sz w:val="18"/>
                      <w:szCs w:val="18"/>
                      <w14:textOutline w14:w="3265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证券研究报告</w:t>
                  </w:r>
                </w:p>
                <w:p>
                  <w:pPr>
                    <w:spacing w:line="221" w:lineRule="auto"/>
                    <w:ind w:left="105"/>
                    <w:rPr>
                      <w:rFonts w:ascii="KaiTi" w:eastAsia="KaiTi" w:hAnsi="KaiTi" w:cs="KaiTi"/>
                      <w:sz w:val="28"/>
                      <w:szCs w:val="28"/>
                    </w:rPr>
                  </w:pPr>
                  <w:r>
                    <w:rPr>
                      <w:rFonts w:ascii="KaiTi" w:eastAsia="KaiTi" w:hAnsi="KaiTi" w:cs="KaiTi"/>
                      <w:spacing w:val="-6"/>
                      <w:sz w:val="28"/>
                      <w:szCs w:val="28"/>
                      <w14:textOutline w14:w="5094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多元金融</w:t>
                  </w:r>
                </w:p>
              </w:txbxContent>
            </v:textbox>
          </v:shape>
        </w:pict>
      </w:r>
      <w:r>
        <w:pict>
          <v:shape id="_x0000_s1027" type="#_x0000_t202" style="width:42.7pt;height:843.95pt;margin-top:-1pt;margin-left:-1pt;mso-position-horizontal-relative:page;mso-position-vertical-relative:page;position:absolute;z-index:251658240" o:allowincell="f" filled="f" stroked="f">
            <o:lock v:ext="edit" aspectratio="f"/>
            <v:textbox inset="0,0,0,0">
              <w:txbxContent>
                <w:p>
                  <w:pPr>
                    <w:spacing w:line="20" w:lineRule="exact"/>
                  </w:pPr>
                </w:p>
                <w:tbl>
                  <w:tblPr>
                    <w:tblStyle w:val="TableNormal"/>
                    <w:tblW w:w="798" w:type="dxa"/>
                    <w:tblInd w:w="27" w:type="dxa"/>
                    <w:tblBorders>
                      <w:top w:val="single" w:sz="6" w:space="0" w:color="020181"/>
                      <w:left w:val="single" w:sz="6" w:space="0" w:color="020181"/>
                      <w:bottom w:val="single" w:sz="6" w:space="0" w:color="020181"/>
                      <w:right w:val="single" w:sz="6" w:space="0" w:color="020181"/>
                      <w:insideH w:val="single" w:sz="6" w:space="0" w:color="020181"/>
                      <w:insideV w:val="single" w:sz="6" w:space="0" w:color="020181"/>
                    </w:tblBorders>
                    <w:tblLayout w:type="fixed"/>
                  </w:tblPr>
                  <w:tblGrid>
                    <w:gridCol w:w="798"/>
                  </w:tblGrid>
                  <w:tr>
                    <w:tblPrEx>
                      <w:tblW w:w="798" w:type="dxa"/>
                      <w:tblInd w:w="27" w:type="dxa"/>
                      <w:tblBorders>
                        <w:top w:val="single" w:sz="6" w:space="0" w:color="020181"/>
                        <w:left w:val="single" w:sz="6" w:space="0" w:color="020181"/>
                        <w:bottom w:val="single" w:sz="6" w:space="0" w:color="020181"/>
                        <w:right w:val="single" w:sz="6" w:space="0" w:color="020181"/>
                        <w:insideH w:val="single" w:sz="6" w:space="0" w:color="020181"/>
                        <w:insideV w:val="single" w:sz="6" w:space="0" w:color="020181"/>
                      </w:tblBorders>
                      <w:tblLayout w:type="fixed"/>
                    </w:tblPrEx>
                    <w:trPr>
                      <w:trHeight w:val="1976"/>
                    </w:trPr>
                    <w:tc>
                      <w:tcPr>
                        <w:tcW w:w="798" w:type="dxa"/>
                        <w:tcBorders>
                          <w:top w:val="single" w:sz="2" w:space="0" w:color="9DA3D3"/>
                          <w:left w:val="single" w:sz="4" w:space="0" w:color="9DA3D3"/>
                          <w:bottom w:val="single" w:sz="6" w:space="0" w:color="9DA3D3"/>
                          <w:right w:val="single" w:sz="6" w:space="0" w:color="9DA3D3"/>
                        </w:tcBorders>
                        <w:shd w:val="clear" w:color="auto" w:fill="9DA3D3"/>
                        <w:textDirection w:val="tbRlV"/>
                        <w:vAlign w:val="top"/>
                      </w:tcPr>
                      <w:p>
                        <w:pPr>
                          <w:pStyle w:val="TableText"/>
                          <w:spacing w:before="162" w:line="217" w:lineRule="auto"/>
                          <w:ind w:left="32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color w:val="FFFFFF"/>
                            <w:spacing w:val="-15"/>
                            <w:sz w:val="28"/>
                            <w:szCs w:val="28"/>
                            <w14:textOutline w14:w="5094">
                              <w14:solidFill>
                                <w14:srgbClr w14:val="FFFFFF"/>
                              </w14:solidFill>
                              <w14:prstDash w14:val="solid"/>
                              <w14:miter w14:lim="10"/>
                            </w14:textOutline>
                          </w:rPr>
                          <w:t>行</w:t>
                        </w:r>
                        <w:r>
                          <w:rPr>
                            <w:color w:val="FFFFFF"/>
                            <w:spacing w:val="-39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15"/>
                            <w:sz w:val="28"/>
                            <w:szCs w:val="28"/>
                            <w14:textOutline w14:w="5094">
                              <w14:solidFill>
                                <w14:srgbClr w14:val="FFFFFF"/>
                              </w14:solidFill>
                              <w14:prstDash w14:val="solid"/>
                              <w14:miter w14:lim="10"/>
                            </w14:textOutline>
                          </w:rPr>
                          <w:t>业</w:t>
                        </w:r>
                        <w:r>
                          <w:rPr>
                            <w:color w:val="FFFFFF"/>
                            <w:spacing w:val="-15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15"/>
                            <w:sz w:val="28"/>
                            <w:szCs w:val="28"/>
                            <w14:textOutline w14:w="5094">
                              <w14:solidFill>
                                <w14:srgbClr w14:val="FFFFFF"/>
                              </w14:solidFill>
                              <w14:prstDash w14:val="solid"/>
                              <w14:miter w14:lim="10"/>
                            </w14:textOutline>
                          </w:rPr>
                          <w:t>研</w:t>
                        </w:r>
                        <w:r>
                          <w:rPr>
                            <w:color w:val="FFFFFF"/>
                            <w:spacing w:val="-56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15"/>
                            <w:sz w:val="28"/>
                            <w:szCs w:val="28"/>
                            <w14:textOutline w14:w="5094">
                              <w14:solidFill>
                                <w14:srgbClr w14:val="FFFFFF"/>
                              </w14:solidFill>
                              <w14:prstDash w14:val="solid"/>
                              <w14:miter w14:lim="10"/>
                            </w14:textOutline>
                          </w:rPr>
                          <w:t>究</w:t>
                        </w:r>
                      </w:p>
                    </w:tc>
                  </w:tr>
                  <w:tr>
                    <w:tblPrEx>
                      <w:tblW w:w="798" w:type="dxa"/>
                      <w:tblInd w:w="27" w:type="dxa"/>
                      <w:tblLayout w:type="fixed"/>
                    </w:tblPrEx>
                    <w:trPr>
                      <w:trHeight w:val="5294"/>
                    </w:trPr>
                    <w:tc>
                      <w:tcPr>
                        <w:tcW w:w="798" w:type="dxa"/>
                        <w:tcBorders>
                          <w:left w:val="single" w:sz="4" w:space="0" w:color="020181"/>
                        </w:tcBorders>
                        <w:shd w:val="clear" w:color="auto" w:fill="020181"/>
                        <w:textDirection w:val="tbRlV"/>
                        <w:vAlign w:val="top"/>
                      </w:tcPr>
                      <w:p>
                        <w:pPr>
                          <w:pStyle w:val="TableText"/>
                          <w:spacing w:before="161" w:line="217" w:lineRule="auto"/>
                          <w:ind w:left="1221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color w:val="FFFFFF"/>
                            <w:spacing w:val="39"/>
                            <w:w w:val="112"/>
                            <w:sz w:val="28"/>
                            <w:szCs w:val="28"/>
                            <w14:textOutline w14:w="5094">
                              <w14:solidFill>
                                <w14:srgbClr w14:val="FFFFFF"/>
                              </w14:solidFill>
                              <w14:prstDash w14:val="solid"/>
                              <w14:miter w14:lim="10"/>
                            </w14:textOutline>
                          </w:rPr>
                          <w:t>行业深度</w:t>
                        </w:r>
                        <w:r>
                          <w:rPr>
                            <w:color w:val="FFFFFF"/>
                            <w:spacing w:val="39"/>
                            <w:w w:val="112"/>
                            <w:sz w:val="28"/>
                            <w:szCs w:val="28"/>
                            <w14:textOutline w14:w="5103">
                              <w14:solidFill>
                                <w14:srgbClr w14:val="FFFFFF"/>
                              </w14:solidFill>
                              <w14:prstDash w14:val="solid"/>
                              <w14:miter w14:lim="10"/>
                            </w14:textOutline>
                          </w:rPr>
                          <w:t>研</w:t>
                        </w:r>
                        <w:r>
                          <w:rPr>
                            <w:color w:val="FFFFFF"/>
                            <w:spacing w:val="39"/>
                            <w:w w:val="112"/>
                            <w:sz w:val="28"/>
                            <w:szCs w:val="28"/>
                            <w14:textOutline w14:w="5094">
                              <w14:solidFill>
                                <w14:srgbClr w14:val="FFFFFF"/>
                              </w14:solidFill>
                              <w14:prstDash w14:val="solid"/>
                              <w14:miter w14:lim="10"/>
                            </w14:textOutline>
                          </w:rPr>
                          <w:t>究报告</w:t>
                        </w:r>
                      </w:p>
                    </w:tc>
                  </w:tr>
                  <w:tr>
                    <w:tblPrEx>
                      <w:tblW w:w="798" w:type="dxa"/>
                      <w:tblInd w:w="27" w:type="dxa"/>
                      <w:tblLayout w:type="fixed"/>
                    </w:tblPrEx>
                    <w:trPr>
                      <w:trHeight w:val="9533"/>
                    </w:trPr>
                    <w:tc>
                      <w:tcPr>
                        <w:tcW w:w="798" w:type="dxa"/>
                        <w:tcBorders>
                          <w:top w:val="single" w:sz="6" w:space="0" w:color="D8D5EB"/>
                          <w:left w:val="single" w:sz="6" w:space="0" w:color="D8D5EB"/>
                          <w:bottom w:val="nil"/>
                          <w:right w:val="single" w:sz="6" w:space="0" w:color="D8D5EB"/>
                        </w:tcBorders>
                        <w:shd w:val="clear" w:color="auto" w:fill="E1E0FF"/>
                        <w:vAlign w:val="top"/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</w:p>
              </w:txbxContent>
            </v:textbox>
          </v:shape>
        </w:pict>
      </w:r>
      <w:r>
        <w:pict>
          <v:shape id="_x0000_s1028" type="#_x0000_t202" style="width:136.35pt;height:167.4pt;margin-top:93.94pt;margin-left:48.56pt;mso-position-horizontal-relative:page;mso-position-vertical-relative:page;position:absolute;z-index:251659264" o:allowincell="f" filled="f" stroked="f">
            <o:lock v:ext="edit" aspectratio="f"/>
            <v:textbox inset="0,0,0,0">
              <w:txbxContent>
                <w:p>
                  <w:pPr>
                    <w:spacing w:line="20" w:lineRule="exact"/>
                  </w:pPr>
                </w:p>
                <w:tbl>
                  <w:tblPr>
                    <w:tblStyle w:val="TableNormal"/>
                    <w:tblW w:w="2686" w:type="dxa"/>
                    <w:tblInd w:w="20" w:type="dxa"/>
                    <w:tblBorders>
                      <w:top w:val="nil"/>
                      <w:left w:val="nil"/>
                      <w:bottom w:val="nil"/>
                      <w:right w:val="nil"/>
                      <w:insideH w:val="nil"/>
                      <w:insideV w:val="nil"/>
                    </w:tblBorders>
                    <w:tblLayout w:type="fixed"/>
                  </w:tblPr>
                  <w:tblGrid>
                    <w:gridCol w:w="2686"/>
                  </w:tblGrid>
                  <w:tr>
                    <w:tblPrEx>
                      <w:tblW w:w="2686" w:type="dxa"/>
                      <w:tblInd w:w="20" w:type="dxa"/>
                      <w:tblBorders>
                        <w:top w:val="nil"/>
                        <w:left w:val="nil"/>
                        <w:bottom w:val="nil"/>
                        <w:right w:val="nil"/>
                        <w:insideH w:val="nil"/>
                        <w:insideV w:val="nil"/>
                      </w:tblBorders>
                      <w:tblLayout w:type="fixed"/>
                    </w:tblPrEx>
                    <w:trPr>
                      <w:trHeight w:val="1350"/>
                    </w:trPr>
                    <w:tc>
                      <w:tcPr>
                        <w:tcW w:w="2686" w:type="dxa"/>
                        <w:tcBorders>
                          <w:top w:val="single" w:sz="10" w:space="0" w:color="333366"/>
                          <w:bottom w:val="single" w:sz="10" w:space="0" w:color="333366"/>
                        </w:tcBorders>
                        <w:vAlign w:val="top"/>
                      </w:tcPr>
                      <w:p>
                        <w:pPr>
                          <w:spacing w:line="242" w:lineRule="auto"/>
                          <w:rPr>
                            <w:rFonts w:ascii="Arial"/>
                            <w:sz w:val="21"/>
                          </w:rPr>
                        </w:pPr>
                      </w:p>
                      <w:p>
                        <w:pPr>
                          <w:spacing w:line="243" w:lineRule="auto"/>
                          <w:rPr>
                            <w:rFonts w:ascii="Arial"/>
                            <w:sz w:val="21"/>
                          </w:rPr>
                        </w:pPr>
                      </w:p>
                      <w:p>
                        <w:pPr>
                          <w:pStyle w:val="TableText"/>
                          <w:spacing w:before="91" w:line="219" w:lineRule="auto"/>
                          <w:jc w:val="right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6"/>
                            <w:position w:val="-1"/>
                            <w:sz w:val="28"/>
                            <w:szCs w:val="28"/>
                            <w14:textOutline w14:w="5094">
                              <w14:solidFill>
                                <w14:srgbClr w14:val="000000"/>
                              </w14:solidFill>
                              <w14:prstDash w14:val="solid"/>
                              <w14:miter w14:lim="10"/>
                            </w14:textOutline>
                          </w:rPr>
                          <w:t>推荐</w:t>
                        </w:r>
                        <w:r>
                          <w:rPr>
                            <w:spacing w:val="114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6"/>
                            <w:position w:val="1"/>
                            <w:sz w:val="24"/>
                            <w:szCs w:val="24"/>
                            <w14:textOutline w14:w="4354">
                              <w14:solidFill>
                                <w14:srgbClr w14:val="000000"/>
                              </w14:solidFill>
                              <w14:prstDash w14:val="solid"/>
                              <w14:miter w14:lim="10"/>
                            </w14:textOutline>
                          </w:rPr>
                          <w:t>（维持</w:t>
                        </w:r>
                        <w:r>
                          <w:rPr>
                            <w:spacing w:val="-41"/>
                            <w:position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pacing w:val="6"/>
                            <w:position w:val="1"/>
                            <w:sz w:val="24"/>
                            <w:szCs w:val="24"/>
                            <w14:textOutline w14:w="4354">
                              <w14:solidFill>
                                <w14:srgbClr w14:val="000000"/>
                              </w14:solidFill>
                              <w14:prstDash w14:val="solid"/>
                              <w14:miter w14:lim="10"/>
                            </w14:textOutline>
                          </w:rPr>
                          <w:t>）</w:t>
                        </w:r>
                      </w:p>
                    </w:tc>
                  </w:tr>
                  <w:tr>
                    <w:tblPrEx>
                      <w:tblW w:w="2686" w:type="dxa"/>
                      <w:tblInd w:w="20" w:type="dxa"/>
                      <w:tblLayout w:type="fixed"/>
                    </w:tblPrEx>
                    <w:trPr>
                      <w:trHeight w:val="629"/>
                    </w:trPr>
                    <w:tc>
                      <w:tcPr>
                        <w:tcW w:w="2686" w:type="dxa"/>
                        <w:tcBorders>
                          <w:top w:val="single" w:sz="10" w:space="0" w:color="333366"/>
                          <w:bottom w:val="single" w:sz="2" w:space="0" w:color="333366"/>
                        </w:tcBorders>
                        <w:vAlign w:val="top"/>
                      </w:tcPr>
                      <w:p>
                        <w:pPr>
                          <w:spacing w:line="246" w:lineRule="auto"/>
                          <w:rPr>
                            <w:rFonts w:ascii="Arial"/>
                            <w:sz w:val="21"/>
                          </w:rPr>
                        </w:pPr>
                      </w:p>
                      <w:p>
                        <w:pPr>
                          <w:pStyle w:val="TableText"/>
                          <w:spacing w:before="69" w:line="223" w:lineRule="auto"/>
                          <w:ind w:left="106"/>
                        </w:pPr>
                        <w:r>
                          <w:rPr>
                            <w:color w:val="CE1300"/>
                            <w14:textOutline w14:w="3831">
                              <w14:solidFill>
                                <w14:srgbClr w14:val="CE1300"/>
                              </w14:solidFill>
                              <w14:prstDash w14:val="solid"/>
                              <w14:miter w14:lim="10"/>
                            </w14:textOutline>
                          </w:rPr>
                          <w:t>相关报告</w:t>
                        </w:r>
                      </w:p>
                    </w:tc>
                  </w:tr>
                  <w:tr>
                    <w:tblPrEx>
                      <w:tblW w:w="2686" w:type="dxa"/>
                      <w:tblInd w:w="20" w:type="dxa"/>
                      <w:tblLayout w:type="fixed"/>
                    </w:tblPrEx>
                    <w:trPr>
                      <w:trHeight w:val="1268"/>
                    </w:trPr>
                    <w:tc>
                      <w:tcPr>
                        <w:tcW w:w="2686" w:type="dxa"/>
                        <w:tcBorders>
                          <w:top w:val="single" w:sz="2" w:space="0" w:color="333366"/>
                          <w:bottom w:val="single" w:sz="2" w:space="0" w:color="333366"/>
                        </w:tcBorders>
                        <w:vAlign w:val="top"/>
                      </w:tcPr>
                      <w:p>
                        <w:pPr>
                          <w:pStyle w:val="TableText"/>
                          <w:spacing w:before="28" w:line="230" w:lineRule="auto"/>
                          <w:ind w:left="121" w:right="147" w:hanging="16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spacing w:val="7"/>
                            <w:sz w:val="18"/>
                            <w:szCs w:val="18"/>
                          </w:rPr>
                          <w:t>《从国际比较视野来看港交所</w:t>
                        </w:r>
                        <w:r>
                          <w:rPr>
                            <w:spacing w:val="1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8"/>
                            <w:szCs w:val="18"/>
                          </w:rPr>
                          <w:t>的投资价值》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sz w:val="18"/>
                            <w:szCs w:val="18"/>
                          </w:rPr>
                          <w:t>2021-08-02</w:t>
                        </w:r>
                      </w:p>
                      <w:p>
                        <w:pPr>
                          <w:pStyle w:val="TableText"/>
                          <w:spacing w:before="137" w:line="229" w:lineRule="auto"/>
                          <w:ind w:left="108" w:right="136" w:hanging="3"/>
                          <w:jc w:val="both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spacing w:val="-12"/>
                            <w:sz w:val="18"/>
                            <w:szCs w:val="18"/>
                          </w:rPr>
                          <w:t>《香港交易所：</w:t>
                        </w:r>
                        <w:r>
                          <w:rPr>
                            <w:spacing w:val="-12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spacing w:val="-12"/>
                            <w:sz w:val="18"/>
                            <w:szCs w:val="18"/>
                          </w:rPr>
                          <w:t>国际领先的亚洲</w:t>
                        </w:r>
                        <w:r>
                          <w:rPr>
                            <w:spacing w:val="9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spacing w:val="20"/>
                            <w:sz w:val="18"/>
                            <w:szCs w:val="18"/>
                          </w:rPr>
                          <w:t>时区交易所是如何炼成的</w:t>
                        </w:r>
                        <w:r>
                          <w:rPr>
                            <w:spacing w:val="-51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spacing w:val="20"/>
                            <w:sz w:val="18"/>
                            <w:szCs w:val="18"/>
                          </w:rPr>
                          <w:t>》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sz w:val="18"/>
                            <w:szCs w:val="18"/>
                          </w:rPr>
                          <w:t>2021-08-03</w:t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</w:p>
              </w:txbxContent>
            </v:textbox>
          </v:shape>
        </w:pict>
      </w:r>
      <w:r>
        <w:pict>
          <v:shape id="_x0000_s1029" type="#_x0000_t202" style="width:65.45pt;height:42.15pt;margin-top:275.96pt;margin-left:53.91pt;mso-position-horizontal-relative:page;mso-position-vertical-relative:page;position:absolute;z-index:251661312" o:allowincell="f" filled="f" stroked="f">
            <o:lock v:ext="edit" aspectratio="f"/>
            <v:textbox inset="0,0,0,0">
              <w:txbxContent>
                <w:p>
                  <w:pPr>
                    <w:spacing w:before="20" w:line="217" w:lineRule="auto"/>
                    <w:ind w:left="24"/>
                    <w:rPr>
                      <w:rFonts w:ascii="KaiTi" w:eastAsia="KaiTi" w:hAnsi="KaiTi" w:cs="KaiTi"/>
                      <w:sz w:val="18"/>
                      <w:szCs w:val="18"/>
                    </w:rPr>
                  </w:pPr>
                  <w:r>
                    <w:rPr>
                      <w:rFonts w:ascii="KaiTi" w:eastAsia="KaiTi" w:hAnsi="KaiTi" w:cs="KaiTi"/>
                      <w:spacing w:val="-10"/>
                      <w:sz w:val="18"/>
                      <w:szCs w:val="18"/>
                      <w14:textOutline w14:w="3265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分析师：</w:t>
                  </w:r>
                </w:p>
                <w:p>
                  <w:pPr>
                    <w:spacing w:before="93" w:line="220" w:lineRule="auto"/>
                    <w:ind w:left="20"/>
                    <w:rPr>
                      <w:rFonts w:ascii="KaiTi" w:eastAsia="KaiTi" w:hAnsi="KaiTi" w:cs="KaiTi"/>
                      <w:sz w:val="18"/>
                      <w:szCs w:val="18"/>
                    </w:rPr>
                  </w:pPr>
                  <w:r>
                    <w:rPr>
                      <w:rFonts w:ascii="KaiTi" w:eastAsia="KaiTi" w:hAnsi="KaiTi" w:cs="KaiTi"/>
                      <w:spacing w:val="-1"/>
                      <w:sz w:val="18"/>
                      <w:szCs w:val="18"/>
                    </w:rPr>
                    <w:t>徐一洲</w:t>
                  </w:r>
                </w:p>
                <w:p>
                  <w:pPr>
                    <w:spacing w:before="121" w:line="188" w:lineRule="auto"/>
                    <w:ind w:left="29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1"/>
                      <w:sz w:val="18"/>
                      <w:szCs w:val="18"/>
                    </w:rPr>
                    <w:t>S0190521060001</w:t>
                  </w:r>
                </w:p>
              </w:txbxContent>
            </v:textbox>
          </v:shape>
        </w:pict>
      </w:r>
      <w:r>
        <w:pict>
          <v:shape id="_x0000_s1030" type="#_x0000_t202" style="width:80.25pt;height:41.45pt;margin-top:351.68pt;margin-left:53.88pt;mso-position-horizontal-relative:page;mso-position-vertical-relative:page;position:absolute;z-index:251660288" o:allowincell="f" filled="f" stroked="f">
            <o:lock v:ext="edit" aspectratio="f"/>
            <v:textbox inset="0,0,0,0">
              <w:txbxContent>
                <w:p>
                  <w:pPr>
                    <w:spacing w:before="19" w:line="225" w:lineRule="auto"/>
                    <w:ind w:left="20"/>
                    <w:rPr>
                      <w:rFonts w:ascii="KaiTi" w:eastAsia="KaiTi" w:hAnsi="KaiTi" w:cs="KaiTi"/>
                      <w:sz w:val="18"/>
                      <w:szCs w:val="18"/>
                    </w:rPr>
                  </w:pPr>
                  <w:r>
                    <w:rPr>
                      <w:rFonts w:ascii="KaiTi" w:eastAsia="KaiTi" w:hAnsi="KaiTi" w:cs="KaiTi"/>
                      <w:spacing w:val="-8"/>
                      <w:sz w:val="18"/>
                      <w:szCs w:val="18"/>
                      <w14:textOutline w14:w="3265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研究助理：</w:t>
                  </w:r>
                </w:p>
                <w:p>
                  <w:pPr>
                    <w:spacing w:before="78" w:line="224" w:lineRule="auto"/>
                    <w:ind w:left="28"/>
                    <w:rPr>
                      <w:rFonts w:ascii="KaiTi" w:eastAsia="KaiTi" w:hAnsi="KaiTi" w:cs="KaiTi"/>
                      <w:sz w:val="18"/>
                      <w:szCs w:val="18"/>
                    </w:rPr>
                  </w:pPr>
                  <w:r>
                    <w:rPr>
                      <w:rFonts w:ascii="KaiTi" w:eastAsia="KaiTi" w:hAnsi="KaiTi" w:cs="KaiTi"/>
                      <w:spacing w:val="-3"/>
                      <w:sz w:val="18"/>
                      <w:szCs w:val="18"/>
                    </w:rPr>
                    <w:t>开妍</w:t>
                  </w:r>
                </w:p>
                <w:p>
                  <w:pPr>
                    <w:spacing w:before="107" w:line="192" w:lineRule="auto"/>
                    <w:ind w:left="2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1"/>
                      <w:sz w:val="18"/>
                      <w:szCs w:val="18"/>
                    </w:rPr>
                    <w:t>kaiyan@xyzq.com.cn</w:t>
                  </w:r>
                </w:p>
              </w:txbxContent>
            </v:textbox>
          </v:shape>
        </w:pict>
      </w:r>
    </w:p>
    <w:p>
      <w:pPr>
        <w:spacing w:line="257" w:lineRule="auto"/>
        <w:rPr>
          <w:rFonts w:ascii="Arial"/>
          <w:sz w:val="21"/>
        </w:rPr>
      </w:pPr>
    </w:p>
    <w:p>
      <w:pPr>
        <w:spacing w:line="257" w:lineRule="auto"/>
        <w:rPr>
          <w:rFonts w:ascii="Arial"/>
          <w:sz w:val="21"/>
        </w:rPr>
      </w:pPr>
    </w:p>
    <w:p>
      <w:pPr>
        <w:spacing w:line="257" w:lineRule="auto"/>
        <w:rPr>
          <w:rFonts w:ascii="Arial"/>
          <w:sz w:val="21"/>
        </w:rPr>
      </w:pPr>
    </w:p>
    <w:p>
      <w:pPr>
        <w:spacing w:line="257" w:lineRule="auto"/>
        <w:rPr>
          <w:rFonts w:ascii="Arial"/>
          <w:sz w:val="21"/>
        </w:rPr>
      </w:pPr>
    </w:p>
    <w:p>
      <w:pPr>
        <w:spacing w:line="562" w:lineRule="exact"/>
        <w:ind w:firstLine="8439"/>
      </w:pPr>
      <w:r>
        <w:rPr>
          <w:position w:val="-11"/>
        </w:rPr>
        <w:drawing>
          <wp:inline distT="0" distB="0" distL="0" distR="0">
            <wp:extent cx="1502085" cy="356960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02085" cy="35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7112" w:type="dxa"/>
        <w:tblInd w:w="396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</w:tblPr>
      <w:tblGrid>
        <w:gridCol w:w="7112"/>
      </w:tblGrid>
      <w:tr>
        <w:tblPrEx>
          <w:tblW w:w="7112" w:type="dxa"/>
          <w:tblInd w:w="3963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</w:tblPrEx>
        <w:trPr>
          <w:trHeight w:val="1384"/>
        </w:trPr>
        <w:tc>
          <w:tcPr>
            <w:tcW w:w="7112" w:type="dxa"/>
            <w:tcBorders>
              <w:top w:val="single" w:sz="10" w:space="0" w:color="333366"/>
              <w:bottom w:val="single" w:sz="10" w:space="0" w:color="333366"/>
            </w:tcBorders>
            <w:vAlign w:val="top"/>
          </w:tcPr>
          <w:p>
            <w:pPr>
              <w:pStyle w:val="TableText"/>
              <w:spacing w:before="39"/>
              <w:ind w:left="28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FFFFFF"/>
                <w:position w:val="-8"/>
              </w:rPr>
              <w:drawing>
                <wp:inline distT="0" distB="0" distL="0" distR="0">
                  <wp:extent cx="157809" cy="264384"/>
                  <wp:effectExtent l="0" t="0" r="0" b="0"/>
                  <wp:docPr id="4" name="I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 4"/>
                          <pic:cNvPicPr/>
                        </pic:nvPicPr>
                        <pic:blipFill>
                          <a:blip xmlns:r="http://schemas.openxmlformats.org/officeDocument/2006/relationships"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809" cy="264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-13"/>
                <w:position w:val="10"/>
              </w:rPr>
              <w:t>i</w:t>
            </w:r>
            <w:r>
              <w:rPr>
                <w:position w:val="-8"/>
              </w:rPr>
              <w:drawing>
                <wp:inline distT="0" distB="0" distL="0" distR="0">
                  <wp:extent cx="150956" cy="264384"/>
                  <wp:effectExtent l="0" t="0" r="0" b="0"/>
                  <wp:docPr id="6" name="IM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 6"/>
                          <pic:cNvPicPr/>
                        </pic:nvPicPr>
                        <pic:blipFill>
                          <a:blip xmlns:r="http://schemas.openxmlformats.org/officeDocument/2006/relationships"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956" cy="264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-13"/>
                <w:position w:val="10"/>
              </w:rPr>
              <w:t>le</w:t>
            </w:r>
            <w:r>
              <w:rPr>
                <w:spacing w:val="-13"/>
                <w:position w:val="-4"/>
                <w:sz w:val="28"/>
                <w:szCs w:val="28"/>
                <w14:textOutline w14:w="5094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所全球图鉴系列一：</w:t>
            </w:r>
          </w:p>
          <w:p>
            <w:pPr>
              <w:pStyle w:val="TableText"/>
              <w:spacing w:before="21" w:line="212" w:lineRule="auto"/>
              <w:ind w:left="335"/>
              <w:rPr>
                <w:sz w:val="30"/>
                <w:szCs w:val="30"/>
              </w:rPr>
            </w:pPr>
            <w:r>
              <w:rPr>
                <w:sz w:val="30"/>
                <w:szCs w:val="30"/>
                <w14:textOutline w14:w="5442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纳斯达克，从交易所到金融科技领军的行业破局者</w:t>
            </w:r>
          </w:p>
          <w:p>
            <w:pPr>
              <w:pStyle w:val="TableText"/>
              <w:spacing w:before="189" w:line="217" w:lineRule="auto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CE1300"/>
                <w:spacing w:val="-10"/>
                <w:sz w:val="24"/>
                <w:szCs w:val="24"/>
              </w:rPr>
              <w:t xml:space="preserve">2024 </w:t>
            </w:r>
            <w:r>
              <w:rPr>
                <w:color w:val="CE1300"/>
                <w:spacing w:val="-10"/>
                <w:sz w:val="24"/>
                <w:szCs w:val="24"/>
                <w14:textOutline w14:w="4354">
                  <w14:solidFill>
                    <w14:srgbClr w14:val="CE1300"/>
                  </w14:solidFill>
                  <w14:prstDash w14:val="solid"/>
                  <w14:miter w14:lim="10"/>
                </w14:textOutline>
              </w:rPr>
              <w:t>年</w:t>
            </w:r>
            <w:r>
              <w:rPr>
                <w:color w:val="CE1300"/>
                <w:spacing w:val="-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CE1300"/>
                <w:spacing w:val="-10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CE1300"/>
                <w:spacing w:val="22"/>
                <w:w w:val="101"/>
                <w:sz w:val="24"/>
                <w:szCs w:val="24"/>
              </w:rPr>
              <w:t xml:space="preserve"> </w:t>
            </w:r>
            <w:r>
              <w:rPr>
                <w:color w:val="CE1300"/>
                <w:spacing w:val="-10"/>
                <w:sz w:val="24"/>
                <w:szCs w:val="24"/>
                <w14:textOutline w14:w="4354">
                  <w14:solidFill>
                    <w14:srgbClr w14:val="CE1300"/>
                  </w14:solidFill>
                  <w14:prstDash w14:val="solid"/>
                  <w14:miter w14:lim="10"/>
                </w14:textOutline>
              </w:rPr>
              <w:t>月</w:t>
            </w:r>
            <w:r>
              <w:rPr>
                <w:color w:val="CE1300"/>
                <w:spacing w:val="-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CE1300"/>
                <w:spacing w:val="-10"/>
                <w:sz w:val="24"/>
                <w:szCs w:val="24"/>
              </w:rPr>
              <w:t>12</w:t>
            </w:r>
            <w:r>
              <w:rPr>
                <w:rFonts w:ascii="Times New Roman" w:eastAsia="Times New Roman" w:hAnsi="Times New Roman" w:cs="Times New Roman"/>
                <w:b/>
                <w:bCs/>
                <w:color w:val="CE1300"/>
                <w:spacing w:val="58"/>
                <w:w w:val="101"/>
                <w:sz w:val="24"/>
                <w:szCs w:val="24"/>
              </w:rPr>
              <w:t xml:space="preserve"> </w:t>
            </w:r>
            <w:r>
              <w:rPr>
                <w:color w:val="CE1300"/>
                <w:spacing w:val="-10"/>
                <w:sz w:val="24"/>
                <w:szCs w:val="24"/>
                <w14:textOutline w14:w="4354">
                  <w14:solidFill>
                    <w14:srgbClr w14:val="CE1300"/>
                  </w14:solidFill>
                  <w14:prstDash w14:val="solid"/>
                  <w14:miter w14:lim="10"/>
                </w14:textOutline>
              </w:rPr>
              <w:t>日</w:t>
            </w:r>
          </w:p>
        </w:tc>
      </w:tr>
      <w:tr>
        <w:tblPrEx>
          <w:tblW w:w="7112" w:type="dxa"/>
          <w:tblInd w:w="3963" w:type="dxa"/>
          <w:tblLayout w:type="fixed"/>
        </w:tblPrEx>
        <w:trPr>
          <w:trHeight w:val="11790"/>
        </w:trPr>
        <w:tc>
          <w:tcPr>
            <w:tcW w:w="7112" w:type="dxa"/>
            <w:tcBorders>
              <w:top w:val="single" w:sz="10" w:space="0" w:color="333366"/>
            </w:tcBorders>
            <w:vAlign w:val="top"/>
          </w:tcPr>
          <w:p>
            <w:pPr>
              <w:pStyle w:val="TableText"/>
              <w:spacing w:before="59" w:line="219" w:lineRule="auto"/>
              <w:ind w:left="151"/>
            </w:pPr>
            <w:r>
              <w:rPr>
                <w:color w:val="CE1300"/>
                <w:spacing w:val="1"/>
                <w14:textOutline w14:w="3831">
                  <w14:solidFill>
                    <w14:srgbClr w14:val="CE1300"/>
                  </w14:solidFill>
                  <w14:prstDash w14:val="solid"/>
                  <w14:miter w14:lim="10"/>
                </w14:textOutline>
              </w:rPr>
              <w:t>投资要点</w:t>
            </w:r>
          </w:p>
          <w:p>
            <w:pPr>
              <w:pStyle w:val="TableText"/>
              <w:spacing w:before="165" w:line="271" w:lineRule="auto"/>
              <w:ind w:left="471" w:hanging="420"/>
            </w:pPr>
            <w:r>
              <w:rPr>
                <w:position w:val="1"/>
              </w:rPr>
              <w:drawing>
                <wp:inline distT="0" distB="0" distL="0" distR="0">
                  <wp:extent cx="77387" cy="78857"/>
                  <wp:effectExtent l="0" t="0" r="0" b="0"/>
                  <wp:docPr id="8" name="IM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 8"/>
                          <pic:cNvPicPr/>
                        </pic:nvPicPr>
                        <pic:blipFill>
                          <a:blip xmlns:r="http://schemas.openxmlformats.org/officeDocument/2006/relationships"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87" cy="78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40"/>
              </w:rPr>
              <w:t xml:space="preserve">  </w:t>
            </w:r>
            <w:r>
              <w:rPr>
                <w:spacing w:val="-3"/>
              </w:rPr>
              <w:t>纳斯达克是全球市场规模排名前列的交易所集团，其业务定位从美国境内</w:t>
            </w:r>
            <w:r>
              <w:t xml:space="preserve"> </w:t>
            </w:r>
            <w:r>
              <w:rPr>
                <w:spacing w:val="-3"/>
              </w:rPr>
              <w:t>交易所运营转变为全球交易所公司，再转型为服务于</w:t>
            </w:r>
            <w:r>
              <w:rPr>
                <w:spacing w:val="-4"/>
              </w:rPr>
              <w:t>资本市场和其他行业</w:t>
            </w:r>
            <w:r>
              <w:t xml:space="preserve"> </w:t>
            </w:r>
            <w:r>
              <w:rPr>
                <w:spacing w:val="-5"/>
              </w:rPr>
              <w:t>的全球性科技公司，</w:t>
            </w:r>
            <w:r>
              <w:rPr>
                <w:spacing w:val="-27"/>
              </w:rPr>
              <w:t xml:space="preserve"> </w:t>
            </w:r>
            <w:r>
              <w:rPr>
                <w:spacing w:val="-5"/>
              </w:rPr>
              <w:t>提供从交易到数据、分析、软件等全方位服务体系。</w:t>
            </w:r>
          </w:p>
          <w:p>
            <w:pPr>
              <w:pStyle w:val="TableText"/>
              <w:spacing w:before="215" w:line="292" w:lineRule="auto"/>
              <w:ind w:left="453" w:hanging="402"/>
            </w:pPr>
            <w:r>
              <w:rPr>
                <w:position w:val="1"/>
              </w:rPr>
              <w:drawing>
                <wp:inline distT="0" distB="0" distL="0" distR="0">
                  <wp:extent cx="77076" cy="78857"/>
                  <wp:effectExtent l="0" t="0" r="0" b="0"/>
                  <wp:docPr id="10" name="IM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 10"/>
                          <pic:cNvPicPr/>
                        </pic:nvPicPr>
                        <pic:blipFill>
                          <a:blip xmlns:r="http://schemas.openxmlformats.org/officeDocument/2006/relationships"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" cy="78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34"/>
              </w:rPr>
              <w:t xml:space="preserve">  </w:t>
            </w:r>
            <w:r>
              <w:rPr>
                <w:spacing w:val="-15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发展沿革：</w:t>
            </w:r>
            <w:r>
              <w:rPr>
                <w:spacing w:val="-15"/>
              </w:rPr>
              <w:t xml:space="preserve"> </w:t>
            </w:r>
            <w:r>
              <w:rPr>
                <w:spacing w:val="-15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根据市场环境调整经营重心，</w:t>
            </w:r>
            <w:r>
              <w:rPr>
                <w:spacing w:val="42"/>
              </w:rPr>
              <w:t xml:space="preserve"> </w:t>
            </w:r>
            <w:r>
              <w:rPr>
                <w:spacing w:val="-15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实现业绩良性增长。</w:t>
            </w:r>
            <w:r>
              <w:rPr>
                <w:spacing w:val="24"/>
              </w:rPr>
              <w:t xml:space="preserve"> </w:t>
            </w:r>
            <w:r>
              <w:rPr>
                <w:spacing w:val="-15"/>
              </w:rPr>
              <w:t>纵观其发展</w:t>
            </w:r>
            <w:r>
              <w:t xml:space="preserve"> </w:t>
            </w:r>
            <w:r>
              <w:rPr>
                <w:spacing w:val="-5"/>
              </w:rPr>
              <w:t>历史，</w:t>
            </w:r>
            <w:r>
              <w:rPr>
                <w:spacing w:val="-61"/>
              </w:rPr>
              <w:t xml:space="preserve"> </w:t>
            </w:r>
            <w:r>
              <w:rPr>
                <w:spacing w:val="-5"/>
              </w:rPr>
              <w:t>纳斯达克在激荡的资本市场中对于战略方向的准确判断和经营重心</w:t>
            </w:r>
            <w:r>
              <w:t xml:space="preserve"> </w:t>
            </w:r>
            <w:r>
              <w:rPr>
                <w:spacing w:val="-5"/>
              </w:rPr>
              <w:t>的灵活调整保证了公司业绩的良性增长。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2003 </w:t>
            </w:r>
            <w:r>
              <w:rPr>
                <w:spacing w:val="-5"/>
              </w:rPr>
              <w:t>年，在全球化扩张受阻及市</w:t>
            </w:r>
            <w:r>
              <w:rPr>
                <w:spacing w:val="7"/>
              </w:rPr>
              <w:t xml:space="preserve"> </w:t>
            </w:r>
            <w:r>
              <w:rPr>
                <w:spacing w:val="-5"/>
              </w:rPr>
              <w:t>场份额流失情况下，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纳斯达克通过收购</w:t>
            </w:r>
            <w:r>
              <w:rPr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INET</w:t>
            </w:r>
            <w:r>
              <w:rPr>
                <w:spacing w:val="-5"/>
              </w:rPr>
              <w:t>、推出双重上市制度等方式</w:t>
            </w:r>
            <w:r>
              <w:t xml:space="preserve"> </w:t>
            </w:r>
            <w:r>
              <w:rPr>
                <w:spacing w:val="-5"/>
              </w:rPr>
              <w:t>争取交易份额；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2007 </w:t>
            </w:r>
            <w:r>
              <w:rPr>
                <w:spacing w:val="-5"/>
              </w:rPr>
              <w:t>年后再次向全球化进发，并将业务拓展至其他交易品</w:t>
            </w:r>
            <w:r>
              <w:rPr>
                <w:spacing w:val="7"/>
              </w:rPr>
              <w:t xml:space="preserve"> </w:t>
            </w:r>
            <w:r>
              <w:rPr>
                <w:spacing w:val="-5"/>
              </w:rPr>
              <w:t>种；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2010 </w:t>
            </w:r>
            <w:r>
              <w:rPr>
                <w:spacing w:val="-5"/>
              </w:rPr>
              <w:t>年后开始探索合规风控及技术等新业务方向，并逐渐将更多资源</w:t>
            </w:r>
            <w:r>
              <w:rPr>
                <w:spacing w:val="7"/>
              </w:rPr>
              <w:t xml:space="preserve"> </w:t>
            </w:r>
            <w:r>
              <w:rPr>
                <w:spacing w:val="-5"/>
              </w:rPr>
              <w:t>倾斜至金融科技业务。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2000-2023 </w:t>
            </w:r>
            <w:r>
              <w:rPr>
                <w:spacing w:val="-5"/>
              </w:rPr>
              <w:t>年，公司收入由</w:t>
            </w:r>
            <w:r>
              <w:rPr>
                <w:spacing w:val="-3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8.32 </w:t>
            </w:r>
            <w:r>
              <w:rPr>
                <w:spacing w:val="-5"/>
              </w:rPr>
              <w:t>亿美元增长至</w:t>
            </w:r>
            <w:r>
              <w:rPr>
                <w:spacing w:val="-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38.95</w:t>
            </w: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>
              <w:rPr>
                <w:spacing w:val="-5"/>
              </w:rPr>
              <w:t>亿美元，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CAGR</w:t>
            </w:r>
            <w:r>
              <w:rPr>
                <w:rFonts w:ascii="Times New Roman" w:eastAsia="Times New Roman" w:hAnsi="Times New Roman" w:cs="Times New Roman"/>
                <w:spacing w:val="27"/>
                <w:w w:val="101"/>
              </w:rPr>
              <w:t xml:space="preserve"> </w:t>
            </w:r>
            <w:r>
              <w:rPr>
                <w:spacing w:val="-5"/>
              </w:rPr>
              <w:t>达</w:t>
            </w:r>
            <w:r>
              <w:rPr>
                <w:spacing w:val="-4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6.9%</w:t>
            </w:r>
            <w:r>
              <w:rPr>
                <w:spacing w:val="-5"/>
              </w:rPr>
              <w:t>；归母净利润由</w:t>
            </w:r>
            <w:r>
              <w:rPr>
                <w:spacing w:val="-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0.23 </w:t>
            </w:r>
            <w:r>
              <w:rPr>
                <w:spacing w:val="-5"/>
              </w:rPr>
              <w:t>亿美元增长至</w:t>
            </w:r>
            <w:r>
              <w:rPr>
                <w:spacing w:val="-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10.59 </w:t>
            </w:r>
            <w:r>
              <w:rPr>
                <w:spacing w:val="-5"/>
              </w:rPr>
              <w:t>亿美元，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CAGR</w:t>
            </w:r>
            <w:r>
              <w:rPr>
                <w:rFonts w:ascii="Times New Roman" w:eastAsia="Times New Roman" w:hAnsi="Times New Roman" w:cs="Times New Roman"/>
                <w:spacing w:val="17"/>
                <w:w w:val="101"/>
              </w:rPr>
              <w:t xml:space="preserve"> </w:t>
            </w:r>
            <w:r>
              <w:rPr>
                <w:spacing w:val="-5"/>
              </w:rPr>
              <w:t>达</w:t>
            </w:r>
            <w:r>
              <w:rPr>
                <w:spacing w:val="-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18.0%</w:t>
            </w:r>
            <w:r>
              <w:rPr>
                <w:spacing w:val="-5"/>
              </w:rPr>
              <w:t>。</w:t>
            </w:r>
          </w:p>
          <w:p>
            <w:pPr>
              <w:pStyle w:val="TableText"/>
              <w:spacing w:before="198" w:line="287" w:lineRule="auto"/>
              <w:ind w:left="456" w:hanging="405"/>
            </w:pPr>
            <w:r>
              <w:rPr>
                <w:position w:val="1"/>
              </w:rPr>
              <w:drawing>
                <wp:inline distT="0" distB="0" distL="0" distR="0">
                  <wp:extent cx="76992" cy="78857"/>
                  <wp:effectExtent l="0" t="0" r="0" b="0"/>
                  <wp:docPr id="12" name="IM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 12"/>
                          <pic:cNvPicPr/>
                        </pic:nvPicPr>
                        <pic:blipFill>
                          <a:blip xmlns:r="http://schemas.openxmlformats.org/officeDocument/2006/relationships"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92" cy="78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44"/>
              </w:rPr>
              <w:t xml:space="preserve">  </w:t>
            </w:r>
            <w:r>
              <w:rPr>
                <w:spacing w:val="-10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业务分拆：</w:t>
            </w:r>
            <w:r>
              <w:rPr>
                <w:spacing w:val="-23"/>
              </w:rPr>
              <w:t xml:space="preserve"> </w:t>
            </w:r>
            <w:r>
              <w:rPr>
                <w:spacing w:val="-10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传统交易所业务为发展基础，</w:t>
            </w:r>
            <w:r>
              <w:rPr>
                <w:spacing w:val="-10"/>
              </w:rPr>
              <w:t xml:space="preserve"> </w:t>
            </w:r>
            <w:r>
              <w:rPr>
                <w:spacing w:val="-10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金融科技业务是增长的核心驱动</w:t>
            </w:r>
            <w:r>
              <w:t xml:space="preserve"> </w:t>
            </w:r>
            <w:r>
              <w:rPr>
                <w:spacing w:val="-4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力。</w:t>
            </w:r>
            <w:r>
              <w:rPr>
                <w:spacing w:val="-30"/>
              </w:rPr>
              <w:t xml:space="preserve"> </w:t>
            </w:r>
            <w:r>
              <w:rPr>
                <w:spacing w:val="-4"/>
              </w:rPr>
              <w:t>截至</w:t>
            </w:r>
            <w:r>
              <w:rPr>
                <w:spacing w:val="-3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2023</w:t>
            </w:r>
            <w:r>
              <w:rPr>
                <w:rFonts w:ascii="Times New Roman" w:eastAsia="Times New Roman" w:hAnsi="Times New Roman" w:cs="Times New Roman"/>
                <w:spacing w:val="23"/>
              </w:rPr>
              <w:t xml:space="preserve"> </w:t>
            </w:r>
            <w:r>
              <w:rPr>
                <w:spacing w:val="-4"/>
              </w:rPr>
              <w:t>年底，公司业务包括金融科技、资本接</w:t>
            </w:r>
            <w:r>
              <w:rPr>
                <w:spacing w:val="-5"/>
              </w:rPr>
              <w:t>入平台和市场服务</w:t>
            </w:r>
            <w:r>
              <w:t xml:space="preserve"> </w:t>
            </w:r>
            <w:r>
              <w:rPr>
                <w:spacing w:val="-4"/>
              </w:rPr>
              <w:t>三大分部，</w:t>
            </w:r>
            <w:r>
              <w:rPr>
                <w:spacing w:val="-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2023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spacing w:val="-4"/>
              </w:rPr>
              <w:t>年收入规模分别达</w:t>
            </w:r>
            <w:r>
              <w:rPr>
                <w:spacing w:val="-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10.99</w:t>
            </w:r>
            <w:r>
              <w:rPr>
                <w:spacing w:val="-4"/>
              </w:rPr>
              <w:t>、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17.70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spacing w:val="-4"/>
              </w:rPr>
              <w:t>和</w:t>
            </w:r>
            <w:r>
              <w:rPr>
                <w:spacing w:val="-4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9.87 </w:t>
            </w:r>
            <w:r>
              <w:rPr>
                <w:spacing w:val="-4"/>
              </w:rPr>
              <w:t>亿美</w:t>
            </w:r>
            <w:r>
              <w:rPr>
                <w:spacing w:val="-5"/>
              </w:rPr>
              <w:t>元，占比分</w:t>
            </w:r>
            <w:r>
              <w:t xml:space="preserve"> </w:t>
            </w:r>
            <w:r>
              <w:rPr>
                <w:spacing w:val="-7"/>
              </w:rPr>
              <w:t>别达</w:t>
            </w:r>
            <w:r>
              <w:rPr>
                <w:spacing w:val="-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28%</w:t>
            </w:r>
            <w:r>
              <w:rPr>
                <w:rFonts w:ascii="Times New Roman" w:eastAsia="Times New Roman" w:hAnsi="Times New Roman" w:cs="Times New Roman"/>
                <w:spacing w:val="-28"/>
              </w:rPr>
              <w:t xml:space="preserve"> </w:t>
            </w:r>
            <w:r>
              <w:rPr>
                <w:spacing w:val="-7"/>
              </w:rPr>
              <w:t>、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45%</w:t>
            </w:r>
            <w:r>
              <w:rPr>
                <w:spacing w:val="-7"/>
              </w:rPr>
              <w:t>和</w:t>
            </w:r>
            <w:r>
              <w:rPr>
                <w:spacing w:val="-5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25%</w:t>
            </w:r>
            <w:r>
              <w:rPr>
                <w:spacing w:val="-7"/>
              </w:rPr>
              <w:t>。其中，</w:t>
            </w:r>
            <w:r>
              <w:rPr>
                <w:spacing w:val="45"/>
              </w:rPr>
              <w:t xml:space="preserve"> </w:t>
            </w:r>
            <w:r>
              <w:rPr>
                <w:spacing w:val="-7"/>
              </w:rPr>
              <w:t>金融科技包括监管科技和金融市场科</w:t>
            </w:r>
            <w:r>
              <w:rPr>
                <w:spacing w:val="-8"/>
              </w:rPr>
              <w:t>技；</w:t>
            </w:r>
            <w:r>
              <w:t xml:space="preserve"> </w:t>
            </w:r>
            <w:r>
              <w:rPr>
                <w:spacing w:val="-4"/>
              </w:rPr>
              <w:t>资本接入平台分部包括数据及上市服务、指数服务和工作流及洞察三部分</w:t>
            </w:r>
            <w:r>
              <w:rPr>
                <w:spacing w:val="2"/>
              </w:rPr>
              <w:t xml:space="preserve"> </w:t>
            </w:r>
            <w:r>
              <w:rPr>
                <w:spacing w:val="-7"/>
              </w:rPr>
              <w:t>业务；</w:t>
            </w:r>
            <w:r>
              <w:rPr>
                <w:spacing w:val="-7"/>
              </w:rPr>
              <w:t xml:space="preserve"> </w:t>
            </w:r>
            <w:r>
              <w:rPr>
                <w:spacing w:val="-7"/>
              </w:rPr>
              <w:t>市场服务分部主要为纳斯达克衍生品及现货等传统交易服务。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2023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 </w:t>
            </w:r>
            <w:r>
              <w:rPr>
                <w:spacing w:val="-6"/>
              </w:rPr>
              <w:t>年完成收购金融科技公司</w:t>
            </w:r>
            <w:r>
              <w:rPr>
                <w:spacing w:val="-3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Adenza </w:t>
            </w:r>
            <w:r>
              <w:rPr>
                <w:spacing w:val="-6"/>
              </w:rPr>
              <w:t>后，解决方案相关收入占比已达到</w:t>
            </w:r>
            <w:r>
              <w:rPr>
                <w:spacing w:val="-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</w:rPr>
              <w:t>74%</w:t>
            </w:r>
            <w:r>
              <w:rPr>
                <w:spacing w:val="-6"/>
              </w:rPr>
              <w:t>。</w:t>
            </w:r>
          </w:p>
          <w:p>
            <w:pPr>
              <w:pStyle w:val="TableText"/>
              <w:spacing w:before="211" w:line="292" w:lineRule="auto"/>
              <w:ind w:left="450" w:hanging="400"/>
            </w:pPr>
            <w:r>
              <w:rPr>
                <w:position w:val="1"/>
              </w:rPr>
              <w:drawing>
                <wp:inline distT="0" distB="0" distL="0" distR="0">
                  <wp:extent cx="72676" cy="74377"/>
                  <wp:effectExtent l="0" t="0" r="0" b="0"/>
                  <wp:docPr id="14" name="IM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 14"/>
                          <pic:cNvPicPr/>
                        </pic:nvPicPr>
                        <pic:blipFill>
                          <a:blip xmlns:r="http://schemas.openxmlformats.org/officeDocument/2006/relationships"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76" cy="74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46"/>
              </w:rPr>
              <w:t xml:space="preserve">  </w:t>
            </w:r>
            <w:r>
              <w:rPr>
                <w:spacing w:val="-4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经营特色：</w:t>
            </w:r>
            <w:r>
              <w:rPr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</w:rPr>
              <w:t>1</w:t>
            </w:r>
            <w:r>
              <w:rPr>
                <w:spacing w:val="-4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）上市业务</w:t>
            </w:r>
            <w:r>
              <w:rPr>
                <w:spacing w:val="-4"/>
              </w:rPr>
              <w:t>，作为公司品牌业务，纳斯达克通过低上市标准</w:t>
            </w:r>
            <w:r>
              <w:rPr>
                <w:spacing w:val="1"/>
              </w:rPr>
              <w:t xml:space="preserve"> </w:t>
            </w:r>
            <w:r>
              <w:rPr>
                <w:spacing w:val="-8"/>
              </w:rPr>
              <w:t>吸引科技公司，打造“科技”标签；通过设立分层市场形成板</w:t>
            </w:r>
            <w:r>
              <w:rPr>
                <w:spacing w:val="-9"/>
              </w:rPr>
              <w:t>块聚集效应，</w:t>
            </w:r>
            <w:r>
              <w:t xml:space="preserve"> </w:t>
            </w:r>
            <w:r>
              <w:rPr>
                <w:spacing w:val="-4"/>
              </w:rPr>
              <w:t>再次强化自身品牌；多次调整上市标准，适应产业形势变化，形成完善的</w:t>
            </w:r>
            <w:r>
              <w:rPr>
                <w:spacing w:val="12"/>
              </w:rPr>
              <w:t xml:space="preserve"> </w:t>
            </w:r>
            <w:r>
              <w:rPr>
                <w:spacing w:val="-5"/>
              </w:rPr>
              <w:t>上市制度体系。</w:t>
            </w:r>
            <w:r>
              <w:rPr>
                <w:spacing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>2</w:t>
            </w:r>
            <w:r>
              <w:rPr>
                <w:spacing w:val="-5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）交易业务</w:t>
            </w:r>
            <w:r>
              <w:rPr>
                <w:spacing w:val="-5"/>
              </w:rPr>
              <w:t>，纳斯达克保证交易技术的先进</w:t>
            </w:r>
            <w:r>
              <w:rPr>
                <w:spacing w:val="-6"/>
              </w:rPr>
              <w:t>，持续优化</w:t>
            </w:r>
            <w:r>
              <w:t xml:space="preserve"> </w:t>
            </w:r>
            <w:r>
              <w:rPr>
                <w:spacing w:val="-2"/>
              </w:rPr>
              <w:t>交易成本、交易速度；此外通过返佣、收购同业竞争对手保证交易份额，</w:t>
            </w:r>
            <w:r>
              <w:rPr>
                <w:spacing w:val="4"/>
              </w:rPr>
              <w:t xml:space="preserve"> </w:t>
            </w:r>
            <w:r>
              <w:rPr>
                <w:spacing w:val="-5"/>
              </w:rPr>
              <w:t>以流动性吸引流动性。外延收购形成横纵向产品布局，</w:t>
            </w:r>
            <w:r>
              <w:rPr>
                <w:spacing w:val="-59"/>
              </w:rPr>
              <w:t xml:space="preserve"> </w:t>
            </w:r>
            <w:r>
              <w:rPr>
                <w:spacing w:val="-5"/>
              </w:rPr>
              <w:t>拓展全球其他地区</w:t>
            </w:r>
            <w:r>
              <w:t xml:space="preserve"> </w:t>
            </w:r>
            <w:r>
              <w:rPr>
                <w:spacing w:val="-5"/>
              </w:rPr>
              <w:t>以及衍生品等其他交易品种的市场。</w:t>
            </w:r>
            <w:r>
              <w:rPr>
                <w:spacing w:val="4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>3</w:t>
            </w:r>
            <w:r>
              <w:rPr>
                <w:spacing w:val="-5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）金融科技，</w:t>
            </w:r>
            <w:r>
              <w:rPr>
                <w:spacing w:val="-5"/>
              </w:rPr>
              <w:t>沿用并购策略，</w:t>
            </w:r>
            <w:r>
              <w:rPr>
                <w:spacing w:val="-6"/>
              </w:rPr>
              <w:t>持续</w:t>
            </w:r>
            <w:r>
              <w:t xml:space="preserve"> </w:t>
            </w:r>
            <w:r>
              <w:rPr>
                <w:spacing w:val="-4"/>
              </w:rPr>
              <w:t>投入反金融犯罪等未来新业务。纳斯达克向合规科技、数据、指数等方向</w:t>
            </w:r>
            <w:r>
              <w:rPr>
                <w:spacing w:val="12"/>
              </w:rPr>
              <w:t xml:space="preserve"> </w:t>
            </w:r>
            <w:r>
              <w:rPr>
                <w:spacing w:val="-6"/>
              </w:rPr>
              <w:t>发展，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并通过收购相关领域的公司形成多元化的金融科技业务体系。</w:t>
            </w:r>
            <w:r>
              <w:rPr>
                <w:rFonts w:ascii="Times New Roman" w:eastAsia="Times New Roman" w:hAnsi="Times New Roman" w:cs="Times New Roman"/>
                <w:spacing w:val="-6"/>
              </w:rPr>
              <w:t>2017</w:t>
            </w: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>
              <w:rPr>
                <w:spacing w:val="-1"/>
              </w:rPr>
              <w:t>年以来，科技相关业务成为公司增长的主要驱</w:t>
            </w:r>
            <w:r>
              <w:rPr>
                <w:spacing w:val="-2"/>
              </w:rPr>
              <w:t>动力，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2017-2022</w:t>
            </w:r>
            <w:r>
              <w:rPr>
                <w:rFonts w:ascii="Times New Roman" w:eastAsia="Times New Roman" w:hAnsi="Times New Roman" w:cs="Times New Roman"/>
                <w:spacing w:val="26"/>
              </w:rPr>
              <w:t xml:space="preserve"> </w:t>
            </w:r>
            <w:r>
              <w:rPr>
                <w:spacing w:val="-2"/>
              </w:rPr>
              <w:t>年反金融</w:t>
            </w:r>
            <w:r>
              <w:t xml:space="preserve"> </w:t>
            </w:r>
            <w:r>
              <w:rPr>
                <w:spacing w:val="-3"/>
              </w:rPr>
              <w:t>犯罪业务</w:t>
            </w:r>
            <w:r>
              <w:rPr>
                <w:spacing w:val="-4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CAGR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spacing w:val="-3"/>
              </w:rPr>
              <w:t>达到</w:t>
            </w:r>
            <w:r>
              <w:rPr>
                <w:spacing w:val="-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31.1%</w:t>
            </w:r>
            <w:r>
              <w:rPr>
                <w:spacing w:val="-3"/>
              </w:rPr>
              <w:t>，指数业务</w:t>
            </w:r>
            <w:r>
              <w:rPr>
                <w:spacing w:val="-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CAGR</w:t>
            </w:r>
            <w:r>
              <w:rPr>
                <w:rFonts w:ascii="Times New Roman" w:eastAsia="Times New Roman" w:hAnsi="Times New Roman" w:cs="Times New Roman"/>
                <w:spacing w:val="15"/>
                <w:w w:val="101"/>
              </w:rPr>
              <w:t xml:space="preserve"> </w:t>
            </w:r>
            <w:r>
              <w:rPr>
                <w:spacing w:val="-3"/>
              </w:rPr>
              <w:t>达</w:t>
            </w:r>
            <w:r>
              <w:rPr>
                <w:spacing w:val="-5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23.2%</w:t>
            </w:r>
            <w:r>
              <w:rPr>
                <w:spacing w:val="-3"/>
              </w:rPr>
              <w:t>。</w:t>
            </w:r>
          </w:p>
          <w:p>
            <w:pPr>
              <w:spacing w:line="277" w:lineRule="auto"/>
              <w:rPr>
                <w:rFonts w:ascii="Arial"/>
                <w:sz w:val="21"/>
              </w:rPr>
            </w:pPr>
          </w:p>
          <w:p>
            <w:pPr>
              <w:spacing w:line="278" w:lineRule="auto"/>
              <w:rPr>
                <w:rFonts w:ascii="Arial"/>
                <w:sz w:val="21"/>
              </w:rPr>
            </w:pPr>
          </w:p>
        </w:tc>
      </w:tr>
    </w:tbl>
    <w:p>
      <w:pPr>
        <w:sectPr>
          <w:pgSz w:w="11907" w:h="16839"/>
          <w:pgMar w:top="0" w:right="830" w:bottom="0" w:left="0" w:header="0" w:footer="0" w:gutter="0"/>
          <w:cols w:space="708"/>
        </w:sectPr>
      </w:pPr>
    </w:p>
    <w:tbl>
      <w:tblPr>
        <w:tblStyle w:val="TableNormal0"/>
        <w:tblW w:w="7112" w:type="dxa"/>
        <w:tblInd w:w="396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</w:tblPr>
      <w:tblGrid>
        <w:gridCol w:w="7112"/>
      </w:tblGrid>
      <w:tr>
        <w:tblPrEx>
          <w:tblW w:w="7112" w:type="dxa"/>
          <w:tblInd w:w="3963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</w:tblPrEx>
        <w:trPr>
          <w:trHeight w:val="11790"/>
        </w:trPr>
        <w:tc>
          <w:tcPr>
            <w:tcW w:w="7112" w:type="dxa"/>
            <w:tcBorders>
              <w:top w:val="single" w:sz="10" w:space="0" w:color="333366"/>
            </w:tcBorders>
            <w:vAlign w:val="top"/>
          </w:tcPr>
          <w:p>
            <w:pPr>
              <w:pStyle w:val="TableText"/>
              <w:spacing w:before="69" w:line="176" w:lineRule="auto"/>
              <w:ind w:left="51"/>
            </w:pPr>
            <w:r>
              <w:rPr>
                <w:position w:val="1"/>
              </w:rPr>
              <w:drawing>
                <wp:inline distT="0" distB="0" distL="0" distR="0">
                  <wp:extent cx="77650" cy="74907"/>
                  <wp:effectExtent l="0" t="0" r="0" b="0"/>
                  <wp:docPr id="16" name="IM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 16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50" cy="74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37"/>
              </w:rPr>
              <w:t xml:space="preserve">  </w:t>
            </w:r>
            <w:r>
              <w:rPr>
                <w:spacing w:val="-8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风险提示：</w:t>
            </w:r>
            <w:r>
              <w:rPr>
                <w:spacing w:val="43"/>
              </w:rPr>
              <w:t xml:space="preserve"> </w:t>
            </w:r>
            <w:r>
              <w:rPr>
                <w:spacing w:val="-8"/>
              </w:rPr>
              <w:t>市场大幅波动风险，</w:t>
            </w:r>
            <w:r>
              <w:rPr>
                <w:spacing w:val="-8"/>
              </w:rPr>
              <w:t xml:space="preserve"> </w:t>
            </w:r>
            <w:r>
              <w:rPr>
                <w:spacing w:val="-8"/>
              </w:rPr>
              <w:t>收购业务整合</w:t>
            </w:r>
            <w:r>
              <w:rPr>
                <w:spacing w:val="-9"/>
              </w:rPr>
              <w:t>风险，监管变化风险</w:t>
            </w:r>
          </w:p>
        </w:tc>
      </w:tr>
    </w:tbl>
    <w:p>
      <w:pPr>
        <w:spacing w:before="239" w:line="28" w:lineRule="exact"/>
        <w:ind w:firstLine="854"/>
      </w:pPr>
      <w:r>
        <w:pict>
          <v:shape id="_x0000_i1031" style="width:508.1pt;height:1.45pt;mso-position-horizontal-relative:char;mso-position-vertical-relative:line" coordorigin="0,0" coordsize="10162,29" path="m,28l10161,28l10161,l,l,28xe" filled="t" fillcolor="#336" stroked="f">
            <w10:wrap type="none"/>
          </v:shape>
        </w:pict>
      </w:r>
    </w:p>
    <w:p>
      <w:pPr>
        <w:spacing w:before="46" w:line="220" w:lineRule="auto"/>
        <w:ind w:left="4223"/>
        <w:rPr>
          <w:rFonts w:ascii="SimSun" w:eastAsia="SimSun" w:hAnsi="SimSun" w:cs="SimSun"/>
          <w:sz w:val="18"/>
          <w:szCs w:val="18"/>
        </w:rPr>
      </w:pPr>
      <w:r>
        <w:rPr>
          <w:rFonts w:ascii="SimSun" w:eastAsia="SimSun" w:hAnsi="SimSun" w:cs="SimSun"/>
          <w:color w:val="333366"/>
          <w:sz w:val="18"/>
          <w:szCs w:val="18"/>
          <w14:textOutline w14:w="3265">
            <w14:solidFill>
              <w14:srgbClr w14:val="333366"/>
            </w14:solidFill>
            <w14:prstDash w14:val="solid"/>
            <w14:miter w14:lim="10"/>
          </w14:textOutline>
        </w:rPr>
        <w:t>请务必阅读正文之后的信息披露和重要声明</w:t>
      </w:r>
    </w:p>
    <w:p>
      <w:pPr>
        <w:spacing w:line="220" w:lineRule="auto"/>
        <w:rPr>
          <w:rFonts w:ascii="SimSun" w:eastAsia="SimSun" w:hAnsi="SimSun" w:cs="SimSun"/>
          <w:sz w:val="18"/>
          <w:szCs w:val="18"/>
        </w:rPr>
        <w:sectPr>
          <w:type w:val="nextPage"/>
          <w:pgSz w:w="11907" w:h="16839"/>
          <w:pgMar w:top="0" w:right="830" w:bottom="0" w:left="0" w:header="0" w:footer="0" w:gutter="0"/>
          <w:pgNumType w:start="2"/>
          <w:cols w:space="708"/>
          <w:titlePg w:val="0"/>
        </w:sectPr>
      </w:pPr>
    </w:p>
    <w:p>
      <w:pPr>
        <w:spacing w:before="42" w:line="219" w:lineRule="auto"/>
        <w:ind w:left="5876"/>
        <w:rPr>
          <w:rFonts w:ascii="KaiTi" w:eastAsia="KaiTi" w:hAnsi="KaiTi" w:cs="KaiTi"/>
          <w:sz w:val="28"/>
          <w:szCs w:val="28"/>
        </w:rPr>
      </w:pPr>
      <w:r>
        <w:rPr>
          <w:rFonts w:ascii="KaiTi" w:eastAsia="KaiTi" w:hAnsi="KaiTi" w:cs="KaiTi"/>
          <w:color w:val="333366"/>
          <w:spacing w:val="-31"/>
          <w:sz w:val="28"/>
          <w:szCs w:val="28"/>
          <w14:textOutline w14:w="5094">
            <w14:solidFill>
              <w14:srgbClr w14:val="333366"/>
            </w14:solidFill>
            <w14:prstDash w14:val="solid"/>
            <w14:miter w14:lim="10"/>
          </w14:textOutline>
        </w:rPr>
        <w:t>目</w:t>
      </w:r>
      <w:r>
        <w:rPr>
          <w:rFonts w:ascii="KaiTi" w:eastAsia="KaiTi" w:hAnsi="KaiTi" w:cs="KaiTi"/>
          <w:color w:val="333366"/>
          <w:spacing w:val="12"/>
          <w:sz w:val="28"/>
          <w:szCs w:val="28"/>
        </w:rPr>
        <w:t xml:space="preserve">  </w:t>
      </w:r>
      <w:r>
        <w:rPr>
          <w:rFonts w:ascii="KaiTi" w:eastAsia="KaiTi" w:hAnsi="KaiTi" w:cs="KaiTi"/>
          <w:color w:val="333366"/>
          <w:spacing w:val="-31"/>
          <w:sz w:val="28"/>
          <w:szCs w:val="28"/>
          <w14:textOutline w14:w="5094">
            <w14:solidFill>
              <w14:srgbClr w14:val="333366"/>
            </w14:solidFill>
            <w14:prstDash w14:val="solid"/>
            <w14:miter w14:lim="10"/>
          </w14:textOutline>
        </w:rPr>
        <w:t>录</w:t>
      </w: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sdt>
      <w:sdtPr>
        <w:rPr>
          <w:rFonts w:ascii="Times New Roman" w:eastAsia="Times New Roman" w:hAnsi="Times New Roman" w:cs="Times New Roman"/>
          <w:sz w:val="21"/>
          <w:szCs w:val="21"/>
        </w:rPr>
        <w:id w:val="1980609383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sz w:val="21"/>
          <w:szCs w:val="21"/>
        </w:rPr>
      </w:sdtEndPr>
      <w:sdtContent>
        <w:p>
          <w:pPr>
            <w:pStyle w:val="BodyText"/>
            <w:tabs>
              <w:tab w:val="right" w:leader="dot" w:pos="9912"/>
            </w:tabs>
            <w:spacing w:before="69" w:line="216" w:lineRule="auto"/>
            <w:ind w:left="2573"/>
          </w:pPr>
          <w:r>
            <w:rPr>
              <w:spacing w:val="-6"/>
            </w:rPr>
            <w:t>1</w:t>
          </w:r>
          <w:r>
            <w:rPr>
              <w:rFonts w:ascii="KaiTi" w:eastAsia="KaiTi" w:hAnsi="KaiTi" w:cs="KaiTi"/>
              <w:spacing w:val="-6"/>
            </w:rPr>
            <w:t>、公司概况：</w:t>
          </w:r>
          <w:r>
            <w:rPr>
              <w:rFonts w:ascii="KaiTi" w:eastAsia="KaiTi" w:hAnsi="KaiTi" w:cs="KaiTi"/>
              <w:spacing w:val="-13"/>
            </w:rPr>
            <w:t xml:space="preserve"> </w:t>
          </w:r>
          <w:r>
            <w:rPr>
              <w:rFonts w:ascii="KaiTi" w:eastAsia="KaiTi" w:hAnsi="KaiTi" w:cs="KaiTi"/>
              <w:spacing w:val="-6"/>
            </w:rPr>
            <w:t>全球排名前列的交易所集团</w:t>
          </w:r>
          <w:r>
            <w:rPr>
              <w:rFonts w:ascii="KaiTi" w:eastAsia="KaiTi" w:hAnsi="KaiTi" w:cs="KaiTi"/>
              <w:spacing w:val="-42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5"/>
            </w:rPr>
            <w:t xml:space="preserve"> </w:t>
          </w:r>
          <w:r>
            <w:rPr>
              <w:spacing w:val="-4"/>
            </w:rPr>
            <w:t>-</w:t>
          </w:r>
          <w:r>
            <w:rPr>
              <w:spacing w:val="3"/>
            </w:rPr>
            <w:t xml:space="preserve"> </w:t>
          </w:r>
          <w:hyperlink w:anchor="bookmark1" w:history="1">
            <w:r>
              <w:rPr>
                <w:spacing w:val="-4"/>
              </w:rPr>
              <w:t>4</w:t>
            </w:r>
          </w:hyperlink>
          <w:r>
            <w:rPr>
              <w:spacing w:val="10"/>
            </w:rPr>
            <w:t xml:space="preserve"> </w:t>
          </w:r>
          <w:r>
            <w:rPr>
              <w:spacing w:val="-4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7" w:line="217" w:lineRule="auto"/>
            <w:ind w:left="2785"/>
          </w:pPr>
          <w:r>
            <w:rPr>
              <w:spacing w:val="-2"/>
            </w:rPr>
            <w:t>1.1</w:t>
          </w:r>
          <w:r>
            <w:rPr>
              <w:rFonts w:ascii="KaiTi" w:eastAsia="KaiTi" w:hAnsi="KaiTi" w:cs="KaiTi"/>
              <w:spacing w:val="-2"/>
            </w:rPr>
            <w:t>、股权结构：机构投资者占主导</w:t>
          </w:r>
          <w:r>
            <w:rPr>
              <w:rFonts w:ascii="KaiTi" w:eastAsia="KaiTi" w:hAnsi="KaiTi" w:cs="KaiTi"/>
              <w:spacing w:val="-35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5"/>
            </w:rPr>
            <w:t xml:space="preserve"> </w:t>
          </w:r>
          <w:r>
            <w:rPr>
              <w:spacing w:val="-4"/>
            </w:rPr>
            <w:t>-</w:t>
          </w:r>
          <w:r>
            <w:rPr>
              <w:spacing w:val="3"/>
            </w:rPr>
            <w:t xml:space="preserve"> </w:t>
          </w:r>
          <w:hyperlink w:anchor="bookmark2" w:history="1">
            <w:r>
              <w:rPr>
                <w:spacing w:val="-4"/>
              </w:rPr>
              <w:t>4</w:t>
            </w:r>
          </w:hyperlink>
          <w:r>
            <w:rPr>
              <w:spacing w:val="10"/>
            </w:rPr>
            <w:t xml:space="preserve"> </w:t>
          </w:r>
          <w:r>
            <w:rPr>
              <w:spacing w:val="-4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4" w:line="216" w:lineRule="auto"/>
            <w:ind w:left="2785"/>
          </w:pPr>
          <w:r>
            <w:rPr>
              <w:spacing w:val="-2"/>
            </w:rPr>
            <w:t>1.2</w:t>
          </w:r>
          <w:r>
            <w:rPr>
              <w:rFonts w:ascii="KaiTi" w:eastAsia="KaiTi" w:hAnsi="KaiTi" w:cs="KaiTi"/>
              <w:spacing w:val="-2"/>
            </w:rPr>
            <w:t>、管理团队：稳定多元化的组成</w:t>
          </w:r>
          <w:r>
            <w:rPr>
              <w:rFonts w:ascii="KaiTi" w:eastAsia="KaiTi" w:hAnsi="KaiTi" w:cs="KaiTi"/>
              <w:spacing w:val="-35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5"/>
            </w:rPr>
            <w:t xml:space="preserve"> </w:t>
          </w:r>
          <w:r>
            <w:rPr>
              <w:spacing w:val="-4"/>
            </w:rPr>
            <w:t>-</w:t>
          </w:r>
          <w:r>
            <w:rPr>
              <w:spacing w:val="3"/>
            </w:rPr>
            <w:t xml:space="preserve"> </w:t>
          </w:r>
          <w:hyperlink w:anchor="bookmark3" w:history="1">
            <w:r>
              <w:rPr>
                <w:spacing w:val="-4"/>
              </w:rPr>
              <w:t>4</w:t>
            </w:r>
          </w:hyperlink>
          <w:r>
            <w:rPr>
              <w:spacing w:val="10"/>
            </w:rPr>
            <w:t xml:space="preserve"> </w:t>
          </w:r>
          <w:r>
            <w:rPr>
              <w:spacing w:val="-4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7" w:line="216" w:lineRule="auto"/>
            <w:ind w:left="2785"/>
          </w:pPr>
          <w:r>
            <w:rPr>
              <w:spacing w:val="-2"/>
            </w:rPr>
            <w:t>1.3</w:t>
          </w:r>
          <w:r>
            <w:rPr>
              <w:rFonts w:ascii="KaiTi" w:eastAsia="KaiTi" w:hAnsi="KaiTi" w:cs="KaiTi"/>
              <w:spacing w:val="-2"/>
            </w:rPr>
            <w:t>、历史沿革：战略规划稳步推进</w:t>
          </w:r>
          <w:r>
            <w:rPr>
              <w:rFonts w:ascii="KaiTi" w:eastAsia="KaiTi" w:hAnsi="KaiTi" w:cs="KaiTi"/>
              <w:spacing w:val="-35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5"/>
            </w:rPr>
            <w:t xml:space="preserve"> </w:t>
          </w:r>
          <w:r>
            <w:rPr>
              <w:spacing w:val="-6"/>
            </w:rPr>
            <w:t>-</w:t>
          </w:r>
          <w:r>
            <w:rPr>
              <w:spacing w:val="9"/>
            </w:rPr>
            <w:t xml:space="preserve"> </w:t>
          </w:r>
          <w:hyperlink w:anchor="bookmark4" w:history="1">
            <w:r>
              <w:rPr>
                <w:spacing w:val="-6"/>
              </w:rPr>
              <w:t>5</w:t>
            </w:r>
          </w:hyperlink>
          <w:r>
            <w:rPr>
              <w:spacing w:val="10"/>
            </w:rPr>
            <w:t xml:space="preserve"> </w:t>
          </w:r>
          <w:r>
            <w:rPr>
              <w:spacing w:val="-6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5" w:line="220" w:lineRule="auto"/>
            <w:ind w:left="2785"/>
          </w:pPr>
          <w:r>
            <w:rPr>
              <w:spacing w:val="-2"/>
            </w:rPr>
            <w:t>1.4</w:t>
          </w:r>
          <w:r>
            <w:rPr>
              <w:rFonts w:ascii="KaiTi" w:eastAsia="KaiTi" w:hAnsi="KaiTi" w:cs="KaiTi"/>
              <w:spacing w:val="-2"/>
            </w:rPr>
            <w:t>、业绩表现：盈利规模持续扩张</w:t>
          </w:r>
          <w:r>
            <w:rPr>
              <w:rFonts w:ascii="KaiTi" w:eastAsia="KaiTi" w:hAnsi="KaiTi" w:cs="KaiTi"/>
              <w:spacing w:val="-35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3"/>
            </w:rPr>
            <w:t xml:space="preserve"> </w:t>
          </w:r>
          <w:r>
            <w:rPr>
              <w:spacing w:val="-6"/>
            </w:rPr>
            <w:t>-</w:t>
          </w:r>
          <w:r>
            <w:rPr>
              <w:spacing w:val="7"/>
            </w:rPr>
            <w:t xml:space="preserve"> </w:t>
          </w:r>
          <w:hyperlink w:anchor="bookmark5" w:history="1">
            <w:r>
              <w:rPr>
                <w:spacing w:val="-6"/>
              </w:rPr>
              <w:t>7</w:t>
            </w:r>
          </w:hyperlink>
          <w:r>
            <w:rPr>
              <w:spacing w:val="10"/>
            </w:rPr>
            <w:t xml:space="preserve"> </w:t>
          </w:r>
          <w:r>
            <w:rPr>
              <w:spacing w:val="-6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4" w:line="218" w:lineRule="auto"/>
            <w:ind w:left="2785"/>
          </w:pPr>
          <w:r>
            <w:rPr>
              <w:spacing w:val="-2"/>
            </w:rPr>
            <w:t>1.5</w:t>
          </w:r>
          <w:r>
            <w:rPr>
              <w:rFonts w:ascii="KaiTi" w:eastAsia="KaiTi" w:hAnsi="KaiTi" w:cs="KaiTi"/>
              <w:spacing w:val="-2"/>
            </w:rPr>
            <w:t>、市场表现：年度分红稳定增长</w:t>
          </w:r>
          <w:r>
            <w:rPr>
              <w:rFonts w:ascii="KaiTi" w:eastAsia="KaiTi" w:hAnsi="KaiTi" w:cs="KaiTi"/>
              <w:spacing w:val="-35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6"/>
            </w:rPr>
            <w:t>-</w:t>
          </w:r>
          <w:r>
            <w:rPr>
              <w:spacing w:val="8"/>
            </w:rPr>
            <w:t xml:space="preserve"> </w:t>
          </w:r>
          <w:hyperlink w:anchor="bookmark6" w:history="1">
            <w:r>
              <w:rPr>
                <w:spacing w:val="-6"/>
              </w:rPr>
              <w:t>9</w:t>
            </w:r>
          </w:hyperlink>
          <w:r>
            <w:rPr>
              <w:spacing w:val="10"/>
            </w:rPr>
            <w:t xml:space="preserve"> </w:t>
          </w:r>
          <w:r>
            <w:rPr>
              <w:spacing w:val="-6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4" w:line="218" w:lineRule="auto"/>
            <w:ind w:left="2553"/>
          </w:pPr>
          <w:r>
            <w:rPr>
              <w:spacing w:val="-4"/>
            </w:rPr>
            <w:t>2</w:t>
          </w:r>
          <w:r>
            <w:rPr>
              <w:rFonts w:ascii="KaiTi" w:eastAsia="KaiTi" w:hAnsi="KaiTi" w:cs="KaiTi"/>
              <w:spacing w:val="-4"/>
            </w:rPr>
            <w:t>、业务拆分：</w:t>
          </w:r>
          <w:r>
            <w:rPr>
              <w:rFonts w:ascii="KaiTi" w:eastAsia="KaiTi" w:hAnsi="KaiTi" w:cs="KaiTi"/>
              <w:spacing w:val="-15"/>
            </w:rPr>
            <w:t xml:space="preserve"> </w:t>
          </w:r>
          <w:r>
            <w:rPr>
              <w:rFonts w:ascii="KaiTi" w:eastAsia="KaiTi" w:hAnsi="KaiTi" w:cs="KaiTi"/>
              <w:spacing w:val="-4"/>
            </w:rPr>
            <w:t>传统交易所业务与金融科技相辅相成</w:t>
          </w:r>
          <w:r>
            <w:rPr>
              <w:rFonts w:ascii="KaiTi" w:eastAsia="KaiTi" w:hAnsi="KaiTi" w:cs="KaiTi"/>
              <w:spacing w:val="-90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7" w:history="1">
            <w:r>
              <w:rPr>
                <w:spacing w:val="-8"/>
              </w:rPr>
              <w:t>10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5" w:line="218" w:lineRule="auto"/>
            <w:ind w:left="2765"/>
          </w:pPr>
          <w:r>
            <w:t>2.1</w:t>
          </w:r>
          <w:r>
            <w:rPr>
              <w:rFonts w:ascii="KaiTi" w:eastAsia="KaiTi" w:hAnsi="KaiTi" w:cs="KaiTi"/>
            </w:rPr>
            <w:t>、市场服务：为美国及欧洲市场提供</w:t>
          </w:r>
          <w:r>
            <w:rPr>
              <w:rFonts w:ascii="KaiTi" w:eastAsia="KaiTi" w:hAnsi="KaiTi" w:cs="KaiTi"/>
              <w:spacing w:val="-1"/>
            </w:rPr>
            <w:t>交易服务</w:t>
          </w:r>
          <w:r>
            <w:rPr>
              <w:rFonts w:ascii="KaiTi" w:eastAsia="KaiTi" w:hAnsi="KaiTi" w:cs="KaiTi"/>
              <w:spacing w:val="-90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8" w:history="1">
            <w:r>
              <w:rPr>
                <w:spacing w:val="-8"/>
              </w:rPr>
              <w:t>12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3" w:line="217" w:lineRule="auto"/>
            <w:ind w:left="2765"/>
          </w:pPr>
          <w:r>
            <w:t>2.2</w:t>
          </w:r>
          <w:r>
            <w:rPr>
              <w:rFonts w:ascii="KaiTi" w:eastAsia="KaiTi" w:hAnsi="KaiTi" w:cs="KaiTi"/>
            </w:rPr>
            <w:t>、资本接入平台：近年来高速成长的</w:t>
          </w:r>
          <w:r>
            <w:rPr>
              <w:rFonts w:ascii="KaiTi" w:eastAsia="KaiTi" w:hAnsi="KaiTi" w:cs="KaiTi"/>
              <w:spacing w:val="-1"/>
            </w:rPr>
            <w:t>业务板块</w:t>
          </w:r>
          <w:r>
            <w:rPr>
              <w:rFonts w:ascii="KaiTi" w:eastAsia="KaiTi" w:hAnsi="KaiTi" w:cs="KaiTi"/>
              <w:spacing w:val="-90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9" w:history="1">
            <w:r>
              <w:rPr>
                <w:spacing w:val="-8"/>
              </w:rPr>
              <w:t>15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7" w:line="218" w:lineRule="auto"/>
            <w:ind w:left="2765"/>
          </w:pPr>
          <w:r>
            <w:t>2.3</w:t>
          </w:r>
          <w:r>
            <w:rPr>
              <w:rFonts w:ascii="KaiTi" w:eastAsia="KaiTi" w:hAnsi="KaiTi" w:cs="KaiTi"/>
            </w:rPr>
            <w:t>、金融科技：公司未来增长的核心战</w:t>
          </w:r>
          <w:r>
            <w:rPr>
              <w:rFonts w:ascii="KaiTi" w:eastAsia="KaiTi" w:hAnsi="KaiTi" w:cs="KaiTi"/>
              <w:spacing w:val="-1"/>
            </w:rPr>
            <w:t>略方向</w:t>
          </w:r>
          <w:r>
            <w:rPr>
              <w:rFonts w:ascii="KaiTi" w:eastAsia="KaiTi" w:hAnsi="KaiTi" w:cs="KaiTi"/>
              <w:spacing w:val="-92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3"/>
            </w:rPr>
            <w:t>-</w:t>
          </w:r>
          <w:r>
            <w:rPr>
              <w:spacing w:val="4"/>
            </w:rPr>
            <w:t xml:space="preserve"> </w:t>
          </w:r>
          <w:hyperlink w:anchor="bookmark10" w:history="1">
            <w:r>
              <w:rPr>
                <w:spacing w:val="-3"/>
              </w:rPr>
              <w:t>20</w:t>
            </w:r>
          </w:hyperlink>
          <w:r>
            <w:rPr>
              <w:spacing w:val="9"/>
            </w:rPr>
            <w:t xml:space="preserve"> </w:t>
          </w:r>
          <w:r>
            <w:rPr>
              <w:spacing w:val="-3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4" w:line="213" w:lineRule="auto"/>
            <w:ind w:left="2557"/>
          </w:pPr>
          <w:r>
            <w:t>3</w:t>
          </w:r>
          <w:r>
            <w:rPr>
              <w:rFonts w:ascii="KaiTi" w:eastAsia="KaiTi" w:hAnsi="KaiTi" w:cs="KaiTi"/>
            </w:rPr>
            <w:t>、经营特色：交易所业务为基础，不断寻找增</w:t>
          </w:r>
          <w:r>
            <w:rPr>
              <w:rFonts w:ascii="KaiTi" w:eastAsia="KaiTi" w:hAnsi="KaiTi" w:cs="KaiTi"/>
              <w:spacing w:val="-1"/>
            </w:rPr>
            <w:t>长驱动新力量</w:t>
          </w:r>
          <w:r>
            <w:rPr>
              <w:rFonts w:ascii="KaiTi" w:eastAsia="KaiTi" w:hAnsi="KaiTi" w:cs="KaiTi"/>
              <w:spacing w:val="-85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3"/>
            </w:rPr>
            <w:t>-</w:t>
          </w:r>
          <w:r>
            <w:rPr>
              <w:spacing w:val="4"/>
            </w:rPr>
            <w:t xml:space="preserve"> </w:t>
          </w:r>
          <w:hyperlink w:anchor="bookmark11" w:history="1">
            <w:r>
              <w:rPr>
                <w:spacing w:val="-3"/>
              </w:rPr>
              <w:t>23</w:t>
            </w:r>
          </w:hyperlink>
          <w:r>
            <w:rPr>
              <w:spacing w:val="9"/>
            </w:rPr>
            <w:t xml:space="preserve"> </w:t>
          </w:r>
          <w:r>
            <w:rPr>
              <w:spacing w:val="-3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31" w:line="213" w:lineRule="auto"/>
            <w:ind w:left="2769"/>
          </w:pPr>
          <w:r>
            <w:rPr>
              <w:spacing w:val="-1"/>
            </w:rPr>
            <w:t>3.1</w:t>
          </w:r>
          <w:r>
            <w:rPr>
              <w:rFonts w:ascii="KaiTi" w:eastAsia="KaiTi" w:hAnsi="KaiTi" w:cs="KaiTi"/>
              <w:spacing w:val="-1"/>
            </w:rPr>
            <w:t>、上市：迎合产业趋势，持续完善市场制度</w:t>
          </w:r>
          <w:r>
            <w:rPr>
              <w:rFonts w:ascii="KaiTi" w:eastAsia="KaiTi" w:hAnsi="KaiTi" w:cs="KaiTi"/>
              <w:spacing w:val="-77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3"/>
            </w:rPr>
            <w:t>-</w:t>
          </w:r>
          <w:r>
            <w:rPr>
              <w:spacing w:val="4"/>
            </w:rPr>
            <w:t xml:space="preserve"> </w:t>
          </w:r>
          <w:hyperlink w:anchor="bookmark12" w:history="1">
            <w:r>
              <w:rPr>
                <w:spacing w:val="-3"/>
              </w:rPr>
              <w:t>23</w:t>
            </w:r>
          </w:hyperlink>
          <w:r>
            <w:rPr>
              <w:spacing w:val="9"/>
            </w:rPr>
            <w:t xml:space="preserve"> </w:t>
          </w:r>
          <w:r>
            <w:rPr>
              <w:spacing w:val="-3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9" w:line="216" w:lineRule="auto"/>
            <w:ind w:left="2769"/>
          </w:pPr>
          <w:r>
            <w:rPr>
              <w:spacing w:val="-1"/>
            </w:rPr>
            <w:t>3.2</w:t>
          </w:r>
          <w:r>
            <w:rPr>
              <w:rFonts w:ascii="KaiTi" w:eastAsia="KaiTi" w:hAnsi="KaiTi" w:cs="KaiTi"/>
              <w:spacing w:val="-1"/>
            </w:rPr>
            <w:t>、交易：通过外延收购形成横纵向产品布局</w:t>
          </w:r>
          <w:r>
            <w:rPr>
              <w:rFonts w:ascii="KaiTi" w:eastAsia="KaiTi" w:hAnsi="KaiTi" w:cs="KaiTi"/>
              <w:spacing w:val="-77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3"/>
            </w:rPr>
            <w:t>-</w:t>
          </w:r>
          <w:r>
            <w:rPr>
              <w:spacing w:val="4"/>
            </w:rPr>
            <w:t xml:space="preserve"> </w:t>
          </w:r>
          <w:hyperlink w:anchor="bookmark13" w:history="1">
            <w:r>
              <w:rPr>
                <w:spacing w:val="-3"/>
              </w:rPr>
              <w:t>27</w:t>
            </w:r>
          </w:hyperlink>
          <w:r>
            <w:rPr>
              <w:spacing w:val="9"/>
            </w:rPr>
            <w:t xml:space="preserve"> </w:t>
          </w:r>
          <w:r>
            <w:rPr>
              <w:spacing w:val="-3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8" w:line="213" w:lineRule="auto"/>
            <w:ind w:left="2769"/>
          </w:pPr>
          <w:r>
            <w:rPr>
              <w:spacing w:val="-4"/>
            </w:rPr>
            <w:t>3.3</w:t>
          </w:r>
          <w:r>
            <w:rPr>
              <w:rFonts w:ascii="KaiTi" w:eastAsia="KaiTi" w:hAnsi="KaiTi" w:cs="KaiTi"/>
              <w:spacing w:val="-4"/>
            </w:rPr>
            <w:t>、科技：空间广阔，</w:t>
          </w:r>
          <w:r>
            <w:rPr>
              <w:rFonts w:ascii="KaiTi" w:eastAsia="KaiTi" w:hAnsi="KaiTi" w:cs="KaiTi"/>
              <w:spacing w:val="-24"/>
            </w:rPr>
            <w:t xml:space="preserve"> </w:t>
          </w:r>
          <w:r>
            <w:rPr>
              <w:rFonts w:ascii="KaiTi" w:eastAsia="KaiTi" w:hAnsi="KaiTi" w:cs="KaiTi"/>
              <w:spacing w:val="-4"/>
            </w:rPr>
            <w:t>持续投入的未来新业务</w:t>
          </w:r>
          <w:r>
            <w:rPr>
              <w:rFonts w:ascii="KaiTi" w:eastAsia="KaiTi" w:hAnsi="KaiTi" w:cs="KaiTi"/>
              <w:spacing w:val="-92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3"/>
            </w:rPr>
            <w:t>-</w:t>
          </w:r>
          <w:r>
            <w:rPr>
              <w:spacing w:val="4"/>
            </w:rPr>
            <w:t xml:space="preserve"> </w:t>
          </w:r>
          <w:hyperlink w:anchor="bookmark14" w:history="1">
            <w:r>
              <w:rPr>
                <w:spacing w:val="-3"/>
              </w:rPr>
              <w:t>29</w:t>
            </w:r>
          </w:hyperlink>
          <w:r>
            <w:rPr>
              <w:spacing w:val="9"/>
            </w:rPr>
            <w:t xml:space="preserve"> </w:t>
          </w:r>
          <w:r>
            <w:rPr>
              <w:spacing w:val="-3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9" w:line="223" w:lineRule="auto"/>
            <w:ind w:left="2552"/>
          </w:pPr>
          <w:r>
            <w:rPr>
              <w:spacing w:val="-1"/>
            </w:rPr>
            <w:t>4</w:t>
          </w:r>
          <w:r>
            <w:rPr>
              <w:rFonts w:ascii="KaiTi" w:eastAsia="KaiTi" w:hAnsi="KaiTi" w:cs="KaiTi"/>
              <w:spacing w:val="-1"/>
            </w:rPr>
            <w:t>、风险提示</w:t>
          </w:r>
          <w:r>
            <w:rPr>
              <w:rFonts w:ascii="KaiTi" w:eastAsia="KaiTi" w:hAnsi="KaiTi" w:cs="KaiTi"/>
              <w:spacing w:val="-53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4"/>
            </w:rPr>
            <w:t>-</w:t>
          </w:r>
          <w:r>
            <w:rPr>
              <w:spacing w:val="8"/>
            </w:rPr>
            <w:t xml:space="preserve"> </w:t>
          </w:r>
          <w:hyperlink w:anchor="bookmark15" w:history="1">
            <w:r>
              <w:rPr>
                <w:spacing w:val="-4"/>
              </w:rPr>
              <w:t>32</w:t>
            </w:r>
          </w:hyperlink>
          <w:r>
            <w:rPr>
              <w:spacing w:val="9"/>
            </w:rPr>
            <w:t xml:space="preserve"> </w:t>
          </w:r>
          <w:r>
            <w:rPr>
              <w:spacing w:val="-4"/>
            </w:rPr>
            <w:t>-</w:t>
          </w:r>
        </w:p>
      </w:sdtContent>
    </w:sdt>
    <w:p>
      <w:pPr>
        <w:spacing w:before="303" w:line="219" w:lineRule="auto"/>
        <w:ind w:left="5853"/>
        <w:rPr>
          <w:rFonts w:ascii="KaiTi" w:eastAsia="KaiTi" w:hAnsi="KaiTi" w:cs="KaiTi"/>
          <w:sz w:val="28"/>
          <w:szCs w:val="28"/>
        </w:rPr>
      </w:pPr>
      <w:r>
        <w:rPr>
          <w:rFonts w:ascii="KaiTi" w:eastAsia="KaiTi" w:hAnsi="KaiTi" w:cs="KaiTi"/>
          <w:color w:val="333366"/>
          <w:spacing w:val="-9"/>
          <w:sz w:val="28"/>
          <w:szCs w:val="28"/>
          <w14:textOutline w14:w="5094">
            <w14:solidFill>
              <w14:srgbClr w14:val="333366"/>
            </w14:solidFill>
            <w14:prstDash w14:val="solid"/>
            <w14:miter w14:lim="10"/>
          </w14:textOutline>
        </w:rPr>
        <w:t>图目录</w:t>
      </w:r>
    </w:p>
    <w:p>
      <w:pPr>
        <w:spacing w:line="312" w:lineRule="auto"/>
        <w:rPr>
          <w:rFonts w:ascii="Arial"/>
          <w:sz w:val="21"/>
        </w:rPr>
      </w:pPr>
    </w:p>
    <w:sdt>
      <w:sdtPr>
        <w:rPr>
          <w:rFonts w:ascii="KaiTi" w:eastAsia="KaiTi" w:hAnsi="KaiTi" w:cs="KaiTi"/>
          <w:sz w:val="21"/>
          <w:szCs w:val="21"/>
        </w:rPr>
        <w:id w:val="661995840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sz w:val="21"/>
          <w:szCs w:val="21"/>
        </w:rPr>
      </w:sdtEndPr>
      <w:sdtContent>
        <w:p>
          <w:pPr>
            <w:pStyle w:val="BodyText"/>
            <w:tabs>
              <w:tab w:val="right" w:leader="dot" w:pos="9912"/>
            </w:tabs>
            <w:spacing w:before="69" w:line="221" w:lineRule="auto"/>
            <w:ind w:left="2578"/>
          </w:pPr>
          <w:r>
            <w:rPr>
              <w:rFonts w:ascii="KaiTi" w:eastAsia="KaiTi" w:hAnsi="KaiTi" w:cs="KaiTi"/>
              <w:spacing w:val="-5"/>
            </w:rPr>
            <w:t>图</w:t>
          </w:r>
          <w:r>
            <w:rPr>
              <w:rFonts w:ascii="KaiTi" w:eastAsia="KaiTi" w:hAnsi="KaiTi" w:cs="KaiTi"/>
              <w:spacing w:val="-25"/>
            </w:rPr>
            <w:t xml:space="preserve"> </w:t>
          </w:r>
          <w:r>
            <w:rPr>
              <w:spacing w:val="-5"/>
            </w:rPr>
            <w:t>1</w:t>
          </w:r>
          <w:r>
            <w:rPr>
              <w:rFonts w:ascii="KaiTi" w:eastAsia="KaiTi" w:hAnsi="KaiTi" w:cs="KaiTi"/>
              <w:spacing w:val="-5"/>
            </w:rPr>
            <w:t>、纳斯达克股东结构</w:t>
          </w:r>
          <w:r>
            <w:rPr>
              <w:rFonts w:ascii="KaiTi" w:eastAsia="KaiTi" w:hAnsi="KaiTi" w:cs="KaiTi"/>
              <w:spacing w:val="-51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5"/>
            </w:rPr>
            <w:t xml:space="preserve"> </w:t>
          </w:r>
          <w:r>
            <w:rPr>
              <w:spacing w:val="-4"/>
            </w:rPr>
            <w:t>-</w:t>
          </w:r>
          <w:r>
            <w:rPr>
              <w:spacing w:val="3"/>
            </w:rPr>
            <w:t xml:space="preserve"> </w:t>
          </w:r>
          <w:hyperlink w:anchor="bookmark16" w:history="1">
            <w:r>
              <w:rPr>
                <w:spacing w:val="-4"/>
              </w:rPr>
              <w:t>4</w:t>
            </w:r>
          </w:hyperlink>
          <w:r>
            <w:rPr>
              <w:spacing w:val="10"/>
            </w:rPr>
            <w:t xml:space="preserve"> </w:t>
          </w:r>
          <w:r>
            <w:rPr>
              <w:spacing w:val="-4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0" w:line="217" w:lineRule="auto"/>
            <w:ind w:left="2578"/>
          </w:pPr>
          <w:r>
            <w:rPr>
              <w:rFonts w:ascii="KaiTi" w:eastAsia="KaiTi" w:hAnsi="KaiTi" w:cs="KaiTi"/>
              <w:spacing w:val="-3"/>
            </w:rPr>
            <w:t>图</w:t>
          </w:r>
          <w:r>
            <w:rPr>
              <w:rFonts w:ascii="KaiTi" w:eastAsia="KaiTi" w:hAnsi="KaiTi" w:cs="KaiTi"/>
              <w:spacing w:val="-47"/>
            </w:rPr>
            <w:t xml:space="preserve"> </w:t>
          </w:r>
          <w:r>
            <w:rPr>
              <w:spacing w:val="-3"/>
            </w:rPr>
            <w:t>2</w:t>
          </w:r>
          <w:r>
            <w:rPr>
              <w:rFonts w:ascii="KaiTi" w:eastAsia="KaiTi" w:hAnsi="KaiTi" w:cs="KaiTi"/>
              <w:spacing w:val="-3"/>
            </w:rPr>
            <w:t>、纳斯达克发展历程</w:t>
          </w:r>
          <w:r>
            <w:rPr>
              <w:rFonts w:ascii="KaiTi" w:eastAsia="KaiTi" w:hAnsi="KaiTi" w:cs="KaiTi"/>
              <w:spacing w:val="-51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3"/>
            </w:rPr>
            <w:t xml:space="preserve"> </w:t>
          </w:r>
          <w:r>
            <w:rPr>
              <w:spacing w:val="-6"/>
            </w:rPr>
            <w:t>-</w:t>
          </w:r>
          <w:r>
            <w:rPr>
              <w:spacing w:val="7"/>
            </w:rPr>
            <w:t xml:space="preserve"> </w:t>
          </w:r>
          <w:hyperlink w:anchor="bookmark17" w:history="1">
            <w:r>
              <w:rPr>
                <w:spacing w:val="-6"/>
              </w:rPr>
              <w:t>7</w:t>
            </w:r>
          </w:hyperlink>
          <w:r>
            <w:rPr>
              <w:spacing w:val="10"/>
            </w:rPr>
            <w:t xml:space="preserve"> </w:t>
          </w:r>
          <w:r>
            <w:rPr>
              <w:spacing w:val="-6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7" w:line="218" w:lineRule="auto"/>
            <w:ind w:left="2578"/>
          </w:pPr>
          <w:r>
            <w:rPr>
              <w:rFonts w:ascii="KaiTi" w:eastAsia="KaiTi" w:hAnsi="KaiTi" w:cs="KaiTi"/>
              <w:spacing w:val="-3"/>
            </w:rPr>
            <w:t>图</w:t>
          </w:r>
          <w:r>
            <w:rPr>
              <w:rFonts w:ascii="KaiTi" w:eastAsia="KaiTi" w:hAnsi="KaiTi" w:cs="KaiTi"/>
              <w:spacing w:val="-30"/>
            </w:rPr>
            <w:t xml:space="preserve"> </w:t>
          </w:r>
          <w:r>
            <w:rPr>
              <w:spacing w:val="-3"/>
            </w:rPr>
            <w:t>3</w:t>
          </w:r>
          <w:r>
            <w:rPr>
              <w:spacing w:val="-27"/>
            </w:rPr>
            <w:t xml:space="preserve"> </w:t>
          </w:r>
          <w:r>
            <w:rPr>
              <w:rFonts w:ascii="KaiTi" w:eastAsia="KaiTi" w:hAnsi="KaiTi" w:cs="KaiTi"/>
              <w:spacing w:val="-3"/>
            </w:rPr>
            <w:t>、</w:t>
          </w:r>
          <w:r>
            <w:rPr>
              <w:spacing w:val="-3"/>
            </w:rPr>
            <w:t xml:space="preserve">2000-2023 </w:t>
          </w:r>
          <w:r>
            <w:rPr>
              <w:rFonts w:ascii="KaiTi" w:eastAsia="KaiTi" w:hAnsi="KaiTi" w:cs="KaiTi"/>
              <w:spacing w:val="-3"/>
            </w:rPr>
            <w:t>年公司净收入规模大幅扩张</w:t>
          </w:r>
          <w:r>
            <w:rPr>
              <w:rFonts w:ascii="KaiTi" w:eastAsia="KaiTi" w:hAnsi="KaiTi" w:cs="KaiTi"/>
              <w:spacing w:val="-59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5"/>
            </w:rPr>
            <w:t xml:space="preserve"> </w:t>
          </w:r>
          <w:r>
            <w:rPr>
              <w:spacing w:val="-7"/>
            </w:rPr>
            <w:t>-</w:t>
          </w:r>
          <w:r>
            <w:rPr>
              <w:spacing w:val="12"/>
            </w:rPr>
            <w:t xml:space="preserve"> </w:t>
          </w:r>
          <w:hyperlink w:anchor="bookmark18" w:history="1">
            <w:r>
              <w:rPr>
                <w:spacing w:val="-7"/>
              </w:rPr>
              <w:t>8</w:t>
            </w:r>
          </w:hyperlink>
          <w:r>
            <w:rPr>
              <w:spacing w:val="10"/>
            </w:rPr>
            <w:t xml:space="preserve"> </w:t>
          </w:r>
          <w:r>
            <w:rPr>
              <w:spacing w:val="-7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3" w:line="217" w:lineRule="auto"/>
            <w:ind w:left="2578"/>
          </w:pPr>
          <w:r>
            <w:rPr>
              <w:rFonts w:ascii="KaiTi" w:eastAsia="KaiTi" w:hAnsi="KaiTi" w:cs="KaiTi"/>
              <w:spacing w:val="-2"/>
            </w:rPr>
            <w:t>图</w:t>
          </w:r>
          <w:r>
            <w:rPr>
              <w:rFonts w:ascii="KaiTi" w:eastAsia="KaiTi" w:hAnsi="KaiTi" w:cs="KaiTi"/>
              <w:spacing w:val="-48"/>
            </w:rPr>
            <w:t xml:space="preserve"> </w:t>
          </w:r>
          <w:r>
            <w:rPr>
              <w:spacing w:val="-2"/>
            </w:rPr>
            <w:t>4</w:t>
          </w:r>
          <w:r>
            <w:rPr>
              <w:spacing w:val="-27"/>
            </w:rPr>
            <w:t xml:space="preserve"> </w:t>
          </w:r>
          <w:r>
            <w:rPr>
              <w:rFonts w:ascii="KaiTi" w:eastAsia="KaiTi" w:hAnsi="KaiTi" w:cs="KaiTi"/>
              <w:spacing w:val="-2"/>
            </w:rPr>
            <w:t>、</w:t>
          </w:r>
          <w:r>
            <w:rPr>
              <w:spacing w:val="-2"/>
            </w:rPr>
            <w:t xml:space="preserve">2000-2023 </w:t>
          </w:r>
          <w:r>
            <w:rPr>
              <w:rFonts w:ascii="KaiTi" w:eastAsia="KaiTi" w:hAnsi="KaiTi" w:cs="KaiTi"/>
              <w:spacing w:val="-2"/>
            </w:rPr>
            <w:t>年公司归母净利润中枢逐</w:t>
          </w:r>
          <w:r>
            <w:rPr>
              <w:rFonts w:ascii="KaiTi" w:eastAsia="KaiTi" w:hAnsi="KaiTi" w:cs="KaiTi"/>
              <w:spacing w:val="-3"/>
            </w:rPr>
            <w:t>渐提升</w:t>
          </w:r>
          <w:r>
            <w:rPr>
              <w:rFonts w:ascii="KaiTi" w:eastAsia="KaiTi" w:hAnsi="KaiTi" w:cs="KaiTi"/>
              <w:spacing w:val="-56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5"/>
            </w:rPr>
            <w:t xml:space="preserve"> </w:t>
          </w:r>
          <w:r>
            <w:rPr>
              <w:spacing w:val="-7"/>
            </w:rPr>
            <w:t>-</w:t>
          </w:r>
          <w:r>
            <w:rPr>
              <w:spacing w:val="12"/>
            </w:rPr>
            <w:t xml:space="preserve"> </w:t>
          </w:r>
          <w:hyperlink w:anchor="bookmark19" w:history="1">
            <w:r>
              <w:rPr>
                <w:spacing w:val="-7"/>
              </w:rPr>
              <w:t>8</w:t>
            </w:r>
          </w:hyperlink>
          <w:r>
            <w:rPr>
              <w:spacing w:val="10"/>
            </w:rPr>
            <w:t xml:space="preserve"> </w:t>
          </w:r>
          <w:r>
            <w:rPr>
              <w:spacing w:val="-7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7" w:line="218" w:lineRule="auto"/>
            <w:ind w:left="2578"/>
          </w:pPr>
          <w:r>
            <w:rPr>
              <w:rFonts w:ascii="KaiTi" w:eastAsia="KaiTi" w:hAnsi="KaiTi" w:cs="KaiTi"/>
              <w:spacing w:val="-3"/>
            </w:rPr>
            <w:t>图</w:t>
          </w:r>
          <w:r>
            <w:rPr>
              <w:rFonts w:ascii="KaiTi" w:eastAsia="KaiTi" w:hAnsi="KaiTi" w:cs="KaiTi"/>
              <w:spacing w:val="-40"/>
            </w:rPr>
            <w:t xml:space="preserve"> </w:t>
          </w:r>
          <w:r>
            <w:rPr>
              <w:spacing w:val="-3"/>
            </w:rPr>
            <w:t>5</w:t>
          </w:r>
          <w:r>
            <w:rPr>
              <w:rFonts w:ascii="KaiTi" w:eastAsia="KaiTi" w:hAnsi="KaiTi" w:cs="KaiTi"/>
              <w:spacing w:val="-3"/>
            </w:rPr>
            <w:t>、公司成本增速保持稳定</w:t>
          </w:r>
          <w:r>
            <w:rPr>
              <w:rFonts w:ascii="KaiTi" w:eastAsia="KaiTi" w:hAnsi="KaiTi" w:cs="KaiTi"/>
              <w:spacing w:val="-50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5"/>
            </w:rPr>
            <w:t xml:space="preserve"> </w:t>
          </w:r>
          <w:r>
            <w:rPr>
              <w:spacing w:val="-7"/>
            </w:rPr>
            <w:t>-</w:t>
          </w:r>
          <w:r>
            <w:rPr>
              <w:spacing w:val="12"/>
            </w:rPr>
            <w:t xml:space="preserve"> </w:t>
          </w:r>
          <w:hyperlink w:anchor="bookmark20" w:history="1">
            <w:r>
              <w:rPr>
                <w:spacing w:val="-7"/>
              </w:rPr>
              <w:t>8</w:t>
            </w:r>
          </w:hyperlink>
          <w:r>
            <w:rPr>
              <w:spacing w:val="10"/>
            </w:rPr>
            <w:t xml:space="preserve"> </w:t>
          </w:r>
          <w:r>
            <w:rPr>
              <w:spacing w:val="-7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3" w:line="215" w:lineRule="auto"/>
            <w:ind w:left="2578"/>
          </w:pPr>
          <w:r>
            <w:rPr>
              <w:rFonts w:ascii="KaiTi" w:eastAsia="KaiTi" w:hAnsi="KaiTi" w:cs="KaiTi"/>
              <w:spacing w:val="-2"/>
            </w:rPr>
            <w:t>图</w:t>
          </w:r>
          <w:r>
            <w:rPr>
              <w:rFonts w:ascii="KaiTi" w:eastAsia="KaiTi" w:hAnsi="KaiTi" w:cs="KaiTi"/>
              <w:spacing w:val="-42"/>
            </w:rPr>
            <w:t xml:space="preserve"> </w:t>
          </w:r>
          <w:r>
            <w:rPr>
              <w:spacing w:val="-2"/>
            </w:rPr>
            <w:t>6</w:t>
          </w:r>
          <w:r>
            <w:rPr>
              <w:rFonts w:ascii="KaiTi" w:eastAsia="KaiTi" w:hAnsi="KaiTi" w:cs="KaiTi"/>
              <w:spacing w:val="-2"/>
            </w:rPr>
            <w:t>、职工薪酬是纳斯达克主要费用来源</w:t>
          </w:r>
          <w:r>
            <w:rPr>
              <w:rFonts w:ascii="KaiTi" w:eastAsia="KaiTi" w:hAnsi="KaiTi" w:cs="KaiTi"/>
              <w:spacing w:val="-45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5"/>
            </w:rPr>
            <w:t xml:space="preserve"> </w:t>
          </w:r>
          <w:r>
            <w:rPr>
              <w:spacing w:val="-7"/>
            </w:rPr>
            <w:t>-</w:t>
          </w:r>
          <w:r>
            <w:rPr>
              <w:spacing w:val="12"/>
            </w:rPr>
            <w:t xml:space="preserve"> </w:t>
          </w:r>
          <w:hyperlink w:anchor="bookmark21" w:history="1">
            <w:r>
              <w:rPr>
                <w:spacing w:val="-7"/>
              </w:rPr>
              <w:t>8</w:t>
            </w:r>
          </w:hyperlink>
          <w:r>
            <w:rPr>
              <w:spacing w:val="10"/>
            </w:rPr>
            <w:t xml:space="preserve"> </w:t>
          </w:r>
          <w:r>
            <w:rPr>
              <w:spacing w:val="-7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9" w:line="217" w:lineRule="auto"/>
            <w:ind w:left="2578"/>
          </w:pPr>
          <w:r>
            <w:rPr>
              <w:rFonts w:ascii="KaiTi" w:eastAsia="KaiTi" w:hAnsi="KaiTi" w:cs="KaiTi"/>
              <w:spacing w:val="-3"/>
            </w:rPr>
            <w:t>图</w:t>
          </w:r>
          <w:r>
            <w:rPr>
              <w:rFonts w:ascii="KaiTi" w:eastAsia="KaiTi" w:hAnsi="KaiTi" w:cs="KaiTi"/>
              <w:spacing w:val="-41"/>
            </w:rPr>
            <w:t xml:space="preserve"> </w:t>
          </w:r>
          <w:r>
            <w:rPr>
              <w:spacing w:val="-3"/>
            </w:rPr>
            <w:t>7</w:t>
          </w:r>
          <w:r>
            <w:rPr>
              <w:spacing w:val="-27"/>
            </w:rPr>
            <w:t xml:space="preserve"> </w:t>
          </w:r>
          <w:r>
            <w:rPr>
              <w:rFonts w:ascii="KaiTi" w:eastAsia="KaiTi" w:hAnsi="KaiTi" w:cs="KaiTi"/>
              <w:spacing w:val="-3"/>
            </w:rPr>
            <w:t>、</w:t>
          </w:r>
          <w:r>
            <w:rPr>
              <w:spacing w:val="-3"/>
            </w:rPr>
            <w:t xml:space="preserve">2011-2023 </w:t>
          </w:r>
          <w:r>
            <w:rPr>
              <w:rFonts w:ascii="KaiTi" w:eastAsia="KaiTi" w:hAnsi="KaiTi" w:cs="KaiTi"/>
              <w:spacing w:val="-3"/>
            </w:rPr>
            <w:t>年公司净利润率持续提升</w:t>
          </w:r>
          <w:r>
            <w:rPr>
              <w:rFonts w:ascii="KaiTi" w:eastAsia="KaiTi" w:hAnsi="KaiTi" w:cs="KaiTi"/>
              <w:spacing w:val="-52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5"/>
            </w:rPr>
            <w:t xml:space="preserve"> </w:t>
          </w:r>
          <w:r>
            <w:rPr>
              <w:spacing w:val="-7"/>
            </w:rPr>
            <w:t>-</w:t>
          </w:r>
          <w:r>
            <w:rPr>
              <w:spacing w:val="12"/>
            </w:rPr>
            <w:t xml:space="preserve"> </w:t>
          </w:r>
          <w:hyperlink w:anchor="bookmark22" w:history="1">
            <w:r>
              <w:rPr>
                <w:spacing w:val="-7"/>
              </w:rPr>
              <w:t>8</w:t>
            </w:r>
          </w:hyperlink>
          <w:r>
            <w:rPr>
              <w:spacing w:val="10"/>
            </w:rPr>
            <w:t xml:space="preserve"> </w:t>
          </w:r>
          <w:r>
            <w:rPr>
              <w:spacing w:val="-7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4" w:line="217" w:lineRule="auto"/>
            <w:ind w:left="2578"/>
          </w:pPr>
          <w:r>
            <w:rPr>
              <w:rFonts w:ascii="KaiTi" w:eastAsia="KaiTi" w:hAnsi="KaiTi" w:cs="KaiTi"/>
              <w:spacing w:val="-3"/>
            </w:rPr>
            <w:t>图</w:t>
          </w:r>
          <w:r>
            <w:rPr>
              <w:rFonts w:ascii="KaiTi" w:eastAsia="KaiTi" w:hAnsi="KaiTi" w:cs="KaiTi"/>
              <w:spacing w:val="-38"/>
            </w:rPr>
            <w:t xml:space="preserve"> </w:t>
          </w:r>
          <w:r>
            <w:rPr>
              <w:spacing w:val="-3"/>
            </w:rPr>
            <w:t>8</w:t>
          </w:r>
          <w:r>
            <w:rPr>
              <w:spacing w:val="-27"/>
            </w:rPr>
            <w:t xml:space="preserve"> </w:t>
          </w:r>
          <w:r>
            <w:rPr>
              <w:rFonts w:ascii="KaiTi" w:eastAsia="KaiTi" w:hAnsi="KaiTi" w:cs="KaiTi"/>
              <w:spacing w:val="-3"/>
            </w:rPr>
            <w:t>、</w:t>
          </w:r>
          <w:r>
            <w:rPr>
              <w:spacing w:val="-3"/>
            </w:rPr>
            <w:t xml:space="preserve">2010-2023 </w:t>
          </w:r>
          <w:r>
            <w:rPr>
              <w:rFonts w:ascii="KaiTi" w:eastAsia="KaiTi" w:hAnsi="KaiTi" w:cs="KaiTi"/>
              <w:spacing w:val="-3"/>
            </w:rPr>
            <w:t>年公司</w:t>
          </w:r>
          <w:r>
            <w:rPr>
              <w:rFonts w:ascii="KaiTi" w:eastAsia="KaiTi" w:hAnsi="KaiTi" w:cs="KaiTi"/>
              <w:spacing w:val="-51"/>
            </w:rPr>
            <w:t xml:space="preserve"> </w:t>
          </w:r>
          <w:r>
            <w:rPr>
              <w:spacing w:val="-3"/>
            </w:rPr>
            <w:t>ROE</w:t>
          </w:r>
          <w:r>
            <w:rPr>
              <w:spacing w:val="12"/>
            </w:rPr>
            <w:t xml:space="preserve"> </w:t>
          </w:r>
          <w:r>
            <w:rPr>
              <w:rFonts w:ascii="KaiTi" w:eastAsia="KaiTi" w:hAnsi="KaiTi" w:cs="KaiTi"/>
              <w:spacing w:val="-4"/>
            </w:rPr>
            <w:t>水平持续提升</w:t>
          </w:r>
          <w:r>
            <w:rPr>
              <w:rFonts w:ascii="KaiTi" w:eastAsia="KaiTi" w:hAnsi="KaiTi" w:cs="KaiTi"/>
              <w:spacing w:val="-59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5"/>
            </w:rPr>
            <w:t xml:space="preserve"> </w:t>
          </w:r>
          <w:r>
            <w:rPr>
              <w:spacing w:val="-7"/>
            </w:rPr>
            <w:t>-</w:t>
          </w:r>
          <w:r>
            <w:rPr>
              <w:spacing w:val="12"/>
            </w:rPr>
            <w:t xml:space="preserve"> </w:t>
          </w:r>
          <w:hyperlink w:anchor="bookmark23" w:history="1">
            <w:r>
              <w:rPr>
                <w:spacing w:val="-7"/>
              </w:rPr>
              <w:t>8</w:t>
            </w:r>
          </w:hyperlink>
          <w:r>
            <w:rPr>
              <w:spacing w:val="10"/>
            </w:rPr>
            <w:t xml:space="preserve"> </w:t>
          </w:r>
          <w:r>
            <w:rPr>
              <w:spacing w:val="-7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7" w:line="217" w:lineRule="auto"/>
            <w:ind w:left="2578"/>
          </w:pPr>
          <w:r>
            <w:rPr>
              <w:rFonts w:ascii="KaiTi" w:eastAsia="KaiTi" w:hAnsi="KaiTi" w:cs="KaiTi"/>
              <w:spacing w:val="-2"/>
            </w:rPr>
            <w:t>图</w:t>
          </w:r>
          <w:r>
            <w:rPr>
              <w:rFonts w:ascii="KaiTi" w:eastAsia="KaiTi" w:hAnsi="KaiTi" w:cs="KaiTi"/>
              <w:spacing w:val="-43"/>
            </w:rPr>
            <w:t xml:space="preserve"> </w:t>
          </w:r>
          <w:r>
            <w:rPr>
              <w:spacing w:val="-2"/>
            </w:rPr>
            <w:t>9</w:t>
          </w:r>
          <w:r>
            <w:rPr>
              <w:spacing w:val="-27"/>
            </w:rPr>
            <w:t xml:space="preserve"> </w:t>
          </w:r>
          <w:r>
            <w:rPr>
              <w:rFonts w:ascii="KaiTi" w:eastAsia="KaiTi" w:hAnsi="KaiTi" w:cs="KaiTi"/>
              <w:spacing w:val="-2"/>
            </w:rPr>
            <w:t>、</w:t>
          </w:r>
          <w:r>
            <w:rPr>
              <w:spacing w:val="-2"/>
            </w:rPr>
            <w:t xml:space="preserve">2011-2023 </w:t>
          </w:r>
          <w:r>
            <w:rPr>
              <w:rFonts w:ascii="KaiTi" w:eastAsia="KaiTi" w:hAnsi="KaiTi" w:cs="KaiTi"/>
              <w:spacing w:val="-2"/>
            </w:rPr>
            <w:t>年公司总市值由</w:t>
          </w:r>
          <w:r>
            <w:rPr>
              <w:rFonts w:ascii="KaiTi" w:eastAsia="KaiTi" w:hAnsi="KaiTi" w:cs="KaiTi"/>
              <w:spacing w:val="-48"/>
            </w:rPr>
            <w:t xml:space="preserve"> </w:t>
          </w:r>
          <w:r>
            <w:rPr>
              <w:spacing w:val="-2"/>
            </w:rPr>
            <w:t xml:space="preserve">43 </w:t>
          </w:r>
          <w:r>
            <w:rPr>
              <w:rFonts w:ascii="KaiTi" w:eastAsia="KaiTi" w:hAnsi="KaiTi" w:cs="KaiTi"/>
              <w:spacing w:val="-2"/>
            </w:rPr>
            <w:t>亿美元</w:t>
          </w:r>
          <w:r>
            <w:rPr>
              <w:rFonts w:ascii="KaiTi" w:eastAsia="KaiTi" w:hAnsi="KaiTi" w:cs="KaiTi"/>
              <w:spacing w:val="-3"/>
            </w:rPr>
            <w:t>提升至</w:t>
          </w:r>
          <w:r>
            <w:rPr>
              <w:rFonts w:ascii="KaiTi" w:eastAsia="KaiTi" w:hAnsi="KaiTi" w:cs="KaiTi"/>
              <w:spacing w:val="-47"/>
            </w:rPr>
            <w:t xml:space="preserve"> </w:t>
          </w:r>
          <w:r>
            <w:rPr>
              <w:spacing w:val="-3"/>
            </w:rPr>
            <w:t xml:space="preserve">335 </w:t>
          </w:r>
          <w:r>
            <w:rPr>
              <w:rFonts w:ascii="KaiTi" w:eastAsia="KaiTi" w:hAnsi="KaiTi" w:cs="KaiTi"/>
              <w:spacing w:val="-3"/>
            </w:rPr>
            <w:t>亿美元</w:t>
          </w:r>
          <w:r>
            <w:rPr>
              <w:rFonts w:ascii="KaiTi" w:eastAsia="KaiTi" w:hAnsi="KaiTi" w:cs="KaiTi"/>
              <w:spacing w:val="-92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6"/>
            </w:rPr>
            <w:t>-</w:t>
          </w:r>
          <w:r>
            <w:rPr>
              <w:spacing w:val="8"/>
            </w:rPr>
            <w:t xml:space="preserve"> </w:t>
          </w:r>
          <w:hyperlink w:anchor="bookmark24" w:history="1">
            <w:r>
              <w:rPr>
                <w:spacing w:val="-6"/>
              </w:rPr>
              <w:t>9</w:t>
            </w:r>
          </w:hyperlink>
          <w:r>
            <w:rPr>
              <w:spacing w:val="10"/>
            </w:rPr>
            <w:t xml:space="preserve"> </w:t>
          </w:r>
          <w:r>
            <w:rPr>
              <w:spacing w:val="-6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5" w:line="218" w:lineRule="auto"/>
            <w:ind w:left="2578"/>
          </w:pPr>
          <w:r>
            <w:rPr>
              <w:rFonts w:ascii="KaiTi" w:eastAsia="KaiTi" w:hAnsi="KaiTi" w:cs="KaiTi"/>
              <w:spacing w:val="-3"/>
            </w:rPr>
            <w:t>图</w:t>
          </w:r>
          <w:r>
            <w:rPr>
              <w:rFonts w:ascii="KaiTi" w:eastAsia="KaiTi" w:hAnsi="KaiTi" w:cs="KaiTi"/>
              <w:spacing w:val="-20"/>
            </w:rPr>
            <w:t xml:space="preserve"> </w:t>
          </w:r>
          <w:r>
            <w:rPr>
              <w:spacing w:val="-3"/>
            </w:rPr>
            <w:t>10</w:t>
          </w:r>
          <w:r>
            <w:rPr>
              <w:spacing w:val="-30"/>
            </w:rPr>
            <w:t xml:space="preserve"> </w:t>
          </w:r>
          <w:r>
            <w:rPr>
              <w:rFonts w:ascii="KaiTi" w:eastAsia="KaiTi" w:hAnsi="KaiTi" w:cs="KaiTi"/>
              <w:spacing w:val="-3"/>
            </w:rPr>
            <w:t>、</w:t>
          </w:r>
          <w:r>
            <w:rPr>
              <w:spacing w:val="-3"/>
            </w:rPr>
            <w:t xml:space="preserve">2019 </w:t>
          </w:r>
          <w:r>
            <w:rPr>
              <w:rFonts w:ascii="KaiTi" w:eastAsia="KaiTi" w:hAnsi="KaiTi" w:cs="KaiTi"/>
              <w:spacing w:val="-3"/>
            </w:rPr>
            <w:t>年至今纳斯达克</w:t>
          </w:r>
          <w:r>
            <w:rPr>
              <w:rFonts w:ascii="KaiTi" w:eastAsia="KaiTi" w:hAnsi="KaiTi" w:cs="KaiTi"/>
              <w:spacing w:val="-48"/>
            </w:rPr>
            <w:t xml:space="preserve"> </w:t>
          </w:r>
          <w:r>
            <w:rPr>
              <w:spacing w:val="-3"/>
            </w:rPr>
            <w:t>PE</w:t>
          </w:r>
          <w:r>
            <w:rPr>
              <w:rFonts w:ascii="KaiTi" w:eastAsia="KaiTi" w:hAnsi="KaiTi" w:cs="KaiTi"/>
              <w:spacing w:val="-3"/>
            </w:rPr>
            <w:t>（</w:t>
          </w:r>
          <w:r>
            <w:rPr>
              <w:spacing w:val="-3"/>
            </w:rPr>
            <w:t>TTM</w:t>
          </w:r>
          <w:r>
            <w:rPr>
              <w:rFonts w:ascii="KaiTi" w:eastAsia="KaiTi" w:hAnsi="KaiTi" w:cs="KaiTi"/>
              <w:spacing w:val="-3"/>
            </w:rPr>
            <w:t>）中枢</w:t>
          </w:r>
          <w:r>
            <w:rPr>
              <w:rFonts w:ascii="KaiTi" w:eastAsia="KaiTi" w:hAnsi="KaiTi" w:cs="KaiTi"/>
              <w:spacing w:val="-48"/>
            </w:rPr>
            <w:t xml:space="preserve"> </w:t>
          </w:r>
          <w:r>
            <w:rPr>
              <w:spacing w:val="-3"/>
            </w:rPr>
            <w:t xml:space="preserve">26x </w:t>
          </w:r>
          <w:r>
            <w:rPr>
              <w:rFonts w:ascii="KaiTi" w:eastAsia="KaiTi" w:hAnsi="KaiTi" w:cs="KaiTi"/>
              <w:spacing w:val="-3"/>
            </w:rPr>
            <w:t>左右</w:t>
          </w:r>
          <w:r>
            <w:rPr>
              <w:rFonts w:ascii="KaiTi" w:eastAsia="KaiTi" w:hAnsi="KaiTi" w:cs="KaiTi"/>
              <w:spacing w:val="-39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6"/>
            </w:rPr>
            <w:t>-</w:t>
          </w:r>
          <w:r>
            <w:rPr>
              <w:spacing w:val="8"/>
            </w:rPr>
            <w:t xml:space="preserve"> </w:t>
          </w:r>
          <w:hyperlink w:anchor="bookmark25" w:history="1">
            <w:r>
              <w:rPr>
                <w:spacing w:val="-6"/>
              </w:rPr>
              <w:t>9</w:t>
            </w:r>
          </w:hyperlink>
          <w:r>
            <w:rPr>
              <w:spacing w:val="10"/>
            </w:rPr>
            <w:t xml:space="preserve"> </w:t>
          </w:r>
          <w:r>
            <w:rPr>
              <w:spacing w:val="-6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3" w:line="217" w:lineRule="auto"/>
            <w:ind w:left="2578"/>
          </w:pPr>
          <w:r>
            <w:rPr>
              <w:rFonts w:ascii="KaiTi" w:eastAsia="KaiTi" w:hAnsi="KaiTi" w:cs="KaiTi"/>
              <w:spacing w:val="-4"/>
            </w:rPr>
            <w:t>图</w:t>
          </w:r>
          <w:r>
            <w:rPr>
              <w:rFonts w:ascii="KaiTi" w:eastAsia="KaiTi" w:hAnsi="KaiTi" w:cs="KaiTi"/>
              <w:spacing w:val="-24"/>
            </w:rPr>
            <w:t xml:space="preserve"> </w:t>
          </w:r>
          <w:r>
            <w:rPr>
              <w:spacing w:val="-4"/>
            </w:rPr>
            <w:t>11</w:t>
          </w:r>
          <w:r>
            <w:rPr>
              <w:rFonts w:ascii="KaiTi" w:eastAsia="KaiTi" w:hAnsi="KaiTi" w:cs="KaiTi"/>
              <w:spacing w:val="-4"/>
            </w:rPr>
            <w:t>、公司年度分红金额稳步提升</w:t>
          </w:r>
          <w:r>
            <w:rPr>
              <w:rFonts w:ascii="KaiTi" w:eastAsia="KaiTi" w:hAnsi="KaiTi" w:cs="KaiTi"/>
              <w:spacing w:val="-90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6"/>
            </w:rPr>
            <w:t>-</w:t>
          </w:r>
          <w:r>
            <w:rPr>
              <w:spacing w:val="8"/>
            </w:rPr>
            <w:t xml:space="preserve"> </w:t>
          </w:r>
          <w:hyperlink w:anchor="bookmark26" w:history="1">
            <w:r>
              <w:rPr>
                <w:spacing w:val="-6"/>
              </w:rPr>
              <w:t>9</w:t>
            </w:r>
          </w:hyperlink>
          <w:r>
            <w:rPr>
              <w:spacing w:val="10"/>
            </w:rPr>
            <w:t xml:space="preserve"> </w:t>
          </w:r>
          <w:r>
            <w:rPr>
              <w:spacing w:val="-6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6" w:line="221" w:lineRule="auto"/>
            <w:ind w:left="2578"/>
            <w:sectPr>
              <w:headerReference w:type="default" r:id="rId12"/>
              <w:footerReference w:type="default" r:id="rId13"/>
              <w:pgSz w:w="11907" w:h="16839"/>
              <w:pgMar w:top="1596" w:right="890" w:bottom="1480" w:left="854" w:header="852" w:footer="990" w:gutter="0"/>
              <w:pgNumType w:start="3"/>
              <w:cols w:space="708"/>
            </w:sectPr>
          </w:pPr>
          <w:r>
            <w:rPr>
              <w:rFonts w:ascii="KaiTi" w:eastAsia="KaiTi" w:hAnsi="KaiTi" w:cs="KaiTi"/>
              <w:spacing w:val="-4"/>
            </w:rPr>
            <w:t>图</w:t>
          </w:r>
          <w:r>
            <w:rPr>
              <w:rFonts w:ascii="KaiTi" w:eastAsia="KaiTi" w:hAnsi="KaiTi" w:cs="KaiTi"/>
              <w:spacing w:val="-25"/>
            </w:rPr>
            <w:t xml:space="preserve"> </w:t>
          </w:r>
          <w:r>
            <w:rPr>
              <w:spacing w:val="-4"/>
            </w:rPr>
            <w:t>12</w:t>
          </w:r>
          <w:r>
            <w:rPr>
              <w:rFonts w:ascii="KaiTi" w:eastAsia="KaiTi" w:hAnsi="KaiTi" w:cs="KaiTi"/>
              <w:spacing w:val="-4"/>
            </w:rPr>
            <w:t>、公司持续进行股份回购</w:t>
          </w:r>
          <w:r>
            <w:rPr>
              <w:rFonts w:ascii="KaiTi" w:eastAsia="KaiTi" w:hAnsi="KaiTi" w:cs="KaiTi"/>
              <w:spacing w:val="-47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6"/>
            </w:rPr>
            <w:t>-</w:t>
          </w:r>
          <w:r>
            <w:rPr>
              <w:spacing w:val="8"/>
            </w:rPr>
            <w:t xml:space="preserve"> </w:t>
          </w:r>
          <w:hyperlink w:anchor="bookmark27" w:history="1">
            <w:r>
              <w:rPr>
                <w:spacing w:val="-6"/>
              </w:rPr>
              <w:t>9</w:t>
            </w:r>
          </w:hyperlink>
          <w:r>
            <w:rPr>
              <w:spacing w:val="10"/>
            </w:rPr>
            <w:t xml:space="preserve"> </w:t>
          </w:r>
          <w:r>
            <w:rPr>
              <w:spacing w:val="-6"/>
            </w:rPr>
            <w:t>-</w:t>
          </w:r>
        </w:p>
      </w:sdtContent>
    </w:sdt>
    <w:sdt>
      <w:sdtPr>
        <w:rPr>
          <w:rFonts w:ascii="KaiTi" w:eastAsia="KaiTi" w:hAnsi="KaiTi" w:cs="KaiTi"/>
          <w:sz w:val="21"/>
          <w:szCs w:val="21"/>
        </w:rPr>
        <w:id w:val="849760619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sz w:val="21"/>
          <w:szCs w:val="21"/>
        </w:rPr>
      </w:sdtEndPr>
      <w:sdtContent>
        <w:p>
          <w:pPr>
            <w:pStyle w:val="BodyText"/>
            <w:tabs>
              <w:tab w:val="right" w:leader="dot" w:pos="9912"/>
            </w:tabs>
            <w:spacing w:before="20" w:line="218" w:lineRule="auto"/>
            <w:ind w:left="2578"/>
          </w:pPr>
          <w:r>
            <w:rPr>
              <w:rFonts w:ascii="KaiTi" w:eastAsia="KaiTi" w:hAnsi="KaiTi" w:cs="KaiTi"/>
              <w:spacing w:val="-3"/>
            </w:rPr>
            <w:t>图</w:t>
          </w:r>
          <w:r>
            <w:rPr>
              <w:rFonts w:ascii="KaiTi" w:eastAsia="KaiTi" w:hAnsi="KaiTi" w:cs="KaiTi"/>
              <w:spacing w:val="-14"/>
            </w:rPr>
            <w:t xml:space="preserve"> </w:t>
          </w:r>
          <w:r>
            <w:rPr>
              <w:spacing w:val="-3"/>
            </w:rPr>
            <w:t>13</w:t>
          </w:r>
          <w:r>
            <w:rPr>
              <w:rFonts w:ascii="KaiTi" w:eastAsia="KaiTi" w:hAnsi="KaiTi" w:cs="KaiTi"/>
              <w:spacing w:val="-3"/>
            </w:rPr>
            <w:t>、收购</w:t>
          </w:r>
          <w:r>
            <w:rPr>
              <w:rFonts w:ascii="KaiTi" w:eastAsia="KaiTi" w:hAnsi="KaiTi" w:cs="KaiTi"/>
              <w:spacing w:val="-53"/>
            </w:rPr>
            <w:t xml:space="preserve"> </w:t>
          </w:r>
          <w:r>
            <w:rPr>
              <w:spacing w:val="-3"/>
            </w:rPr>
            <w:t xml:space="preserve">Adenza </w:t>
          </w:r>
          <w:r>
            <w:rPr>
              <w:rFonts w:ascii="KaiTi" w:eastAsia="KaiTi" w:hAnsi="KaiTi" w:cs="KaiTi"/>
              <w:spacing w:val="-3"/>
            </w:rPr>
            <w:t>后公司业务分部调整</w:t>
          </w:r>
          <w:r>
            <w:rPr>
              <w:rFonts w:ascii="KaiTi" w:eastAsia="KaiTi" w:hAnsi="KaiTi" w:cs="KaiTi"/>
              <w:spacing w:val="-53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28" w:history="1">
            <w:r>
              <w:rPr>
                <w:spacing w:val="-8"/>
              </w:rPr>
              <w:t>10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6" w:line="218" w:lineRule="auto"/>
            <w:ind w:left="2578"/>
          </w:pPr>
          <w:r>
            <w:rPr>
              <w:rFonts w:ascii="KaiTi" w:eastAsia="KaiTi" w:hAnsi="KaiTi" w:cs="KaiTi"/>
              <w:spacing w:val="-3"/>
            </w:rPr>
            <w:t>图</w:t>
          </w:r>
          <w:r>
            <w:rPr>
              <w:rFonts w:ascii="KaiTi" w:eastAsia="KaiTi" w:hAnsi="KaiTi" w:cs="KaiTi"/>
              <w:spacing w:val="-15"/>
            </w:rPr>
            <w:t xml:space="preserve"> </w:t>
          </w:r>
          <w:r>
            <w:rPr>
              <w:spacing w:val="-3"/>
            </w:rPr>
            <w:t>14</w:t>
          </w:r>
          <w:r>
            <w:rPr>
              <w:rFonts w:ascii="KaiTi" w:eastAsia="KaiTi" w:hAnsi="KaiTi" w:cs="KaiTi"/>
              <w:spacing w:val="-3"/>
            </w:rPr>
            <w:t>、纳斯达克传统的交易所业务收入占比较低</w:t>
          </w:r>
          <w:r>
            <w:rPr>
              <w:rFonts w:ascii="KaiTi" w:eastAsia="KaiTi" w:hAnsi="KaiTi" w:cs="KaiTi"/>
              <w:spacing w:val="-90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29" w:history="1">
            <w:r>
              <w:rPr>
                <w:spacing w:val="-8"/>
              </w:rPr>
              <w:t>12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4" w:line="216" w:lineRule="auto"/>
            <w:ind w:left="2578"/>
          </w:pPr>
          <w:r>
            <w:rPr>
              <w:rFonts w:ascii="KaiTi" w:eastAsia="KaiTi" w:hAnsi="KaiTi" w:cs="KaiTi"/>
              <w:spacing w:val="-3"/>
            </w:rPr>
            <w:t>图</w:t>
          </w:r>
          <w:r>
            <w:rPr>
              <w:rFonts w:ascii="KaiTi" w:eastAsia="KaiTi" w:hAnsi="KaiTi" w:cs="KaiTi"/>
              <w:spacing w:val="-15"/>
            </w:rPr>
            <w:t xml:space="preserve"> </w:t>
          </w:r>
          <w:r>
            <w:rPr>
              <w:spacing w:val="-3"/>
            </w:rPr>
            <w:t>15</w:t>
          </w:r>
          <w:r>
            <w:rPr>
              <w:rFonts w:ascii="KaiTi" w:eastAsia="KaiTi" w:hAnsi="KaiTi" w:cs="KaiTi"/>
              <w:spacing w:val="-3"/>
            </w:rPr>
            <w:t>、纳斯达克提供衍生品及现货等多资产交易</w:t>
          </w:r>
          <w:r>
            <w:rPr>
              <w:rFonts w:ascii="KaiTi" w:eastAsia="KaiTi" w:hAnsi="KaiTi" w:cs="KaiTi"/>
              <w:spacing w:val="-90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30" w:history="1">
            <w:r>
              <w:rPr>
                <w:spacing w:val="-8"/>
              </w:rPr>
              <w:t>13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7" w:line="218" w:lineRule="auto"/>
            <w:ind w:left="2578"/>
          </w:pPr>
          <w:r>
            <w:rPr>
              <w:rFonts w:ascii="KaiTi" w:eastAsia="KaiTi" w:hAnsi="KaiTi" w:cs="KaiTi"/>
              <w:spacing w:val="-3"/>
            </w:rPr>
            <w:t>图</w:t>
          </w:r>
          <w:r>
            <w:rPr>
              <w:rFonts w:ascii="KaiTi" w:eastAsia="KaiTi" w:hAnsi="KaiTi" w:cs="KaiTi"/>
              <w:spacing w:val="-27"/>
            </w:rPr>
            <w:t xml:space="preserve"> </w:t>
          </w:r>
          <w:r>
            <w:rPr>
              <w:spacing w:val="-3"/>
            </w:rPr>
            <w:t>16</w:t>
          </w:r>
          <w:r>
            <w:rPr>
              <w:rFonts w:ascii="KaiTi" w:eastAsia="KaiTi" w:hAnsi="KaiTi" w:cs="KaiTi"/>
              <w:spacing w:val="-3"/>
            </w:rPr>
            <w:t>、交易服务收入主要来自美国境内</w:t>
          </w:r>
          <w:r>
            <w:rPr>
              <w:rFonts w:ascii="KaiTi" w:eastAsia="KaiTi" w:hAnsi="KaiTi" w:cs="KaiTi"/>
              <w:spacing w:val="-42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31" w:history="1">
            <w:r>
              <w:rPr>
                <w:spacing w:val="-8"/>
              </w:rPr>
              <w:t>13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4" w:line="221" w:lineRule="auto"/>
            <w:ind w:left="2578"/>
          </w:pPr>
          <w:r>
            <w:rPr>
              <w:rFonts w:ascii="KaiTi" w:eastAsia="KaiTi" w:hAnsi="KaiTi" w:cs="KaiTi"/>
              <w:spacing w:val="-5"/>
            </w:rPr>
            <w:t>图</w:t>
          </w:r>
          <w:r>
            <w:rPr>
              <w:rFonts w:ascii="KaiTi" w:eastAsia="KaiTi" w:hAnsi="KaiTi" w:cs="KaiTi"/>
              <w:spacing w:val="-17"/>
            </w:rPr>
            <w:t xml:space="preserve"> </w:t>
          </w:r>
          <w:r>
            <w:rPr>
              <w:spacing w:val="-5"/>
            </w:rPr>
            <w:t>17</w:t>
          </w:r>
          <w:r>
            <w:rPr>
              <w:rFonts w:ascii="KaiTi" w:eastAsia="KaiTi" w:hAnsi="KaiTi" w:cs="KaiTi"/>
              <w:spacing w:val="-5"/>
            </w:rPr>
            <w:t>、纳斯达克旗下交易所</w:t>
          </w:r>
          <w:r>
            <w:rPr>
              <w:rFonts w:ascii="KaiTi" w:eastAsia="KaiTi" w:hAnsi="KaiTi" w:cs="KaiTi"/>
              <w:spacing w:val="-47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32" w:history="1">
            <w:r>
              <w:rPr>
                <w:spacing w:val="-8"/>
              </w:rPr>
              <w:t>13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3" w:line="218" w:lineRule="auto"/>
            <w:ind w:left="2578"/>
          </w:pPr>
          <w:r>
            <w:rPr>
              <w:rFonts w:ascii="KaiTi" w:eastAsia="KaiTi" w:hAnsi="KaiTi" w:cs="KaiTi"/>
              <w:spacing w:val="-3"/>
            </w:rPr>
            <w:t>图</w:t>
          </w:r>
          <w:r>
            <w:rPr>
              <w:rFonts w:ascii="KaiTi" w:eastAsia="KaiTi" w:hAnsi="KaiTi" w:cs="KaiTi"/>
              <w:spacing w:val="-21"/>
            </w:rPr>
            <w:t xml:space="preserve"> </w:t>
          </w:r>
          <w:r>
            <w:rPr>
              <w:spacing w:val="-3"/>
            </w:rPr>
            <w:t>18</w:t>
          </w:r>
          <w:r>
            <w:rPr>
              <w:rFonts w:ascii="KaiTi" w:eastAsia="KaiTi" w:hAnsi="KaiTi" w:cs="KaiTi"/>
              <w:spacing w:val="-3"/>
            </w:rPr>
            <w:t>、纳斯达克以低价交易费用吸引流动性</w:t>
          </w:r>
          <w:r>
            <w:rPr>
              <w:rFonts w:ascii="KaiTi" w:eastAsia="KaiTi" w:hAnsi="KaiTi" w:cs="KaiTi"/>
              <w:spacing w:val="-93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33" w:history="1">
            <w:r>
              <w:rPr>
                <w:spacing w:val="-8"/>
              </w:rPr>
              <w:t>13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2" w:line="218" w:lineRule="auto"/>
            <w:ind w:left="2578"/>
          </w:pPr>
          <w:r>
            <w:rPr>
              <w:rFonts w:ascii="KaiTi" w:eastAsia="KaiTi" w:hAnsi="KaiTi" w:cs="KaiTi"/>
              <w:spacing w:val="-3"/>
            </w:rPr>
            <w:t>图</w:t>
          </w:r>
          <w:r>
            <w:rPr>
              <w:rFonts w:ascii="KaiTi" w:eastAsia="KaiTi" w:hAnsi="KaiTi" w:cs="KaiTi"/>
              <w:spacing w:val="-23"/>
            </w:rPr>
            <w:t xml:space="preserve"> </w:t>
          </w:r>
          <w:r>
            <w:rPr>
              <w:spacing w:val="-3"/>
            </w:rPr>
            <w:t>19</w:t>
          </w:r>
          <w:r>
            <w:rPr>
              <w:rFonts w:ascii="KaiTi" w:eastAsia="KaiTi" w:hAnsi="KaiTi" w:cs="KaiTi"/>
              <w:spacing w:val="-3"/>
            </w:rPr>
            <w:t>、纳斯达克衍生品交易份额全美第一</w:t>
          </w:r>
          <w:r>
            <w:rPr>
              <w:rFonts w:ascii="KaiTi" w:eastAsia="KaiTi" w:hAnsi="KaiTi" w:cs="KaiTi"/>
              <w:spacing w:val="-42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34" w:history="1">
            <w:r>
              <w:rPr>
                <w:spacing w:val="-8"/>
              </w:rPr>
              <w:t>14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6" w:line="216" w:lineRule="auto"/>
            <w:ind w:left="2578"/>
          </w:pPr>
          <w:r>
            <w:rPr>
              <w:rFonts w:ascii="KaiTi" w:eastAsia="KaiTi" w:hAnsi="KaiTi" w:cs="KaiTi"/>
              <w:spacing w:val="-3"/>
            </w:rPr>
            <w:t>图</w:t>
          </w:r>
          <w:r>
            <w:rPr>
              <w:rFonts w:ascii="KaiTi" w:eastAsia="KaiTi" w:hAnsi="KaiTi" w:cs="KaiTi"/>
              <w:spacing w:val="-36"/>
            </w:rPr>
            <w:t xml:space="preserve"> </w:t>
          </w:r>
          <w:r>
            <w:rPr>
              <w:spacing w:val="-3"/>
            </w:rPr>
            <w:t>20</w:t>
          </w:r>
          <w:r>
            <w:rPr>
              <w:spacing w:val="-29"/>
            </w:rPr>
            <w:t xml:space="preserve"> </w:t>
          </w:r>
          <w:r>
            <w:rPr>
              <w:rFonts w:ascii="KaiTi" w:eastAsia="KaiTi" w:hAnsi="KaiTi" w:cs="KaiTi"/>
              <w:spacing w:val="-3"/>
            </w:rPr>
            <w:t>、</w:t>
          </w:r>
          <w:r>
            <w:rPr>
              <w:spacing w:val="-3"/>
            </w:rPr>
            <w:t xml:space="preserve">2022 </w:t>
          </w:r>
          <w:r>
            <w:rPr>
              <w:rFonts w:ascii="KaiTi" w:eastAsia="KaiTi" w:hAnsi="KaiTi" w:cs="KaiTi"/>
              <w:spacing w:val="-3"/>
            </w:rPr>
            <w:t>年纳斯达克美国股票交易份额超</w:t>
          </w:r>
          <w:r>
            <w:rPr>
              <w:rFonts w:ascii="KaiTi" w:eastAsia="KaiTi" w:hAnsi="KaiTi" w:cs="KaiTi"/>
              <w:spacing w:val="-42"/>
            </w:rPr>
            <w:t xml:space="preserve"> </w:t>
          </w:r>
          <w:r>
            <w:rPr>
              <w:spacing w:val="-3"/>
            </w:rPr>
            <w:t xml:space="preserve">50% </w:t>
          </w:r>
          <w:r>
            <w:tab/>
          </w:r>
          <w:r>
            <w:rPr>
              <w:spacing w:val="-32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35" w:history="1">
            <w:r>
              <w:rPr>
                <w:spacing w:val="-8"/>
              </w:rPr>
              <w:t>14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6" w:line="216" w:lineRule="auto"/>
            <w:ind w:left="2578"/>
          </w:pPr>
          <w:r>
            <w:rPr>
              <w:rFonts w:ascii="KaiTi" w:eastAsia="KaiTi" w:hAnsi="KaiTi" w:cs="KaiTi"/>
              <w:spacing w:val="-2"/>
            </w:rPr>
            <w:t>图</w:t>
          </w:r>
          <w:r>
            <w:rPr>
              <w:rFonts w:ascii="KaiTi" w:eastAsia="KaiTi" w:hAnsi="KaiTi" w:cs="KaiTi"/>
              <w:spacing w:val="-48"/>
            </w:rPr>
            <w:t xml:space="preserve"> </w:t>
          </w:r>
          <w:r>
            <w:rPr>
              <w:spacing w:val="-2"/>
            </w:rPr>
            <w:t>21</w:t>
          </w:r>
          <w:r>
            <w:rPr>
              <w:spacing w:val="-30"/>
            </w:rPr>
            <w:t xml:space="preserve"> </w:t>
          </w:r>
          <w:r>
            <w:rPr>
              <w:rFonts w:ascii="KaiTi" w:eastAsia="KaiTi" w:hAnsi="KaiTi" w:cs="KaiTi"/>
              <w:spacing w:val="-2"/>
            </w:rPr>
            <w:t>、</w:t>
          </w:r>
          <w:r>
            <w:rPr>
              <w:spacing w:val="-2"/>
            </w:rPr>
            <w:t xml:space="preserve">2023 </w:t>
          </w:r>
          <w:r>
            <w:rPr>
              <w:rFonts w:ascii="KaiTi" w:eastAsia="KaiTi" w:hAnsi="KaiTi" w:cs="KaiTi"/>
              <w:spacing w:val="-2"/>
            </w:rPr>
            <w:t>年纳斯达克欧洲股票现货交易份额达</w:t>
          </w:r>
          <w:r>
            <w:rPr>
              <w:rFonts w:ascii="KaiTi" w:eastAsia="KaiTi" w:hAnsi="KaiTi" w:cs="KaiTi"/>
              <w:spacing w:val="-44"/>
            </w:rPr>
            <w:t xml:space="preserve"> </w:t>
          </w:r>
          <w:r>
            <w:rPr>
              <w:spacing w:val="-2"/>
            </w:rPr>
            <w:t xml:space="preserve">71.0% </w:t>
          </w:r>
          <w:r>
            <w:tab/>
          </w:r>
          <w:r>
            <w:rPr>
              <w:spacing w:val="-32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36" w:history="1">
            <w:r>
              <w:rPr>
                <w:spacing w:val="-8"/>
              </w:rPr>
              <w:t>15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7" w:line="217" w:lineRule="auto"/>
            <w:ind w:left="2578"/>
          </w:pPr>
          <w:r>
            <w:rPr>
              <w:rFonts w:ascii="KaiTi" w:eastAsia="KaiTi" w:hAnsi="KaiTi" w:cs="KaiTi"/>
              <w:spacing w:val="-2"/>
            </w:rPr>
            <w:t>图</w:t>
          </w:r>
          <w:r>
            <w:rPr>
              <w:rFonts w:ascii="KaiTi" w:eastAsia="KaiTi" w:hAnsi="KaiTi" w:cs="KaiTi"/>
              <w:spacing w:val="-30"/>
            </w:rPr>
            <w:t xml:space="preserve"> </w:t>
          </w:r>
          <w:r>
            <w:rPr>
              <w:spacing w:val="-2"/>
            </w:rPr>
            <w:t>22</w:t>
          </w:r>
          <w:r>
            <w:rPr>
              <w:rFonts w:ascii="KaiTi" w:eastAsia="KaiTi" w:hAnsi="KaiTi" w:cs="KaiTi"/>
              <w:spacing w:val="-2"/>
            </w:rPr>
            <w:t>、资本接入平台分部提供数据、上市、指数等服务</w:t>
          </w:r>
          <w:r>
            <w:rPr>
              <w:rFonts w:ascii="KaiTi" w:eastAsia="KaiTi" w:hAnsi="KaiTi" w:cs="KaiTi"/>
              <w:spacing w:val="-87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37" w:history="1">
            <w:r>
              <w:rPr>
                <w:spacing w:val="-8"/>
              </w:rPr>
              <w:t>16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5" w:line="217" w:lineRule="auto"/>
            <w:ind w:left="2578"/>
          </w:pPr>
          <w:r>
            <w:rPr>
              <w:rFonts w:ascii="KaiTi" w:eastAsia="KaiTi" w:hAnsi="KaiTi" w:cs="KaiTi"/>
              <w:spacing w:val="-2"/>
            </w:rPr>
            <w:t>图</w:t>
          </w:r>
          <w:r>
            <w:rPr>
              <w:rFonts w:ascii="KaiTi" w:eastAsia="KaiTi" w:hAnsi="KaiTi" w:cs="KaiTi"/>
              <w:spacing w:val="-45"/>
            </w:rPr>
            <w:t xml:space="preserve"> </w:t>
          </w:r>
          <w:r>
            <w:rPr>
              <w:spacing w:val="-2"/>
            </w:rPr>
            <w:t>23</w:t>
          </w:r>
          <w:r>
            <w:rPr>
              <w:rFonts w:ascii="KaiTi" w:eastAsia="KaiTi" w:hAnsi="KaiTi" w:cs="KaiTi"/>
              <w:spacing w:val="-2"/>
            </w:rPr>
            <w:t>、资本接入平台分部业务高速增长</w:t>
          </w:r>
          <w:r>
            <w:rPr>
              <w:rFonts w:ascii="KaiTi" w:eastAsia="KaiTi" w:hAnsi="KaiTi" w:cs="KaiTi"/>
              <w:spacing w:val="-42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38" w:history="1">
            <w:r>
              <w:rPr>
                <w:spacing w:val="-8"/>
              </w:rPr>
              <w:t>16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7" w:line="217" w:lineRule="auto"/>
            <w:ind w:left="2578"/>
          </w:pPr>
          <w:r>
            <w:rPr>
              <w:rFonts w:ascii="KaiTi" w:eastAsia="KaiTi" w:hAnsi="KaiTi" w:cs="KaiTi"/>
              <w:spacing w:val="-3"/>
            </w:rPr>
            <w:t>图</w:t>
          </w:r>
          <w:r>
            <w:rPr>
              <w:rFonts w:ascii="KaiTi" w:eastAsia="KaiTi" w:hAnsi="KaiTi" w:cs="KaiTi"/>
              <w:spacing w:val="-39"/>
            </w:rPr>
            <w:t xml:space="preserve"> </w:t>
          </w:r>
          <w:r>
            <w:rPr>
              <w:spacing w:val="-3"/>
            </w:rPr>
            <w:t>24</w:t>
          </w:r>
          <w:r>
            <w:rPr>
              <w:rFonts w:ascii="KaiTi" w:eastAsia="KaiTi" w:hAnsi="KaiTi" w:cs="KaiTi"/>
              <w:spacing w:val="-3"/>
            </w:rPr>
            <w:t>、指数业务收入占比提升</w:t>
          </w:r>
          <w:r>
            <w:rPr>
              <w:rFonts w:ascii="KaiTi" w:eastAsia="KaiTi" w:hAnsi="KaiTi" w:cs="KaiTi"/>
              <w:spacing w:val="-47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39" w:history="1">
            <w:r>
              <w:rPr>
                <w:spacing w:val="-8"/>
              </w:rPr>
              <w:t>16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4" w:line="218" w:lineRule="auto"/>
            <w:ind w:left="2578"/>
          </w:pPr>
          <w:r>
            <w:rPr>
              <w:rFonts w:ascii="KaiTi" w:eastAsia="KaiTi" w:hAnsi="KaiTi" w:cs="KaiTi"/>
              <w:spacing w:val="-2"/>
            </w:rPr>
            <w:t>图</w:t>
          </w:r>
          <w:r>
            <w:rPr>
              <w:rFonts w:ascii="KaiTi" w:eastAsia="KaiTi" w:hAnsi="KaiTi" w:cs="KaiTi"/>
              <w:spacing w:val="-35"/>
            </w:rPr>
            <w:t xml:space="preserve"> </w:t>
          </w:r>
          <w:r>
            <w:rPr>
              <w:spacing w:val="-2"/>
            </w:rPr>
            <w:t>25</w:t>
          </w:r>
          <w:r>
            <w:rPr>
              <w:rFonts w:ascii="KaiTi" w:eastAsia="KaiTi" w:hAnsi="KaiTi" w:cs="KaiTi"/>
              <w:spacing w:val="-2"/>
            </w:rPr>
            <w:t>、</w:t>
          </w:r>
          <w:r>
            <w:rPr>
              <w:spacing w:val="-2"/>
            </w:rPr>
            <w:t xml:space="preserve">1996 </w:t>
          </w:r>
          <w:r>
            <w:rPr>
              <w:rFonts w:ascii="KaiTi" w:eastAsia="KaiTi" w:hAnsi="KaiTi" w:cs="KaiTi"/>
              <w:spacing w:val="-2"/>
            </w:rPr>
            <w:t>年纳斯达克上市公司数超纽交所</w:t>
          </w:r>
          <w:r>
            <w:rPr>
              <w:rFonts w:ascii="KaiTi" w:eastAsia="KaiTi" w:hAnsi="KaiTi" w:cs="KaiTi"/>
              <w:spacing w:val="-92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40" w:history="1">
            <w:r>
              <w:rPr>
                <w:spacing w:val="-8"/>
              </w:rPr>
              <w:t>17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5" w:line="220" w:lineRule="auto"/>
            <w:ind w:left="2578"/>
          </w:pPr>
          <w:r>
            <w:rPr>
              <w:rFonts w:ascii="KaiTi" w:eastAsia="KaiTi" w:hAnsi="KaiTi" w:cs="KaiTi"/>
              <w:spacing w:val="-2"/>
            </w:rPr>
            <w:t>图</w:t>
          </w:r>
          <w:r>
            <w:rPr>
              <w:rFonts w:ascii="KaiTi" w:eastAsia="KaiTi" w:hAnsi="KaiTi" w:cs="KaiTi"/>
              <w:spacing w:val="-42"/>
            </w:rPr>
            <w:t xml:space="preserve"> </w:t>
          </w:r>
          <w:r>
            <w:rPr>
              <w:spacing w:val="-2"/>
            </w:rPr>
            <w:t>26</w:t>
          </w:r>
          <w:r>
            <w:rPr>
              <w:rFonts w:ascii="KaiTi" w:eastAsia="KaiTi" w:hAnsi="KaiTi" w:cs="KaiTi"/>
              <w:spacing w:val="-2"/>
            </w:rPr>
            <w:t>、纳斯达克上市公司规模低于纽交所</w:t>
          </w:r>
          <w:r>
            <w:rPr>
              <w:rFonts w:ascii="KaiTi" w:eastAsia="KaiTi" w:hAnsi="KaiTi" w:cs="KaiTi"/>
              <w:spacing w:val="-42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41" w:history="1">
            <w:r>
              <w:rPr>
                <w:spacing w:val="-8"/>
              </w:rPr>
              <w:t>17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2" w:line="218" w:lineRule="auto"/>
            <w:ind w:left="2578"/>
          </w:pPr>
          <w:r>
            <w:rPr>
              <w:rFonts w:ascii="KaiTi" w:eastAsia="KaiTi" w:hAnsi="KaiTi" w:cs="KaiTi"/>
              <w:spacing w:val="-6"/>
            </w:rPr>
            <w:t>图</w:t>
          </w:r>
          <w:r>
            <w:rPr>
              <w:rFonts w:ascii="KaiTi" w:eastAsia="KaiTi" w:hAnsi="KaiTi" w:cs="KaiTi"/>
              <w:spacing w:val="-38"/>
            </w:rPr>
            <w:t xml:space="preserve"> </w:t>
          </w:r>
          <w:r>
            <w:rPr>
              <w:spacing w:val="-6"/>
            </w:rPr>
            <w:t>27</w:t>
          </w:r>
          <w:r>
            <w:rPr>
              <w:spacing w:val="-30"/>
            </w:rPr>
            <w:t xml:space="preserve"> </w:t>
          </w:r>
          <w:r>
            <w:rPr>
              <w:rFonts w:ascii="KaiTi" w:eastAsia="KaiTi" w:hAnsi="KaiTi" w:cs="KaiTi"/>
              <w:spacing w:val="-6"/>
            </w:rPr>
            <w:t>、</w:t>
          </w:r>
          <w:r>
            <w:rPr>
              <w:spacing w:val="-6"/>
            </w:rPr>
            <w:t xml:space="preserve">2023 </w:t>
          </w:r>
          <w:r>
            <w:rPr>
              <w:rFonts w:ascii="KaiTi" w:eastAsia="KaiTi" w:hAnsi="KaiTi" w:cs="KaiTi"/>
              <w:spacing w:val="-6"/>
            </w:rPr>
            <w:t>年纳斯达克</w:t>
          </w:r>
          <w:r>
            <w:rPr>
              <w:rFonts w:ascii="KaiTi" w:eastAsia="KaiTi" w:hAnsi="KaiTi" w:cs="KaiTi"/>
              <w:spacing w:val="-47"/>
            </w:rPr>
            <w:t xml:space="preserve"> </w:t>
          </w:r>
          <w:r>
            <w:rPr>
              <w:spacing w:val="-6"/>
            </w:rPr>
            <w:t>IPO</w:t>
          </w:r>
          <w:r>
            <w:rPr>
              <w:spacing w:val="18"/>
              <w:w w:val="101"/>
            </w:rPr>
            <w:t xml:space="preserve"> </w:t>
          </w:r>
          <w:r>
            <w:rPr>
              <w:rFonts w:ascii="KaiTi" w:eastAsia="KaiTi" w:hAnsi="KaiTi" w:cs="KaiTi"/>
              <w:spacing w:val="-6"/>
            </w:rPr>
            <w:t>总数</w:t>
          </w:r>
          <w:r>
            <w:rPr>
              <w:rFonts w:ascii="KaiTi" w:eastAsia="KaiTi" w:hAnsi="KaiTi" w:cs="KaiTi"/>
              <w:spacing w:val="-28"/>
            </w:rPr>
            <w:t xml:space="preserve"> </w:t>
          </w:r>
          <w:r>
            <w:rPr>
              <w:spacing w:val="-6"/>
            </w:rPr>
            <w:t>192</w:t>
          </w:r>
          <w:r>
            <w:rPr>
              <w:spacing w:val="27"/>
            </w:rPr>
            <w:t xml:space="preserve"> </w:t>
          </w:r>
          <w:r>
            <w:rPr>
              <w:rFonts w:ascii="KaiTi" w:eastAsia="KaiTi" w:hAnsi="KaiTi" w:cs="KaiTi"/>
              <w:spacing w:val="-6"/>
            </w:rPr>
            <w:t>家</w:t>
          </w:r>
          <w:r>
            <w:rPr>
              <w:rFonts w:ascii="KaiTi" w:eastAsia="KaiTi" w:hAnsi="KaiTi" w:cs="KaiTi"/>
              <w:spacing w:val="-68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42" w:history="1">
            <w:r>
              <w:rPr>
                <w:spacing w:val="-8"/>
              </w:rPr>
              <w:t>17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6" w:line="218" w:lineRule="auto"/>
            <w:ind w:left="2578"/>
          </w:pPr>
          <w:r>
            <w:rPr>
              <w:rFonts w:ascii="KaiTi" w:eastAsia="KaiTi" w:hAnsi="KaiTi" w:cs="KaiTi"/>
              <w:spacing w:val="-4"/>
            </w:rPr>
            <w:t>图</w:t>
          </w:r>
          <w:r>
            <w:rPr>
              <w:rFonts w:ascii="KaiTi" w:eastAsia="KaiTi" w:hAnsi="KaiTi" w:cs="KaiTi"/>
              <w:spacing w:val="-43"/>
            </w:rPr>
            <w:t xml:space="preserve"> </w:t>
          </w:r>
          <w:r>
            <w:rPr>
              <w:spacing w:val="-4"/>
            </w:rPr>
            <w:t>28</w:t>
          </w:r>
          <w:r>
            <w:rPr>
              <w:spacing w:val="-29"/>
            </w:rPr>
            <w:t xml:space="preserve"> </w:t>
          </w:r>
          <w:r>
            <w:rPr>
              <w:rFonts w:ascii="KaiTi" w:eastAsia="KaiTi" w:hAnsi="KaiTi" w:cs="KaiTi"/>
              <w:spacing w:val="-4"/>
            </w:rPr>
            <w:t>、</w:t>
          </w:r>
          <w:r>
            <w:rPr>
              <w:spacing w:val="-4"/>
            </w:rPr>
            <w:t xml:space="preserve">2023 </w:t>
          </w:r>
          <w:r>
            <w:rPr>
              <w:rFonts w:ascii="KaiTi" w:eastAsia="KaiTi" w:hAnsi="KaiTi" w:cs="KaiTi"/>
              <w:spacing w:val="-4"/>
            </w:rPr>
            <w:t>年纳斯达克</w:t>
          </w:r>
          <w:r>
            <w:rPr>
              <w:rFonts w:ascii="KaiTi" w:eastAsia="KaiTi" w:hAnsi="KaiTi" w:cs="KaiTi"/>
              <w:spacing w:val="-47"/>
            </w:rPr>
            <w:t xml:space="preserve"> </w:t>
          </w:r>
          <w:r>
            <w:rPr>
              <w:spacing w:val="-4"/>
            </w:rPr>
            <w:t>IPO</w:t>
          </w:r>
          <w:r>
            <w:rPr>
              <w:spacing w:val="18"/>
            </w:rPr>
            <w:t xml:space="preserve"> </w:t>
          </w:r>
          <w:r>
            <w:rPr>
              <w:rFonts w:ascii="KaiTi" w:eastAsia="KaiTi" w:hAnsi="KaiTi" w:cs="KaiTi"/>
              <w:spacing w:val="-4"/>
            </w:rPr>
            <w:t>总规模</w:t>
          </w:r>
          <w:r>
            <w:rPr>
              <w:rFonts w:ascii="KaiTi" w:eastAsia="KaiTi" w:hAnsi="KaiTi" w:cs="KaiTi"/>
              <w:spacing w:val="-28"/>
            </w:rPr>
            <w:t xml:space="preserve"> </w:t>
          </w:r>
          <w:r>
            <w:rPr>
              <w:spacing w:val="-4"/>
            </w:rPr>
            <w:t xml:space="preserve">149 </w:t>
          </w:r>
          <w:r>
            <w:rPr>
              <w:rFonts w:ascii="KaiTi" w:eastAsia="KaiTi" w:hAnsi="KaiTi" w:cs="KaiTi"/>
              <w:spacing w:val="-4"/>
            </w:rPr>
            <w:t>亿美元</w:t>
          </w:r>
          <w:r>
            <w:rPr>
              <w:rFonts w:ascii="KaiTi" w:eastAsia="KaiTi" w:hAnsi="KaiTi" w:cs="KaiTi"/>
              <w:spacing w:val="-63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43" w:history="1">
            <w:r>
              <w:rPr>
                <w:spacing w:val="-8"/>
              </w:rPr>
              <w:t>17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</w:sdtContent>
    </w:sdt>
    <w:p>
      <w:pPr>
        <w:spacing w:line="218" w:lineRule="auto"/>
        <w:sectPr>
          <w:headerReference w:type="default" r:id="rId14"/>
          <w:footerReference w:type="default" r:id="rId15"/>
          <w:type w:val="nextPage"/>
          <w:pgSz w:w="11907" w:h="16839"/>
          <w:pgMar w:top="1596" w:right="890" w:bottom="1480" w:left="854" w:header="852" w:footer="990" w:gutter="0"/>
          <w:pgNumType w:start="4"/>
          <w:cols w:space="708"/>
          <w:titlePg w:val="0"/>
        </w:sectPr>
      </w:pPr>
    </w:p>
    <w:sdt>
      <w:sdtPr>
        <w:rPr>
          <w:rFonts w:ascii="KaiTi" w:eastAsia="KaiTi" w:hAnsi="KaiTi" w:cs="KaiTi"/>
          <w:sz w:val="21"/>
          <w:szCs w:val="21"/>
        </w:rPr>
        <w:id w:val="1127439631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sz w:val="21"/>
          <w:szCs w:val="21"/>
        </w:rPr>
      </w:sdtEndPr>
      <w:sdtContent>
        <w:p>
          <w:pPr>
            <w:pStyle w:val="BodyText"/>
            <w:tabs>
              <w:tab w:val="right" w:leader="dot" w:pos="9912"/>
            </w:tabs>
            <w:spacing w:before="29" w:line="220" w:lineRule="auto"/>
            <w:ind w:left="2578"/>
          </w:pPr>
          <w:r>
            <w:rPr>
              <w:rFonts w:ascii="KaiTi" w:eastAsia="KaiTi" w:hAnsi="KaiTi" w:cs="KaiTi"/>
              <w:spacing w:val="-2"/>
            </w:rPr>
            <w:t>图</w:t>
          </w:r>
          <w:r>
            <w:rPr>
              <w:rFonts w:ascii="KaiTi" w:eastAsia="KaiTi" w:hAnsi="KaiTi" w:cs="KaiTi"/>
              <w:spacing w:val="-38"/>
            </w:rPr>
            <w:t xml:space="preserve"> </w:t>
          </w:r>
          <w:r>
            <w:rPr>
              <w:spacing w:val="-2"/>
            </w:rPr>
            <w:t>29</w:t>
          </w:r>
          <w:r>
            <w:rPr>
              <w:rFonts w:ascii="KaiTi" w:eastAsia="KaiTi" w:hAnsi="KaiTi" w:cs="KaiTi"/>
              <w:spacing w:val="-2"/>
            </w:rPr>
            <w:t>、纳斯达克上市规模以信息技术行业为主</w:t>
          </w:r>
          <w:r>
            <w:rPr>
              <w:rFonts w:ascii="KaiTi" w:eastAsia="KaiTi" w:hAnsi="KaiTi" w:cs="KaiTi"/>
              <w:spacing w:val="-92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44" w:history="1">
            <w:r>
              <w:rPr>
                <w:spacing w:val="-8"/>
              </w:rPr>
              <w:t>17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3" w:line="219" w:lineRule="auto"/>
            <w:ind w:left="2578"/>
          </w:pPr>
          <w:r>
            <w:rPr>
              <w:rFonts w:ascii="KaiTi" w:eastAsia="KaiTi" w:hAnsi="KaiTi" w:cs="KaiTi"/>
              <w:spacing w:val="-2"/>
            </w:rPr>
            <w:t>图</w:t>
          </w:r>
          <w:r>
            <w:rPr>
              <w:rFonts w:ascii="KaiTi" w:eastAsia="KaiTi" w:hAnsi="KaiTi" w:cs="KaiTi"/>
              <w:spacing w:val="-34"/>
            </w:rPr>
            <w:t xml:space="preserve"> </w:t>
          </w:r>
          <w:r>
            <w:rPr>
              <w:spacing w:val="-2"/>
            </w:rPr>
            <w:t>30</w:t>
          </w:r>
          <w:r>
            <w:rPr>
              <w:rFonts w:ascii="KaiTi" w:eastAsia="KaiTi" w:hAnsi="KaiTi" w:cs="KaiTi"/>
              <w:spacing w:val="-2"/>
            </w:rPr>
            <w:t>、纽交所上市规模以金融能源等传统行业为主</w:t>
          </w:r>
          <w:r>
            <w:rPr>
              <w:rFonts w:ascii="KaiTi" w:eastAsia="KaiTi" w:hAnsi="KaiTi" w:cs="KaiTi"/>
              <w:spacing w:val="-90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45" w:history="1">
            <w:r>
              <w:rPr>
                <w:spacing w:val="-8"/>
              </w:rPr>
              <w:t>17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2" w:line="216" w:lineRule="auto"/>
            <w:ind w:left="2578"/>
          </w:pPr>
          <w:r>
            <w:rPr>
              <w:rFonts w:ascii="KaiTi" w:eastAsia="KaiTi" w:hAnsi="KaiTi" w:cs="KaiTi"/>
              <w:spacing w:val="-3"/>
            </w:rPr>
            <w:t>图</w:t>
          </w:r>
          <w:r>
            <w:rPr>
              <w:rFonts w:ascii="KaiTi" w:eastAsia="KaiTi" w:hAnsi="KaiTi" w:cs="KaiTi"/>
              <w:spacing w:val="-43"/>
            </w:rPr>
            <w:t xml:space="preserve"> </w:t>
          </w:r>
          <w:r>
            <w:rPr>
              <w:spacing w:val="-3"/>
            </w:rPr>
            <w:t>31</w:t>
          </w:r>
          <w:r>
            <w:rPr>
              <w:rFonts w:ascii="KaiTi" w:eastAsia="KaiTi" w:hAnsi="KaiTi" w:cs="KaiTi"/>
              <w:spacing w:val="-3"/>
            </w:rPr>
            <w:t>、截至</w:t>
          </w:r>
          <w:r>
            <w:rPr>
              <w:rFonts w:ascii="KaiTi" w:eastAsia="KaiTi" w:hAnsi="KaiTi" w:cs="KaiTi"/>
              <w:spacing w:val="-48"/>
            </w:rPr>
            <w:t xml:space="preserve"> </w:t>
          </w:r>
          <w:r>
            <w:rPr>
              <w:spacing w:val="-3"/>
            </w:rPr>
            <w:t xml:space="preserve">2023 </w:t>
          </w:r>
          <w:r>
            <w:rPr>
              <w:rFonts w:ascii="KaiTi" w:eastAsia="KaiTi" w:hAnsi="KaiTi" w:cs="KaiTi"/>
              <w:spacing w:val="-3"/>
            </w:rPr>
            <w:t>年底纳斯达克欧洲上市公司</w:t>
          </w:r>
          <w:r>
            <w:rPr>
              <w:rFonts w:ascii="KaiTi" w:eastAsia="KaiTi" w:hAnsi="KaiTi" w:cs="KaiTi"/>
              <w:spacing w:val="-4"/>
            </w:rPr>
            <w:t>数</w:t>
          </w:r>
          <w:r>
            <w:rPr>
              <w:rFonts w:ascii="KaiTi" w:eastAsia="KaiTi" w:hAnsi="KaiTi" w:cs="KaiTi"/>
              <w:spacing w:val="-28"/>
            </w:rPr>
            <w:t xml:space="preserve"> </w:t>
          </w:r>
          <w:r>
            <w:rPr>
              <w:spacing w:val="-4"/>
            </w:rPr>
            <w:t>1218</w:t>
          </w:r>
          <w:r>
            <w:rPr>
              <w:spacing w:val="28"/>
            </w:rPr>
            <w:t xml:space="preserve"> </w:t>
          </w:r>
          <w:r>
            <w:rPr>
              <w:rFonts w:ascii="KaiTi" w:eastAsia="KaiTi" w:hAnsi="KaiTi" w:cs="KaiTi"/>
              <w:spacing w:val="-4"/>
            </w:rPr>
            <w:t>家</w:t>
          </w:r>
          <w:r>
            <w:rPr>
              <w:rFonts w:ascii="KaiTi" w:eastAsia="KaiTi" w:hAnsi="KaiTi" w:cs="KaiTi"/>
              <w:spacing w:val="-88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46" w:history="1">
            <w:r>
              <w:rPr>
                <w:spacing w:val="-8"/>
              </w:rPr>
              <w:t>18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8" w:line="218" w:lineRule="auto"/>
            <w:ind w:left="2578"/>
          </w:pPr>
          <w:r>
            <w:rPr>
              <w:rFonts w:ascii="KaiTi" w:eastAsia="KaiTi" w:hAnsi="KaiTi" w:cs="KaiTi"/>
              <w:spacing w:val="-4"/>
            </w:rPr>
            <w:t>图</w:t>
          </w:r>
          <w:r>
            <w:rPr>
              <w:rFonts w:ascii="KaiTi" w:eastAsia="KaiTi" w:hAnsi="KaiTi" w:cs="KaiTi"/>
              <w:spacing w:val="-43"/>
            </w:rPr>
            <w:t xml:space="preserve"> </w:t>
          </w:r>
          <w:r>
            <w:rPr>
              <w:spacing w:val="-4"/>
            </w:rPr>
            <w:t>32</w:t>
          </w:r>
          <w:r>
            <w:rPr>
              <w:spacing w:val="-29"/>
            </w:rPr>
            <w:t xml:space="preserve"> </w:t>
          </w:r>
          <w:r>
            <w:rPr>
              <w:rFonts w:ascii="KaiTi" w:eastAsia="KaiTi" w:hAnsi="KaiTi" w:cs="KaiTi"/>
              <w:spacing w:val="-4"/>
            </w:rPr>
            <w:t>、</w:t>
          </w:r>
          <w:r>
            <w:rPr>
              <w:spacing w:val="-4"/>
            </w:rPr>
            <w:t xml:space="preserve">2023 </w:t>
          </w:r>
          <w:r>
            <w:rPr>
              <w:rFonts w:ascii="KaiTi" w:eastAsia="KaiTi" w:hAnsi="KaiTi" w:cs="KaiTi"/>
              <w:spacing w:val="-4"/>
            </w:rPr>
            <w:t>年纳斯达克欧洲</w:t>
          </w:r>
          <w:r>
            <w:rPr>
              <w:rFonts w:ascii="KaiTi" w:eastAsia="KaiTi" w:hAnsi="KaiTi" w:cs="KaiTi"/>
              <w:spacing w:val="-47"/>
            </w:rPr>
            <w:t xml:space="preserve"> </w:t>
          </w:r>
          <w:r>
            <w:rPr>
              <w:spacing w:val="-4"/>
            </w:rPr>
            <w:t xml:space="preserve">IPO </w:t>
          </w:r>
          <w:r>
            <w:rPr>
              <w:rFonts w:ascii="KaiTi" w:eastAsia="KaiTi" w:hAnsi="KaiTi" w:cs="KaiTi"/>
              <w:spacing w:val="-5"/>
            </w:rPr>
            <w:t>数量</w:t>
          </w:r>
          <w:r>
            <w:rPr>
              <w:rFonts w:ascii="KaiTi" w:eastAsia="KaiTi" w:hAnsi="KaiTi" w:cs="KaiTi"/>
              <w:spacing w:val="-44"/>
            </w:rPr>
            <w:t xml:space="preserve"> </w:t>
          </w:r>
          <w:r>
            <w:rPr>
              <w:spacing w:val="-5"/>
            </w:rPr>
            <w:t>7</w:t>
          </w:r>
          <w:r>
            <w:rPr>
              <w:spacing w:val="24"/>
            </w:rPr>
            <w:t xml:space="preserve"> </w:t>
          </w:r>
          <w:r>
            <w:rPr>
              <w:rFonts w:ascii="KaiTi" w:eastAsia="KaiTi" w:hAnsi="KaiTi" w:cs="KaiTi"/>
              <w:spacing w:val="-5"/>
            </w:rPr>
            <w:t>家</w:t>
          </w:r>
          <w:r>
            <w:rPr>
              <w:rFonts w:ascii="KaiTi" w:eastAsia="KaiTi" w:hAnsi="KaiTi" w:cs="KaiTi"/>
              <w:spacing w:val="-64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47" w:history="1">
            <w:r>
              <w:rPr>
                <w:spacing w:val="-8"/>
              </w:rPr>
              <w:t>18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3" w:line="216" w:lineRule="auto"/>
            <w:ind w:left="2578"/>
          </w:pPr>
          <w:r>
            <w:rPr>
              <w:rFonts w:ascii="KaiTi" w:eastAsia="KaiTi" w:hAnsi="KaiTi" w:cs="KaiTi"/>
              <w:spacing w:val="-2"/>
            </w:rPr>
            <w:t>图</w:t>
          </w:r>
          <w:r>
            <w:rPr>
              <w:rFonts w:ascii="KaiTi" w:eastAsia="KaiTi" w:hAnsi="KaiTi" w:cs="KaiTi"/>
              <w:spacing w:val="-35"/>
            </w:rPr>
            <w:t xml:space="preserve"> </w:t>
          </w:r>
          <w:r>
            <w:rPr>
              <w:spacing w:val="-2"/>
            </w:rPr>
            <w:t>33</w:t>
          </w:r>
          <w:r>
            <w:rPr>
              <w:rFonts w:ascii="KaiTi" w:eastAsia="KaiTi" w:hAnsi="KaiTi" w:cs="KaiTi"/>
              <w:spacing w:val="-2"/>
            </w:rPr>
            <w:t>、跟踪纳斯达克指数的</w:t>
          </w:r>
          <w:r>
            <w:rPr>
              <w:rFonts w:ascii="KaiTi" w:eastAsia="KaiTi" w:hAnsi="KaiTi" w:cs="KaiTi"/>
              <w:spacing w:val="-48"/>
            </w:rPr>
            <w:t xml:space="preserve"> </w:t>
          </w:r>
          <w:r>
            <w:rPr>
              <w:spacing w:val="-2"/>
            </w:rPr>
            <w:t xml:space="preserve">ETP </w:t>
          </w:r>
          <w:r>
            <w:rPr>
              <w:rFonts w:ascii="KaiTi" w:eastAsia="KaiTi" w:hAnsi="KaiTi" w:cs="KaiTi"/>
              <w:spacing w:val="-2"/>
            </w:rPr>
            <w:t>产品规模高速增长</w:t>
          </w:r>
          <w:r>
            <w:rPr>
              <w:rFonts w:ascii="KaiTi" w:eastAsia="KaiTi" w:hAnsi="KaiTi" w:cs="KaiTi"/>
              <w:spacing w:val="-42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48" w:history="1">
            <w:r>
              <w:rPr>
                <w:spacing w:val="-8"/>
              </w:rPr>
              <w:t>19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7" w:line="219" w:lineRule="auto"/>
            <w:ind w:left="2578"/>
          </w:pPr>
          <w:r>
            <w:rPr>
              <w:rFonts w:ascii="KaiTi" w:eastAsia="KaiTi" w:hAnsi="KaiTi" w:cs="KaiTi"/>
              <w:spacing w:val="-3"/>
            </w:rPr>
            <w:t>图</w:t>
          </w:r>
          <w:r>
            <w:rPr>
              <w:rFonts w:ascii="KaiTi" w:eastAsia="KaiTi" w:hAnsi="KaiTi" w:cs="KaiTi"/>
              <w:spacing w:val="-43"/>
            </w:rPr>
            <w:t xml:space="preserve"> </w:t>
          </w:r>
          <w:r>
            <w:rPr>
              <w:spacing w:val="-3"/>
            </w:rPr>
            <w:t>34</w:t>
          </w:r>
          <w:r>
            <w:rPr>
              <w:spacing w:val="-30"/>
            </w:rPr>
            <w:t xml:space="preserve"> </w:t>
          </w:r>
          <w:r>
            <w:rPr>
              <w:rFonts w:ascii="KaiTi" w:eastAsia="KaiTi" w:hAnsi="KaiTi" w:cs="KaiTi"/>
              <w:spacing w:val="-3"/>
            </w:rPr>
            <w:t>、</w:t>
          </w:r>
          <w:r>
            <w:rPr>
              <w:spacing w:val="-3"/>
            </w:rPr>
            <w:t xml:space="preserve">eVestment </w:t>
          </w:r>
          <w:r>
            <w:rPr>
              <w:rFonts w:ascii="KaiTi" w:eastAsia="KaiTi" w:hAnsi="KaiTi" w:cs="KaiTi"/>
              <w:spacing w:val="-3"/>
            </w:rPr>
            <w:t>为各类客户提供</w:t>
          </w:r>
          <w:r>
            <w:rPr>
              <w:rFonts w:ascii="KaiTi" w:eastAsia="KaiTi" w:hAnsi="KaiTi" w:cs="KaiTi"/>
              <w:spacing w:val="-4"/>
            </w:rPr>
            <w:t>数据和分析</w:t>
          </w:r>
          <w:r>
            <w:rPr>
              <w:rFonts w:ascii="KaiTi" w:eastAsia="KaiTi" w:hAnsi="KaiTi" w:cs="KaiTi"/>
              <w:spacing w:val="-75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3"/>
            </w:rPr>
            <w:t>-</w:t>
          </w:r>
          <w:r>
            <w:rPr>
              <w:spacing w:val="4"/>
            </w:rPr>
            <w:t xml:space="preserve"> </w:t>
          </w:r>
          <w:hyperlink w:anchor="bookmark49" w:history="1">
            <w:r>
              <w:rPr>
                <w:spacing w:val="-3"/>
              </w:rPr>
              <w:t>20</w:t>
            </w:r>
          </w:hyperlink>
          <w:r>
            <w:rPr>
              <w:spacing w:val="9"/>
            </w:rPr>
            <w:t xml:space="preserve"> </w:t>
          </w:r>
          <w:r>
            <w:rPr>
              <w:spacing w:val="-3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2" w:line="219" w:lineRule="auto"/>
            <w:ind w:left="2578"/>
          </w:pPr>
          <w:r>
            <w:rPr>
              <w:rFonts w:ascii="KaiTi" w:eastAsia="KaiTi" w:hAnsi="KaiTi" w:cs="KaiTi"/>
              <w:spacing w:val="-2"/>
            </w:rPr>
            <w:t>图</w:t>
          </w:r>
          <w:r>
            <w:rPr>
              <w:rFonts w:ascii="KaiTi" w:eastAsia="KaiTi" w:hAnsi="KaiTi" w:cs="KaiTi"/>
              <w:spacing w:val="-36"/>
            </w:rPr>
            <w:t xml:space="preserve"> </w:t>
          </w:r>
          <w:r>
            <w:rPr>
              <w:spacing w:val="-2"/>
            </w:rPr>
            <w:t>35</w:t>
          </w:r>
          <w:r>
            <w:rPr>
              <w:rFonts w:ascii="KaiTi" w:eastAsia="KaiTi" w:hAnsi="KaiTi" w:cs="KaiTi"/>
              <w:spacing w:val="-2"/>
            </w:rPr>
            <w:t>、</w:t>
          </w:r>
          <w:r>
            <w:rPr>
              <w:spacing w:val="-2"/>
            </w:rPr>
            <w:t xml:space="preserve">Solovis </w:t>
          </w:r>
          <w:r>
            <w:rPr>
              <w:rFonts w:ascii="KaiTi" w:eastAsia="KaiTi" w:hAnsi="KaiTi" w:cs="KaiTi"/>
              <w:spacing w:val="-2"/>
            </w:rPr>
            <w:t>提供投资组合分析工具</w:t>
          </w:r>
          <w:r>
            <w:rPr>
              <w:rFonts w:ascii="KaiTi" w:eastAsia="KaiTi" w:hAnsi="KaiTi" w:cs="KaiTi"/>
              <w:spacing w:val="-44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3"/>
            </w:rPr>
            <w:t>-</w:t>
          </w:r>
          <w:r>
            <w:rPr>
              <w:spacing w:val="4"/>
            </w:rPr>
            <w:t xml:space="preserve"> </w:t>
          </w:r>
          <w:hyperlink w:anchor="bookmark50" w:history="1">
            <w:r>
              <w:rPr>
                <w:spacing w:val="-3"/>
              </w:rPr>
              <w:t>20</w:t>
            </w:r>
          </w:hyperlink>
          <w:r>
            <w:rPr>
              <w:spacing w:val="9"/>
            </w:rPr>
            <w:t xml:space="preserve"> </w:t>
          </w:r>
          <w:r>
            <w:rPr>
              <w:spacing w:val="-3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4" w:line="218" w:lineRule="auto"/>
            <w:ind w:left="2578"/>
          </w:pPr>
          <w:r>
            <w:rPr>
              <w:rFonts w:ascii="KaiTi" w:eastAsia="KaiTi" w:hAnsi="KaiTi" w:cs="KaiTi"/>
              <w:spacing w:val="-2"/>
            </w:rPr>
            <w:t>图</w:t>
          </w:r>
          <w:r>
            <w:rPr>
              <w:rFonts w:ascii="KaiTi" w:eastAsia="KaiTi" w:hAnsi="KaiTi" w:cs="KaiTi"/>
              <w:spacing w:val="-33"/>
            </w:rPr>
            <w:t xml:space="preserve"> </w:t>
          </w:r>
          <w:r>
            <w:rPr>
              <w:spacing w:val="-2"/>
            </w:rPr>
            <w:t>36</w:t>
          </w:r>
          <w:r>
            <w:rPr>
              <w:rFonts w:ascii="KaiTi" w:eastAsia="KaiTi" w:hAnsi="KaiTi" w:cs="KaiTi"/>
              <w:spacing w:val="-2"/>
            </w:rPr>
            <w:t>、纳斯达克提供贯穿全交易生命周期的解决方案</w:t>
          </w:r>
          <w:r>
            <w:rPr>
              <w:rFonts w:ascii="KaiTi" w:eastAsia="KaiTi" w:hAnsi="KaiTi" w:cs="KaiTi"/>
              <w:spacing w:val="-87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3"/>
            </w:rPr>
            <w:t>-</w:t>
          </w:r>
          <w:r>
            <w:rPr>
              <w:spacing w:val="4"/>
            </w:rPr>
            <w:t xml:space="preserve"> </w:t>
          </w:r>
          <w:hyperlink w:anchor="bookmark51" w:history="1">
            <w:r>
              <w:rPr>
                <w:spacing w:val="-3"/>
              </w:rPr>
              <w:t>21</w:t>
            </w:r>
          </w:hyperlink>
          <w:r>
            <w:rPr>
              <w:spacing w:val="9"/>
            </w:rPr>
            <w:t xml:space="preserve"> </w:t>
          </w:r>
          <w:r>
            <w:rPr>
              <w:spacing w:val="-3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4" w:line="216" w:lineRule="auto"/>
            <w:ind w:left="2578"/>
          </w:pPr>
          <w:r>
            <w:rPr>
              <w:rFonts w:ascii="KaiTi" w:eastAsia="KaiTi" w:hAnsi="KaiTi" w:cs="KaiTi"/>
              <w:spacing w:val="-3"/>
            </w:rPr>
            <w:t>图</w:t>
          </w:r>
          <w:r>
            <w:rPr>
              <w:rFonts w:ascii="KaiTi" w:eastAsia="KaiTi" w:hAnsi="KaiTi" w:cs="KaiTi"/>
              <w:spacing w:val="-27"/>
            </w:rPr>
            <w:t xml:space="preserve"> </w:t>
          </w:r>
          <w:r>
            <w:rPr>
              <w:spacing w:val="-3"/>
            </w:rPr>
            <w:t>37</w:t>
          </w:r>
          <w:r>
            <w:rPr>
              <w:spacing w:val="-29"/>
            </w:rPr>
            <w:t xml:space="preserve"> </w:t>
          </w:r>
          <w:r>
            <w:rPr>
              <w:rFonts w:ascii="KaiTi" w:eastAsia="KaiTi" w:hAnsi="KaiTi" w:cs="KaiTi"/>
              <w:spacing w:val="-3"/>
            </w:rPr>
            <w:t>、</w:t>
          </w:r>
          <w:r>
            <w:rPr>
              <w:spacing w:val="-3"/>
            </w:rPr>
            <w:t xml:space="preserve">Adenza </w:t>
          </w:r>
          <w:r>
            <w:rPr>
              <w:rFonts w:ascii="KaiTi" w:eastAsia="KaiTi" w:hAnsi="KaiTi" w:cs="KaiTi"/>
              <w:spacing w:val="-3"/>
            </w:rPr>
            <w:t>提供前后台全流程风险管理能力</w:t>
          </w:r>
          <w:r>
            <w:rPr>
              <w:rFonts w:ascii="KaiTi" w:eastAsia="KaiTi" w:hAnsi="KaiTi" w:cs="KaiTi"/>
              <w:spacing w:val="-52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3"/>
            </w:rPr>
            <w:t>-</w:t>
          </w:r>
          <w:r>
            <w:rPr>
              <w:spacing w:val="4"/>
            </w:rPr>
            <w:t xml:space="preserve"> </w:t>
          </w:r>
          <w:hyperlink w:anchor="bookmark52" w:history="1">
            <w:r>
              <w:rPr>
                <w:spacing w:val="-3"/>
              </w:rPr>
              <w:t>22</w:t>
            </w:r>
          </w:hyperlink>
          <w:r>
            <w:rPr>
              <w:spacing w:val="9"/>
            </w:rPr>
            <w:t xml:space="preserve"> </w:t>
          </w:r>
          <w:r>
            <w:rPr>
              <w:spacing w:val="-3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8" w:line="216" w:lineRule="auto"/>
            <w:ind w:left="2578"/>
          </w:pPr>
          <w:r>
            <w:rPr>
              <w:rFonts w:ascii="KaiTi" w:eastAsia="KaiTi" w:hAnsi="KaiTi" w:cs="KaiTi"/>
              <w:spacing w:val="-2"/>
            </w:rPr>
            <w:t>图</w:t>
          </w:r>
          <w:r>
            <w:rPr>
              <w:rFonts w:ascii="KaiTi" w:eastAsia="KaiTi" w:hAnsi="KaiTi" w:cs="KaiTi"/>
              <w:spacing w:val="-37"/>
            </w:rPr>
            <w:t xml:space="preserve"> </w:t>
          </w:r>
          <w:r>
            <w:rPr>
              <w:spacing w:val="-2"/>
            </w:rPr>
            <w:t>38</w:t>
          </w:r>
          <w:r>
            <w:rPr>
              <w:rFonts w:ascii="KaiTi" w:eastAsia="KaiTi" w:hAnsi="KaiTi" w:cs="KaiTi"/>
              <w:spacing w:val="-2"/>
            </w:rPr>
            <w:t>、纳斯达克提供多元化反金融犯罪产品服务</w:t>
          </w:r>
          <w:r>
            <w:rPr>
              <w:rFonts w:ascii="KaiTi" w:eastAsia="KaiTi" w:hAnsi="KaiTi" w:cs="KaiTi"/>
              <w:spacing w:val="-90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3"/>
            </w:rPr>
            <w:t>-</w:t>
          </w:r>
          <w:r>
            <w:rPr>
              <w:spacing w:val="4"/>
            </w:rPr>
            <w:t xml:space="preserve"> </w:t>
          </w:r>
          <w:hyperlink w:anchor="bookmark53" w:history="1">
            <w:r>
              <w:rPr>
                <w:spacing w:val="-3"/>
              </w:rPr>
              <w:t>22</w:t>
            </w:r>
          </w:hyperlink>
          <w:r>
            <w:rPr>
              <w:spacing w:val="9"/>
            </w:rPr>
            <w:t xml:space="preserve"> </w:t>
          </w:r>
          <w:r>
            <w:rPr>
              <w:spacing w:val="-3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5" w:line="216" w:lineRule="auto"/>
            <w:ind w:left="2578"/>
          </w:pPr>
          <w:r>
            <w:rPr>
              <w:rFonts w:ascii="KaiTi" w:eastAsia="KaiTi" w:hAnsi="KaiTi" w:cs="KaiTi"/>
              <w:spacing w:val="-3"/>
            </w:rPr>
            <w:t>图</w:t>
          </w:r>
          <w:r>
            <w:rPr>
              <w:rFonts w:ascii="KaiTi" w:eastAsia="KaiTi" w:hAnsi="KaiTi" w:cs="KaiTi"/>
              <w:spacing w:val="-36"/>
            </w:rPr>
            <w:t xml:space="preserve"> </w:t>
          </w:r>
          <w:r>
            <w:rPr>
              <w:spacing w:val="-3"/>
            </w:rPr>
            <w:t>39</w:t>
          </w:r>
          <w:r>
            <w:rPr>
              <w:rFonts w:ascii="KaiTi" w:eastAsia="KaiTi" w:hAnsi="KaiTi" w:cs="KaiTi"/>
              <w:spacing w:val="-3"/>
            </w:rPr>
            <w:t>、美国</w:t>
          </w:r>
          <w:r>
            <w:rPr>
              <w:rFonts w:ascii="KaiTi" w:eastAsia="KaiTi" w:hAnsi="KaiTi" w:cs="KaiTi"/>
              <w:spacing w:val="-47"/>
            </w:rPr>
            <w:t xml:space="preserve"> </w:t>
          </w:r>
          <w:r>
            <w:rPr>
              <w:spacing w:val="-3"/>
            </w:rPr>
            <w:t>GDP</w:t>
          </w:r>
          <w:r>
            <w:rPr>
              <w:spacing w:val="23"/>
              <w:w w:val="101"/>
            </w:rPr>
            <w:t xml:space="preserve"> </w:t>
          </w:r>
          <w:r>
            <w:rPr>
              <w:rFonts w:ascii="KaiTi" w:eastAsia="KaiTi" w:hAnsi="KaiTi" w:cs="KaiTi"/>
              <w:spacing w:val="-3"/>
            </w:rPr>
            <w:t>以制造、金融地产和服务业为主导</w:t>
          </w:r>
          <w:r>
            <w:rPr>
              <w:rFonts w:ascii="KaiTi" w:eastAsia="KaiTi" w:hAnsi="KaiTi" w:cs="KaiTi"/>
              <w:spacing w:val="-91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3"/>
            </w:rPr>
            <w:t>-</w:t>
          </w:r>
          <w:r>
            <w:rPr>
              <w:spacing w:val="4"/>
            </w:rPr>
            <w:t xml:space="preserve"> </w:t>
          </w:r>
          <w:hyperlink w:anchor="bookmark54" w:history="1">
            <w:r>
              <w:rPr>
                <w:spacing w:val="-3"/>
              </w:rPr>
              <w:t>23</w:t>
            </w:r>
          </w:hyperlink>
          <w:r>
            <w:rPr>
              <w:spacing w:val="9"/>
            </w:rPr>
            <w:t xml:space="preserve"> </w:t>
          </w:r>
          <w:r>
            <w:rPr>
              <w:spacing w:val="-3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8" w:line="219" w:lineRule="auto"/>
            <w:ind w:left="2578"/>
          </w:pPr>
          <w:r>
            <w:rPr>
              <w:rFonts w:ascii="KaiTi" w:eastAsia="KaiTi" w:hAnsi="KaiTi" w:cs="KaiTi"/>
              <w:spacing w:val="-3"/>
            </w:rPr>
            <w:t>图</w:t>
          </w:r>
          <w:r>
            <w:rPr>
              <w:rFonts w:ascii="KaiTi" w:eastAsia="KaiTi" w:hAnsi="KaiTi" w:cs="KaiTi"/>
              <w:spacing w:val="-46"/>
            </w:rPr>
            <w:t xml:space="preserve"> </w:t>
          </w:r>
          <w:r>
            <w:rPr>
              <w:spacing w:val="-3"/>
            </w:rPr>
            <w:t>40</w:t>
          </w:r>
          <w:r>
            <w:rPr>
              <w:rFonts w:ascii="KaiTi" w:eastAsia="KaiTi" w:hAnsi="KaiTi" w:cs="KaiTi"/>
              <w:spacing w:val="-3"/>
            </w:rPr>
            <w:t>、美国上市公司行业分布与</w:t>
          </w:r>
          <w:r>
            <w:rPr>
              <w:rFonts w:ascii="KaiTi" w:eastAsia="KaiTi" w:hAnsi="KaiTi" w:cs="KaiTi"/>
              <w:spacing w:val="-45"/>
            </w:rPr>
            <w:t xml:space="preserve"> </w:t>
          </w:r>
          <w:r>
            <w:rPr>
              <w:spacing w:val="-3"/>
            </w:rPr>
            <w:t>GDP</w:t>
          </w:r>
          <w:r>
            <w:rPr>
              <w:spacing w:val="23"/>
            </w:rPr>
            <w:t xml:space="preserve"> </w:t>
          </w:r>
          <w:r>
            <w:rPr>
              <w:rFonts w:ascii="KaiTi" w:eastAsia="KaiTi" w:hAnsi="KaiTi" w:cs="KaiTi"/>
              <w:spacing w:val="-3"/>
            </w:rPr>
            <w:t>大致相符</w:t>
          </w:r>
          <w:r>
            <w:rPr>
              <w:rFonts w:ascii="KaiTi" w:eastAsia="KaiTi" w:hAnsi="KaiTi" w:cs="KaiTi"/>
              <w:spacing w:val="-90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3"/>
            </w:rPr>
            <w:t>-</w:t>
          </w:r>
          <w:r>
            <w:rPr>
              <w:spacing w:val="4"/>
            </w:rPr>
            <w:t xml:space="preserve"> </w:t>
          </w:r>
          <w:hyperlink w:anchor="bookmark55" w:history="1">
            <w:r>
              <w:rPr>
                <w:spacing w:val="-3"/>
              </w:rPr>
              <w:t>24</w:t>
            </w:r>
          </w:hyperlink>
          <w:r>
            <w:rPr>
              <w:spacing w:val="9"/>
            </w:rPr>
            <w:t xml:space="preserve"> </w:t>
          </w:r>
          <w:r>
            <w:rPr>
              <w:spacing w:val="-3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2" w:line="220" w:lineRule="auto"/>
            <w:ind w:left="2578"/>
          </w:pPr>
          <w:r>
            <w:rPr>
              <w:rFonts w:ascii="KaiTi" w:eastAsia="KaiTi" w:hAnsi="KaiTi" w:cs="KaiTi"/>
              <w:spacing w:val="-4"/>
            </w:rPr>
            <w:t>图</w:t>
          </w:r>
          <w:r>
            <w:rPr>
              <w:rFonts w:ascii="KaiTi" w:eastAsia="KaiTi" w:hAnsi="KaiTi" w:cs="KaiTi"/>
              <w:spacing w:val="-40"/>
            </w:rPr>
            <w:t xml:space="preserve"> </w:t>
          </w:r>
          <w:r>
            <w:rPr>
              <w:spacing w:val="-4"/>
            </w:rPr>
            <w:t>41</w:t>
          </w:r>
          <w:r>
            <w:rPr>
              <w:spacing w:val="-30"/>
            </w:rPr>
            <w:t xml:space="preserve"> </w:t>
          </w:r>
          <w:r>
            <w:rPr>
              <w:rFonts w:ascii="KaiTi" w:eastAsia="KaiTi" w:hAnsi="KaiTi" w:cs="KaiTi"/>
              <w:spacing w:val="-4"/>
            </w:rPr>
            <w:t>、信息技术行业市值不断扩张</w:t>
          </w:r>
          <w:r>
            <w:rPr>
              <w:rFonts w:ascii="KaiTi" w:eastAsia="KaiTi" w:hAnsi="KaiTi" w:cs="KaiTi"/>
              <w:spacing w:val="-44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3"/>
            </w:rPr>
            <w:t>-</w:t>
          </w:r>
          <w:r>
            <w:rPr>
              <w:spacing w:val="4"/>
            </w:rPr>
            <w:t xml:space="preserve"> </w:t>
          </w:r>
          <w:hyperlink w:anchor="bookmark56" w:history="1">
            <w:r>
              <w:rPr>
                <w:spacing w:val="-3"/>
              </w:rPr>
              <w:t>24</w:t>
            </w:r>
          </w:hyperlink>
          <w:r>
            <w:rPr>
              <w:spacing w:val="9"/>
            </w:rPr>
            <w:t xml:space="preserve"> </w:t>
          </w:r>
          <w:r>
            <w:rPr>
              <w:spacing w:val="-3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4" w:line="220" w:lineRule="auto"/>
            <w:ind w:left="2578"/>
          </w:pPr>
          <w:r>
            <w:rPr>
              <w:rFonts w:ascii="KaiTi" w:eastAsia="KaiTi" w:hAnsi="KaiTi" w:cs="KaiTi"/>
              <w:spacing w:val="-2"/>
            </w:rPr>
            <w:t>图</w:t>
          </w:r>
          <w:r>
            <w:rPr>
              <w:rFonts w:ascii="KaiTi" w:eastAsia="KaiTi" w:hAnsi="KaiTi" w:cs="KaiTi"/>
              <w:spacing w:val="-37"/>
            </w:rPr>
            <w:t xml:space="preserve"> </w:t>
          </w:r>
          <w:r>
            <w:rPr>
              <w:spacing w:val="-2"/>
            </w:rPr>
            <w:t>42</w:t>
          </w:r>
          <w:r>
            <w:rPr>
              <w:rFonts w:ascii="KaiTi" w:eastAsia="KaiTi" w:hAnsi="KaiTi" w:cs="KaiTi"/>
              <w:spacing w:val="-2"/>
            </w:rPr>
            <w:t>、众多科技行业明星公司选择纳斯达克上市</w:t>
          </w:r>
          <w:r>
            <w:rPr>
              <w:rFonts w:ascii="KaiTi" w:eastAsia="KaiTi" w:hAnsi="KaiTi" w:cs="KaiTi"/>
              <w:spacing w:val="-90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3"/>
            </w:rPr>
            <w:t>-</w:t>
          </w:r>
          <w:r>
            <w:rPr>
              <w:spacing w:val="4"/>
            </w:rPr>
            <w:t xml:space="preserve"> </w:t>
          </w:r>
          <w:hyperlink w:anchor="bookmark57" w:history="1">
            <w:r>
              <w:rPr>
                <w:spacing w:val="-3"/>
              </w:rPr>
              <w:t>25</w:t>
            </w:r>
          </w:hyperlink>
          <w:r>
            <w:rPr>
              <w:spacing w:val="9"/>
            </w:rPr>
            <w:t xml:space="preserve"> </w:t>
          </w:r>
          <w:r>
            <w:rPr>
              <w:spacing w:val="-3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1" w:line="216" w:lineRule="auto"/>
            <w:ind w:left="2578"/>
          </w:pPr>
          <w:r>
            <w:rPr>
              <w:rFonts w:ascii="KaiTi" w:eastAsia="KaiTi" w:hAnsi="KaiTi" w:cs="KaiTi"/>
              <w:spacing w:val="-2"/>
            </w:rPr>
            <w:t>图</w:t>
          </w:r>
          <w:r>
            <w:rPr>
              <w:rFonts w:ascii="KaiTi" w:eastAsia="KaiTi" w:hAnsi="KaiTi" w:cs="KaiTi"/>
              <w:spacing w:val="-45"/>
            </w:rPr>
            <w:t xml:space="preserve"> </w:t>
          </w:r>
          <w:r>
            <w:rPr>
              <w:spacing w:val="-2"/>
            </w:rPr>
            <w:t>43</w:t>
          </w:r>
          <w:r>
            <w:rPr>
              <w:rFonts w:ascii="KaiTi" w:eastAsia="KaiTi" w:hAnsi="KaiTi" w:cs="KaiTi"/>
              <w:spacing w:val="-2"/>
            </w:rPr>
            <w:t>、三大板块面向不同层次上市公司</w:t>
          </w:r>
          <w:r>
            <w:rPr>
              <w:rFonts w:ascii="KaiTi" w:eastAsia="KaiTi" w:hAnsi="KaiTi" w:cs="KaiTi"/>
              <w:spacing w:val="-42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3"/>
            </w:rPr>
            <w:t>-</w:t>
          </w:r>
          <w:r>
            <w:rPr>
              <w:spacing w:val="4"/>
            </w:rPr>
            <w:t xml:space="preserve"> </w:t>
          </w:r>
          <w:hyperlink w:anchor="bookmark58" w:history="1">
            <w:r>
              <w:rPr>
                <w:spacing w:val="-3"/>
              </w:rPr>
              <w:t>26</w:t>
            </w:r>
          </w:hyperlink>
          <w:r>
            <w:rPr>
              <w:spacing w:val="9"/>
            </w:rPr>
            <w:t xml:space="preserve"> </w:t>
          </w:r>
          <w:r>
            <w:rPr>
              <w:spacing w:val="-3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8" w:line="216" w:lineRule="auto"/>
            <w:ind w:left="2578"/>
          </w:pPr>
          <w:r>
            <w:rPr>
              <w:rFonts w:ascii="KaiTi" w:eastAsia="KaiTi" w:hAnsi="KaiTi" w:cs="KaiTi"/>
              <w:spacing w:val="-1"/>
            </w:rPr>
            <w:t>图</w:t>
          </w:r>
          <w:r>
            <w:rPr>
              <w:rFonts w:ascii="KaiTi" w:eastAsia="KaiTi" w:hAnsi="KaiTi" w:cs="KaiTi"/>
              <w:spacing w:val="-48"/>
            </w:rPr>
            <w:t xml:space="preserve"> </w:t>
          </w:r>
          <w:r>
            <w:rPr>
              <w:spacing w:val="-1"/>
            </w:rPr>
            <w:t>44</w:t>
          </w:r>
          <w:r>
            <w:rPr>
              <w:rFonts w:ascii="KaiTi" w:eastAsia="KaiTi" w:hAnsi="KaiTi" w:cs="KaiTi"/>
              <w:spacing w:val="-1"/>
            </w:rPr>
            <w:t>、截至</w:t>
          </w:r>
          <w:r>
            <w:rPr>
              <w:rFonts w:ascii="KaiTi" w:eastAsia="KaiTi" w:hAnsi="KaiTi" w:cs="KaiTi"/>
              <w:spacing w:val="-48"/>
            </w:rPr>
            <w:t xml:space="preserve"> </w:t>
          </w:r>
          <w:r>
            <w:rPr>
              <w:spacing w:val="-1"/>
            </w:rPr>
            <w:t xml:space="preserve">2022 </w:t>
          </w:r>
          <w:r>
            <w:rPr>
              <w:rFonts w:ascii="KaiTi" w:eastAsia="KaiTi" w:hAnsi="KaiTi" w:cs="KaiTi"/>
              <w:spacing w:val="-1"/>
            </w:rPr>
            <w:t>年底三大板块上市公司</w:t>
          </w:r>
          <w:r>
            <w:rPr>
              <w:rFonts w:ascii="KaiTi" w:eastAsia="KaiTi" w:hAnsi="KaiTi" w:cs="KaiTi"/>
              <w:spacing w:val="-2"/>
            </w:rPr>
            <w:t>数合计</w:t>
          </w:r>
          <w:r>
            <w:rPr>
              <w:rFonts w:ascii="KaiTi" w:eastAsia="KaiTi" w:hAnsi="KaiTi" w:cs="KaiTi"/>
              <w:spacing w:val="-49"/>
            </w:rPr>
            <w:t xml:space="preserve"> </w:t>
          </w:r>
          <w:r>
            <w:rPr>
              <w:spacing w:val="-2"/>
            </w:rPr>
            <w:t xml:space="preserve">4000 </w:t>
          </w:r>
          <w:r>
            <w:rPr>
              <w:rFonts w:ascii="KaiTi" w:eastAsia="KaiTi" w:hAnsi="KaiTi" w:cs="KaiTi"/>
              <w:spacing w:val="-2"/>
            </w:rPr>
            <w:t>余家</w:t>
          </w:r>
          <w:r>
            <w:rPr>
              <w:rFonts w:ascii="KaiTi" w:eastAsia="KaiTi" w:hAnsi="KaiTi" w:cs="KaiTi"/>
              <w:spacing w:val="-85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3"/>
            </w:rPr>
            <w:t>-</w:t>
          </w:r>
          <w:r>
            <w:rPr>
              <w:spacing w:val="4"/>
            </w:rPr>
            <w:t xml:space="preserve"> </w:t>
          </w:r>
          <w:hyperlink w:anchor="bookmark59" w:history="1">
            <w:r>
              <w:rPr>
                <w:spacing w:val="-3"/>
              </w:rPr>
              <w:t>26</w:t>
            </w:r>
          </w:hyperlink>
          <w:r>
            <w:rPr>
              <w:spacing w:val="9"/>
            </w:rPr>
            <w:t xml:space="preserve"> </w:t>
          </w:r>
          <w:r>
            <w:rPr>
              <w:spacing w:val="-3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6" w:line="221" w:lineRule="auto"/>
            <w:ind w:left="2578"/>
          </w:pPr>
          <w:r>
            <w:rPr>
              <w:rFonts w:ascii="KaiTi" w:eastAsia="KaiTi" w:hAnsi="KaiTi" w:cs="KaiTi"/>
              <w:spacing w:val="-2"/>
            </w:rPr>
            <w:t>图</w:t>
          </w:r>
          <w:r>
            <w:rPr>
              <w:rFonts w:ascii="KaiTi" w:eastAsia="KaiTi" w:hAnsi="KaiTi" w:cs="KaiTi"/>
              <w:spacing w:val="-49"/>
            </w:rPr>
            <w:t xml:space="preserve"> </w:t>
          </w:r>
          <w:r>
            <w:rPr>
              <w:spacing w:val="-2"/>
            </w:rPr>
            <w:t>45</w:t>
          </w:r>
          <w:r>
            <w:rPr>
              <w:rFonts w:ascii="KaiTi" w:eastAsia="KaiTi" w:hAnsi="KaiTi" w:cs="KaiTi"/>
              <w:spacing w:val="-2"/>
            </w:rPr>
            <w:t>、纳斯达克通过返现吸引交易</w:t>
          </w:r>
          <w:r>
            <w:rPr>
              <w:rFonts w:ascii="KaiTi" w:eastAsia="KaiTi" w:hAnsi="KaiTi" w:cs="KaiTi"/>
              <w:spacing w:val="-45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3"/>
            </w:rPr>
            <w:t>-</w:t>
          </w:r>
          <w:r>
            <w:rPr>
              <w:spacing w:val="4"/>
            </w:rPr>
            <w:t xml:space="preserve"> </w:t>
          </w:r>
          <w:hyperlink w:anchor="bookmark60" w:history="1">
            <w:r>
              <w:rPr>
                <w:spacing w:val="-3"/>
              </w:rPr>
              <w:t>27</w:t>
            </w:r>
          </w:hyperlink>
          <w:r>
            <w:rPr>
              <w:spacing w:val="9"/>
            </w:rPr>
            <w:t xml:space="preserve"> </w:t>
          </w:r>
          <w:r>
            <w:rPr>
              <w:spacing w:val="-3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2" w:line="217" w:lineRule="auto"/>
            <w:ind w:left="2578"/>
          </w:pPr>
          <w:r>
            <w:rPr>
              <w:rFonts w:ascii="KaiTi" w:eastAsia="KaiTi" w:hAnsi="KaiTi" w:cs="KaiTi"/>
              <w:spacing w:val="-3"/>
            </w:rPr>
            <w:t>图</w:t>
          </w:r>
          <w:r>
            <w:rPr>
              <w:rFonts w:ascii="KaiTi" w:eastAsia="KaiTi" w:hAnsi="KaiTi" w:cs="KaiTi"/>
              <w:spacing w:val="-47"/>
            </w:rPr>
            <w:t xml:space="preserve"> </w:t>
          </w:r>
          <w:r>
            <w:rPr>
              <w:spacing w:val="-3"/>
            </w:rPr>
            <w:t>46</w:t>
          </w:r>
          <w:r>
            <w:rPr>
              <w:spacing w:val="-29"/>
            </w:rPr>
            <w:t xml:space="preserve"> </w:t>
          </w:r>
          <w:r>
            <w:rPr>
              <w:rFonts w:ascii="KaiTi" w:eastAsia="KaiTi" w:hAnsi="KaiTi" w:cs="KaiTi"/>
              <w:spacing w:val="-3"/>
            </w:rPr>
            <w:t>、</w:t>
          </w:r>
          <w:r>
            <w:rPr>
              <w:spacing w:val="-3"/>
            </w:rPr>
            <w:t xml:space="preserve">ECN </w:t>
          </w:r>
          <w:r>
            <w:rPr>
              <w:rFonts w:ascii="KaiTi" w:eastAsia="KaiTi" w:hAnsi="KaiTi" w:cs="KaiTi"/>
              <w:spacing w:val="-3"/>
            </w:rPr>
            <w:t>在</w:t>
          </w:r>
          <w:r>
            <w:rPr>
              <w:rFonts w:ascii="KaiTi" w:eastAsia="KaiTi" w:hAnsi="KaiTi" w:cs="KaiTi"/>
              <w:spacing w:val="-3"/>
            </w:rPr>
            <w:t xml:space="preserve"> </w:t>
          </w:r>
          <w:r>
            <w:rPr>
              <w:spacing w:val="-3"/>
            </w:rPr>
            <w:t>NASDAQ</w:t>
          </w:r>
          <w:r>
            <w:rPr>
              <w:spacing w:val="19"/>
              <w:w w:val="101"/>
            </w:rPr>
            <w:t xml:space="preserve"> </w:t>
          </w:r>
          <w:r>
            <w:rPr>
              <w:rFonts w:ascii="KaiTi" w:eastAsia="KaiTi" w:hAnsi="KaiTi" w:cs="KaiTi"/>
              <w:spacing w:val="-3"/>
            </w:rPr>
            <w:t>的市场份额高速增长</w:t>
          </w:r>
          <w:r>
            <w:rPr>
              <w:rFonts w:ascii="KaiTi" w:eastAsia="KaiTi" w:hAnsi="KaiTi" w:cs="KaiTi"/>
              <w:spacing w:val="-76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3"/>
            </w:rPr>
            <w:t>-</w:t>
          </w:r>
          <w:r>
            <w:rPr>
              <w:spacing w:val="4"/>
            </w:rPr>
            <w:t xml:space="preserve"> </w:t>
          </w:r>
          <w:hyperlink w:anchor="bookmark61" w:history="1">
            <w:r>
              <w:rPr>
                <w:spacing w:val="-3"/>
              </w:rPr>
              <w:t>29</w:t>
            </w:r>
          </w:hyperlink>
          <w:r>
            <w:rPr>
              <w:spacing w:val="9"/>
            </w:rPr>
            <w:t xml:space="preserve"> </w:t>
          </w:r>
          <w:r>
            <w:rPr>
              <w:spacing w:val="-3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3" w:line="218" w:lineRule="auto"/>
            <w:ind w:left="2578"/>
          </w:pPr>
          <w:r>
            <w:rPr>
              <w:rFonts w:ascii="KaiTi" w:eastAsia="KaiTi" w:hAnsi="KaiTi" w:cs="KaiTi"/>
              <w:spacing w:val="-2"/>
            </w:rPr>
            <w:t>图</w:t>
          </w:r>
          <w:r>
            <w:rPr>
              <w:rFonts w:ascii="KaiTi" w:eastAsia="KaiTi" w:hAnsi="KaiTi" w:cs="KaiTi"/>
              <w:spacing w:val="-43"/>
            </w:rPr>
            <w:t xml:space="preserve"> </w:t>
          </w:r>
          <w:r>
            <w:rPr>
              <w:spacing w:val="-2"/>
            </w:rPr>
            <w:t>47</w:t>
          </w:r>
          <w:r>
            <w:rPr>
              <w:spacing w:val="-30"/>
            </w:rPr>
            <w:t xml:space="preserve"> </w:t>
          </w:r>
          <w:r>
            <w:rPr>
              <w:rFonts w:ascii="KaiTi" w:eastAsia="KaiTi" w:hAnsi="KaiTi" w:cs="KaiTi"/>
              <w:spacing w:val="-2"/>
            </w:rPr>
            <w:t>、</w:t>
          </w:r>
          <w:r>
            <w:rPr>
              <w:spacing w:val="-2"/>
            </w:rPr>
            <w:t xml:space="preserve">2017 </w:t>
          </w:r>
          <w:r>
            <w:rPr>
              <w:rFonts w:ascii="KaiTi" w:eastAsia="KaiTi" w:hAnsi="KaiTi" w:cs="KaiTi"/>
              <w:spacing w:val="-2"/>
            </w:rPr>
            <w:t>年以来科技相关业务成为公司增长主要驱动力</w:t>
          </w:r>
          <w:r>
            <w:rPr>
              <w:rFonts w:ascii="KaiTi" w:eastAsia="KaiTi" w:hAnsi="KaiTi" w:cs="KaiTi"/>
              <w:spacing w:val="-87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4"/>
            </w:rPr>
            <w:t>-</w:t>
          </w:r>
          <w:r>
            <w:rPr>
              <w:spacing w:val="8"/>
            </w:rPr>
            <w:t xml:space="preserve"> </w:t>
          </w:r>
          <w:hyperlink w:anchor="bookmark62" w:history="1">
            <w:r>
              <w:rPr>
                <w:spacing w:val="-4"/>
              </w:rPr>
              <w:t>31</w:t>
            </w:r>
          </w:hyperlink>
          <w:r>
            <w:rPr>
              <w:spacing w:val="9"/>
            </w:rPr>
            <w:t xml:space="preserve"> </w:t>
          </w:r>
          <w:r>
            <w:rPr>
              <w:spacing w:val="-4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4" w:line="218" w:lineRule="auto"/>
            <w:ind w:left="2578"/>
          </w:pPr>
          <w:r>
            <w:rPr>
              <w:rFonts w:ascii="KaiTi" w:eastAsia="KaiTi" w:hAnsi="KaiTi" w:cs="KaiTi"/>
              <w:spacing w:val="-3"/>
            </w:rPr>
            <w:t>图</w:t>
          </w:r>
          <w:r>
            <w:rPr>
              <w:rFonts w:ascii="KaiTi" w:eastAsia="KaiTi" w:hAnsi="KaiTi" w:cs="KaiTi"/>
              <w:spacing w:val="-39"/>
            </w:rPr>
            <w:t xml:space="preserve"> </w:t>
          </w:r>
          <w:r>
            <w:rPr>
              <w:spacing w:val="-3"/>
            </w:rPr>
            <w:t>48</w:t>
          </w:r>
          <w:r>
            <w:rPr>
              <w:rFonts w:ascii="KaiTi" w:eastAsia="KaiTi" w:hAnsi="KaiTi" w:cs="KaiTi"/>
              <w:spacing w:val="-3"/>
            </w:rPr>
            <w:t>、金融科技业务空间广阔</w:t>
          </w:r>
          <w:r>
            <w:rPr>
              <w:rFonts w:ascii="KaiTi" w:eastAsia="KaiTi" w:hAnsi="KaiTi" w:cs="KaiTi"/>
              <w:spacing w:val="-47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4"/>
            </w:rPr>
            <w:t>-</w:t>
          </w:r>
          <w:r>
            <w:rPr>
              <w:spacing w:val="8"/>
            </w:rPr>
            <w:t xml:space="preserve"> </w:t>
          </w:r>
          <w:hyperlink w:anchor="bookmark63" w:history="1">
            <w:r>
              <w:rPr>
                <w:spacing w:val="-4"/>
              </w:rPr>
              <w:t>31</w:t>
            </w:r>
          </w:hyperlink>
          <w:r>
            <w:rPr>
              <w:spacing w:val="9"/>
            </w:rPr>
            <w:t xml:space="preserve"> </w:t>
          </w:r>
          <w:r>
            <w:rPr>
              <w:spacing w:val="-4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6" w:line="216" w:lineRule="auto"/>
            <w:ind w:left="2578"/>
          </w:pPr>
          <w:r>
            <w:rPr>
              <w:rFonts w:ascii="KaiTi" w:eastAsia="KaiTi" w:hAnsi="KaiTi" w:cs="KaiTi"/>
              <w:spacing w:val="-1"/>
            </w:rPr>
            <w:t>图</w:t>
          </w:r>
          <w:r>
            <w:rPr>
              <w:rFonts w:ascii="KaiTi" w:eastAsia="KaiTi" w:hAnsi="KaiTi" w:cs="KaiTi"/>
              <w:spacing w:val="-49"/>
            </w:rPr>
            <w:t xml:space="preserve"> </w:t>
          </w:r>
          <w:r>
            <w:rPr>
              <w:spacing w:val="-1"/>
            </w:rPr>
            <w:t>49</w:t>
          </w:r>
          <w:r>
            <w:rPr>
              <w:rFonts w:ascii="KaiTi" w:eastAsia="KaiTi" w:hAnsi="KaiTi" w:cs="KaiTi"/>
              <w:spacing w:val="-1"/>
            </w:rPr>
            <w:t>、纳斯达克构建面向各类机构客户的金融科技</w:t>
          </w:r>
          <w:r>
            <w:rPr>
              <w:rFonts w:ascii="KaiTi" w:eastAsia="KaiTi" w:hAnsi="KaiTi" w:cs="KaiTi"/>
              <w:spacing w:val="-2"/>
            </w:rPr>
            <w:t>服务体系</w:t>
          </w:r>
          <w:r>
            <w:rPr>
              <w:rFonts w:ascii="KaiTi" w:eastAsia="KaiTi" w:hAnsi="KaiTi" w:cs="KaiTi"/>
              <w:spacing w:val="-85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4"/>
            </w:rPr>
            <w:t>-</w:t>
          </w:r>
          <w:r>
            <w:rPr>
              <w:spacing w:val="8"/>
            </w:rPr>
            <w:t xml:space="preserve"> </w:t>
          </w:r>
          <w:hyperlink w:anchor="bookmark64" w:history="1">
            <w:r>
              <w:rPr>
                <w:spacing w:val="-4"/>
              </w:rPr>
              <w:t>32</w:t>
            </w:r>
          </w:hyperlink>
          <w:r>
            <w:rPr>
              <w:spacing w:val="9"/>
            </w:rPr>
            <w:t xml:space="preserve"> </w:t>
          </w:r>
          <w:r>
            <w:rPr>
              <w:spacing w:val="-4"/>
            </w:rPr>
            <w:t>-</w:t>
          </w:r>
        </w:p>
      </w:sdtContent>
    </w:sdt>
    <w:p>
      <w:pPr>
        <w:spacing w:line="429" w:lineRule="auto"/>
        <w:rPr>
          <w:rFonts w:ascii="Arial"/>
          <w:sz w:val="21"/>
        </w:rPr>
      </w:pPr>
    </w:p>
    <w:p>
      <w:pPr>
        <w:spacing w:before="91" w:line="219" w:lineRule="auto"/>
        <w:ind w:left="5818"/>
        <w:rPr>
          <w:rFonts w:ascii="KaiTi" w:eastAsia="KaiTi" w:hAnsi="KaiTi" w:cs="KaiTi"/>
          <w:sz w:val="28"/>
          <w:szCs w:val="28"/>
        </w:rPr>
      </w:pPr>
      <w:r>
        <w:rPr>
          <w:rFonts w:ascii="KaiTi" w:eastAsia="KaiTi" w:hAnsi="KaiTi" w:cs="KaiTi"/>
          <w:color w:val="333366"/>
          <w:spacing w:val="-1"/>
          <w:sz w:val="28"/>
          <w:szCs w:val="28"/>
          <w14:textOutline w14:w="5094">
            <w14:solidFill>
              <w14:srgbClr w14:val="333366"/>
            </w14:solidFill>
            <w14:prstDash w14:val="solid"/>
            <w14:miter w14:lim="10"/>
          </w14:textOutline>
        </w:rPr>
        <w:t>表目录</w:t>
      </w:r>
    </w:p>
    <w:p>
      <w:pPr>
        <w:spacing w:line="279" w:lineRule="auto"/>
        <w:rPr>
          <w:rFonts w:ascii="Arial"/>
          <w:sz w:val="21"/>
        </w:rPr>
      </w:pPr>
    </w:p>
    <w:sdt>
      <w:sdtPr>
        <w:rPr>
          <w:rFonts w:ascii="KaiTi" w:eastAsia="KaiTi" w:hAnsi="KaiTi" w:cs="KaiTi"/>
          <w:sz w:val="21"/>
          <w:szCs w:val="21"/>
        </w:rPr>
        <w:id w:val="1815622213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sz w:val="21"/>
          <w:szCs w:val="21"/>
        </w:rPr>
      </w:sdtEndPr>
      <w:sdtContent>
        <w:p>
          <w:pPr>
            <w:pStyle w:val="BodyText"/>
            <w:tabs>
              <w:tab w:val="right" w:leader="dot" w:pos="9912"/>
            </w:tabs>
            <w:spacing w:before="69" w:line="216" w:lineRule="auto"/>
            <w:ind w:left="2552"/>
          </w:pPr>
          <w:r>
            <w:rPr>
              <w:rFonts w:ascii="KaiTi" w:eastAsia="KaiTi" w:hAnsi="KaiTi" w:cs="KaiTi"/>
              <w:spacing w:val="-3"/>
            </w:rPr>
            <w:t>表</w:t>
          </w:r>
          <w:r>
            <w:rPr>
              <w:rFonts w:ascii="KaiTi" w:eastAsia="KaiTi" w:hAnsi="KaiTi" w:cs="KaiTi"/>
              <w:spacing w:val="-24"/>
            </w:rPr>
            <w:t xml:space="preserve"> </w:t>
          </w:r>
          <w:r>
            <w:rPr>
              <w:spacing w:val="-3"/>
            </w:rPr>
            <w:t>1</w:t>
          </w:r>
          <w:r>
            <w:rPr>
              <w:rFonts w:ascii="KaiTi" w:eastAsia="KaiTi" w:hAnsi="KaiTi" w:cs="KaiTi"/>
              <w:spacing w:val="-3"/>
            </w:rPr>
            <w:t>、纳斯达克管理层</w:t>
          </w:r>
          <w:r>
            <w:rPr>
              <w:rFonts w:ascii="KaiTi" w:eastAsia="KaiTi" w:hAnsi="KaiTi" w:cs="KaiTi"/>
              <w:spacing w:val="-52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5"/>
            </w:rPr>
            <w:t xml:space="preserve"> </w:t>
          </w:r>
          <w:r>
            <w:rPr>
              <w:spacing w:val="-6"/>
            </w:rPr>
            <w:t>-</w:t>
          </w:r>
          <w:r>
            <w:rPr>
              <w:spacing w:val="9"/>
            </w:rPr>
            <w:t xml:space="preserve"> </w:t>
          </w:r>
          <w:hyperlink w:anchor="bookmark65" w:history="1">
            <w:r>
              <w:rPr>
                <w:spacing w:val="-6"/>
              </w:rPr>
              <w:t>5</w:t>
            </w:r>
          </w:hyperlink>
          <w:r>
            <w:rPr>
              <w:spacing w:val="10"/>
            </w:rPr>
            <w:t xml:space="preserve"> </w:t>
          </w:r>
          <w:r>
            <w:rPr>
              <w:spacing w:val="-6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8" w:line="216" w:lineRule="auto"/>
            <w:ind w:left="2552"/>
          </w:pPr>
          <w:r>
            <w:rPr>
              <w:rFonts w:ascii="KaiTi" w:eastAsia="KaiTi" w:hAnsi="KaiTi" w:cs="KaiTi"/>
              <w:spacing w:val="-1"/>
            </w:rPr>
            <w:t>表</w:t>
          </w:r>
          <w:r>
            <w:rPr>
              <w:rFonts w:ascii="KaiTi" w:eastAsia="KaiTi" w:hAnsi="KaiTi" w:cs="KaiTi"/>
              <w:spacing w:val="-38"/>
            </w:rPr>
            <w:t xml:space="preserve"> </w:t>
          </w:r>
          <w:r>
            <w:rPr>
              <w:spacing w:val="-1"/>
            </w:rPr>
            <w:t>2</w:t>
          </w:r>
          <w:r>
            <w:rPr>
              <w:rFonts w:ascii="KaiTi" w:eastAsia="KaiTi" w:hAnsi="KaiTi" w:cs="KaiTi"/>
              <w:spacing w:val="-1"/>
            </w:rPr>
            <w:t>、公司多次发布股票回购计划</w:t>
          </w:r>
          <w:r>
            <w:rPr>
              <w:rFonts w:ascii="KaiTi" w:eastAsia="KaiTi" w:hAnsi="KaiTi" w:cs="KaiTi"/>
              <w:spacing w:val="-47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66" w:history="1">
            <w:r>
              <w:rPr>
                <w:spacing w:val="-8"/>
              </w:rPr>
              <w:t>10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2"/>
            </w:tabs>
            <w:spacing w:before="24" w:line="218" w:lineRule="auto"/>
            <w:ind w:left="2552"/>
          </w:pPr>
          <w:r>
            <w:rPr>
              <w:rFonts w:ascii="KaiTi" w:eastAsia="KaiTi" w:hAnsi="KaiTi" w:cs="KaiTi"/>
              <w:spacing w:val="-1"/>
            </w:rPr>
            <w:t>表</w:t>
          </w:r>
          <w:r>
            <w:rPr>
              <w:rFonts w:ascii="KaiTi" w:eastAsia="KaiTi" w:hAnsi="KaiTi" w:cs="KaiTi"/>
              <w:spacing w:val="-43"/>
            </w:rPr>
            <w:t xml:space="preserve"> </w:t>
          </w:r>
          <w:r>
            <w:rPr>
              <w:spacing w:val="-1"/>
            </w:rPr>
            <w:t>3</w:t>
          </w:r>
          <w:r>
            <w:rPr>
              <w:rFonts w:ascii="KaiTi" w:eastAsia="KaiTi" w:hAnsi="KaiTi" w:cs="KaiTi"/>
              <w:spacing w:val="-1"/>
            </w:rPr>
            <w:t>、公司业务分部</w:t>
          </w:r>
          <w:r>
            <w:rPr>
              <w:rFonts w:ascii="KaiTi" w:eastAsia="KaiTi" w:hAnsi="KaiTi" w:cs="KaiTi"/>
              <w:spacing w:val="-55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8"/>
            </w:rPr>
            <w:t>-</w:t>
          </w:r>
          <w:r>
            <w:rPr>
              <w:spacing w:val="24"/>
            </w:rPr>
            <w:t xml:space="preserve"> </w:t>
          </w:r>
          <w:hyperlink w:anchor="bookmark67" w:history="1">
            <w:r>
              <w:rPr>
                <w:spacing w:val="-8"/>
              </w:rPr>
              <w:t>10</w:t>
            </w:r>
          </w:hyperlink>
          <w:r>
            <w:rPr>
              <w:spacing w:val="9"/>
            </w:rPr>
            <w:t xml:space="preserve"> </w:t>
          </w:r>
          <w:r>
            <w:rPr>
              <w:spacing w:val="-8"/>
            </w:rPr>
            <w:t>-</w:t>
          </w:r>
        </w:p>
        <w:p>
          <w:pPr>
            <w:pStyle w:val="BodyText"/>
            <w:tabs>
              <w:tab w:val="right" w:leader="dot" w:pos="9915"/>
            </w:tabs>
            <w:spacing w:before="26" w:line="218" w:lineRule="auto"/>
            <w:ind w:left="2552"/>
          </w:pPr>
          <w:r>
            <w:rPr>
              <w:rFonts w:ascii="KaiTi" w:eastAsia="KaiTi" w:hAnsi="KaiTi" w:cs="KaiTi"/>
              <w:spacing w:val="-5"/>
            </w:rPr>
            <w:t>表</w:t>
          </w:r>
          <w:r>
            <w:rPr>
              <w:rFonts w:ascii="KaiTi" w:eastAsia="KaiTi" w:hAnsi="KaiTi" w:cs="KaiTi"/>
              <w:spacing w:val="-39"/>
            </w:rPr>
            <w:t xml:space="preserve"> </w:t>
          </w:r>
          <w:r>
            <w:rPr>
              <w:spacing w:val="-5"/>
            </w:rPr>
            <w:t>4</w:t>
          </w:r>
          <w:r>
            <w:rPr>
              <w:rFonts w:ascii="KaiTi" w:eastAsia="KaiTi" w:hAnsi="KaiTi" w:cs="KaiTi"/>
              <w:spacing w:val="-5"/>
            </w:rPr>
            <w:t>、解决方案业务成为纳斯达克收入主要来源（单位：</w:t>
          </w:r>
          <w:r>
            <w:rPr>
              <w:rFonts w:ascii="KaiTi" w:eastAsia="KaiTi" w:hAnsi="KaiTi" w:cs="KaiTi"/>
              <w:spacing w:val="34"/>
            </w:rPr>
            <w:t xml:space="preserve"> </w:t>
          </w:r>
          <w:r>
            <w:rPr>
              <w:rFonts w:ascii="KaiTi" w:eastAsia="KaiTi" w:hAnsi="KaiTi" w:cs="KaiTi"/>
              <w:spacing w:val="-5"/>
            </w:rPr>
            <w:t>百万美元）</w:t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75"/>
            </w:rPr>
            <w:t xml:space="preserve"> </w:t>
          </w:r>
          <w:r>
            <w:rPr>
              <w:spacing w:val="-10"/>
            </w:rPr>
            <w:t>-</w:t>
          </w:r>
          <w:r>
            <w:rPr>
              <w:spacing w:val="25"/>
            </w:rPr>
            <w:t xml:space="preserve"> </w:t>
          </w:r>
          <w:hyperlink w:anchor="bookmark68" w:history="1">
            <w:r>
              <w:rPr>
                <w:spacing w:val="-10"/>
              </w:rPr>
              <w:t>11</w:t>
            </w:r>
          </w:hyperlink>
          <w:r>
            <w:rPr>
              <w:spacing w:val="9"/>
            </w:rPr>
            <w:t xml:space="preserve"> </w:t>
          </w:r>
          <w:r>
            <w:rPr>
              <w:spacing w:val="-10"/>
            </w:rPr>
            <w:t>-</w:t>
          </w:r>
        </w:p>
        <w:p>
          <w:pPr>
            <w:pStyle w:val="BodyText"/>
            <w:tabs>
              <w:tab w:val="right" w:leader="dot" w:pos="9789"/>
            </w:tabs>
            <w:spacing w:before="24" w:line="218" w:lineRule="auto"/>
            <w:ind w:left="2552"/>
          </w:pPr>
          <w:r>
            <w:rPr>
              <w:rFonts w:ascii="KaiTi" w:eastAsia="KaiTi" w:hAnsi="KaiTi" w:cs="KaiTi"/>
              <w:spacing w:val="-1"/>
            </w:rPr>
            <w:t>表</w:t>
          </w:r>
          <w:r>
            <w:rPr>
              <w:rFonts w:ascii="KaiTi" w:eastAsia="KaiTi" w:hAnsi="KaiTi" w:cs="KaiTi"/>
              <w:spacing w:val="-36"/>
            </w:rPr>
            <w:t xml:space="preserve"> </w:t>
          </w:r>
          <w:r>
            <w:rPr>
              <w:spacing w:val="-1"/>
            </w:rPr>
            <w:t>5</w:t>
          </w:r>
          <w:r>
            <w:rPr>
              <w:rFonts w:ascii="KaiTi" w:eastAsia="KaiTi" w:hAnsi="KaiTi" w:cs="KaiTi"/>
              <w:spacing w:val="-1"/>
            </w:rPr>
            <w:t>、纳斯达克各版块上市收费标准</w:t>
          </w:r>
          <w:r>
            <w:rPr>
              <w:rFonts w:ascii="KaiTi" w:eastAsia="KaiTi" w:hAnsi="KaiTi" w:cs="KaiTi"/>
              <w:spacing w:val="-47"/>
            </w:rPr>
            <w:t xml:space="preserve"> </w:t>
          </w:r>
          <w:r>
            <w:rPr>
              <w:rFonts w:ascii="KaiTi" w:eastAsia="KaiTi" w:hAnsi="KaiTi" w:cs="KaiTi"/>
            </w:rPr>
            <w:tab/>
          </w:r>
          <w:r>
            <w:rPr>
              <w:rFonts w:ascii="KaiTi" w:eastAsia="KaiTi" w:hAnsi="KaiTi" w:cs="KaiTi"/>
              <w:spacing w:val="-84"/>
            </w:rPr>
            <w:t xml:space="preserve"> </w:t>
          </w:r>
          <w:r>
            <w:rPr>
              <w:spacing w:val="-7"/>
            </w:rPr>
            <w:t>-</w:t>
          </w:r>
          <w:r>
            <w:rPr>
              <w:spacing w:val="24"/>
            </w:rPr>
            <w:t xml:space="preserve"> </w:t>
          </w:r>
          <w:hyperlink w:anchor="bookmark69" w:history="1">
            <w:r>
              <w:rPr>
                <w:spacing w:val="-7"/>
              </w:rPr>
              <w:t>18</w:t>
            </w:r>
          </w:hyperlink>
        </w:p>
      </w:sdtContent>
    </w:sdt>
    <w:p>
      <w:pPr>
        <w:spacing w:line="218" w:lineRule="auto"/>
        <w:sectPr>
          <w:headerReference w:type="default" r:id="rId16"/>
          <w:footerReference w:type="default" r:id="rId17"/>
          <w:pgSz w:w="11907" w:h="16839"/>
          <w:pgMar w:top="1596" w:right="890" w:bottom="1480" w:left="854" w:header="852" w:footer="990" w:gutter="0"/>
          <w:pgNumType w:start="5"/>
          <w:cols w:space="708"/>
        </w:sectPr>
      </w:pPr>
    </w:p>
    <w:p>
      <w:pPr>
        <w:spacing w:before="29" w:line="223" w:lineRule="auto"/>
        <w:ind w:left="2550"/>
        <w:rPr>
          <w:rFonts w:ascii="KaiTi" w:eastAsia="KaiTi" w:hAnsi="KaiTi" w:cs="KaiTi"/>
          <w:sz w:val="21"/>
          <w:szCs w:val="21"/>
        </w:rPr>
      </w:pPr>
      <w:r>
        <w:drawing>
          <wp:anchor distT="0" distB="0" distL="0" distR="0" simplePos="0" relativeHeight="251664384" behindDoc="1" locked="0" layoutInCell="0" allowOverlap="1">
            <wp:simplePos x="0" y="0"/>
            <wp:positionH relativeFrom="page">
              <wp:posOffset>2399919</wp:posOffset>
            </wp:positionH>
            <wp:positionV relativeFrom="page">
              <wp:posOffset>5329809</wp:posOffset>
            </wp:positionV>
            <wp:extent cx="4298695" cy="1903729"/>
            <wp:effectExtent l="0" t="0" r="0" b="0"/>
            <wp:wrapNone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98695" cy="19037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KaiTi" w:eastAsia="KaiTi" w:hAnsi="KaiTi" w:cs="KaiTi"/>
          <w:color w:val="CE1300"/>
          <w:sz w:val="21"/>
          <w:szCs w:val="21"/>
          <w14:textOutline w14:w="3831">
            <w14:solidFill>
              <w14:srgbClr w14:val="CE1300"/>
            </w14:solidFill>
            <w14:prstDash w14:val="solid"/>
            <w14:miter w14:lim="10"/>
          </w14:textOutline>
        </w:rPr>
        <w:t>报告正文</w:t>
      </w:r>
    </w:p>
    <w:p>
      <w:pPr>
        <w:spacing w:line="277" w:lineRule="auto"/>
        <w:rPr>
          <w:rFonts w:ascii="Arial"/>
          <w:sz w:val="21"/>
        </w:rPr>
      </w:pPr>
    </w:p>
    <w:p>
      <w:pPr>
        <w:pStyle w:val="BodyText"/>
        <w:spacing w:before="91" w:line="216" w:lineRule="auto"/>
        <w:ind w:left="2567"/>
        <w:outlineLvl w:val="0"/>
        <w:rPr>
          <w:rFonts w:ascii="KaiTi" w:eastAsia="KaiTi" w:hAnsi="KaiTi" w:cs="KaiTi"/>
          <w:sz w:val="28"/>
          <w:szCs w:val="28"/>
        </w:rPr>
      </w:pPr>
      <w:bookmarkStart w:id="0" w:name="bookmark16"/>
      <w:bookmarkEnd w:id="0"/>
      <w:bookmarkStart w:id="1" w:name="bookmark1"/>
      <w:bookmarkEnd w:id="1"/>
      <w:bookmarkStart w:id="2" w:name="bookmark2"/>
      <w:bookmarkEnd w:id="2"/>
      <w:bookmarkStart w:id="3" w:name="bookmark3"/>
      <w:bookmarkEnd w:id="3"/>
      <w:r>
        <w:rPr>
          <w:b/>
          <w:bCs/>
          <w:color w:val="333366"/>
          <w:spacing w:val="-3"/>
          <w:sz w:val="28"/>
          <w:szCs w:val="28"/>
        </w:rPr>
        <w:t>1</w:t>
      </w:r>
      <w:r>
        <w:rPr>
          <w:rFonts w:ascii="KaiTi" w:eastAsia="KaiTi" w:hAnsi="KaiTi" w:cs="KaiTi"/>
          <w:color w:val="333366"/>
          <w:spacing w:val="-3"/>
          <w:sz w:val="28"/>
          <w:szCs w:val="28"/>
          <w14:textOutline w14:w="5094">
            <w14:solidFill>
              <w14:srgbClr w14:val="333366"/>
            </w14:solidFill>
            <w14:prstDash w14:val="solid"/>
            <w14:miter w14:lim="10"/>
          </w14:textOutline>
        </w:rPr>
        <w:t>、公司概况：全球排名前列的交易所集团</w:t>
      </w:r>
    </w:p>
    <w:p>
      <w:pPr>
        <w:spacing w:line="286" w:lineRule="auto"/>
        <w:rPr>
          <w:rFonts w:ascii="Arial"/>
          <w:sz w:val="21"/>
        </w:rPr>
      </w:pPr>
    </w:p>
    <w:p>
      <w:pPr>
        <w:spacing w:before="68" w:line="271" w:lineRule="auto"/>
        <w:ind w:left="2549" w:right="241" w:firstLine="11"/>
        <w:jc w:val="both"/>
        <w:rPr>
          <w:rFonts w:ascii="KaiTi" w:eastAsia="KaiTi" w:hAnsi="KaiTi" w:cs="KaiTi"/>
          <w:sz w:val="21"/>
          <w:szCs w:val="21"/>
        </w:rPr>
      </w:pPr>
      <w:r>
        <w:rPr>
          <w:rFonts w:ascii="KaiTi" w:eastAsia="KaiTi" w:hAnsi="KaiTi" w:cs="KaiTi"/>
          <w:sz w:val="21"/>
          <w:szCs w:val="21"/>
        </w:rPr>
        <w:t>纳斯达克是全球市场规模排名前列的交易所集团，其业务定位从美国境内交易所</w:t>
      </w:r>
      <w:r>
        <w:rPr>
          <w:rFonts w:ascii="KaiTi" w:eastAsia="KaiTi" w:hAnsi="KaiTi" w:cs="KaiTi"/>
          <w:spacing w:val="8"/>
          <w:sz w:val="21"/>
          <w:szCs w:val="21"/>
        </w:rPr>
        <w:t xml:space="preserve"> </w:t>
      </w:r>
      <w:r>
        <w:rPr>
          <w:rFonts w:ascii="KaiTi" w:eastAsia="KaiTi" w:hAnsi="KaiTi" w:cs="KaiTi"/>
          <w:spacing w:val="1"/>
          <w:sz w:val="21"/>
          <w:szCs w:val="21"/>
        </w:rPr>
        <w:t>运营转变为全球交易所公司，再转型为服务于</w:t>
      </w:r>
      <w:r>
        <w:rPr>
          <w:rFonts w:ascii="KaiTi" w:eastAsia="KaiTi" w:hAnsi="KaiTi" w:cs="KaiTi"/>
          <w:sz w:val="21"/>
          <w:szCs w:val="21"/>
        </w:rPr>
        <w:t>资本市场和其他行业的全球性科技</w:t>
      </w:r>
      <w:r>
        <w:rPr>
          <w:rFonts w:ascii="KaiTi" w:eastAsia="KaiTi" w:hAnsi="KaiTi" w:cs="KaiTi"/>
          <w:sz w:val="21"/>
          <w:szCs w:val="21"/>
        </w:rPr>
        <w:t xml:space="preserve"> </w:t>
      </w:r>
      <w:r>
        <w:rPr>
          <w:rFonts w:ascii="KaiTi" w:eastAsia="KaiTi" w:hAnsi="KaiTi" w:cs="KaiTi"/>
          <w:spacing w:val="-4"/>
          <w:sz w:val="21"/>
          <w:szCs w:val="21"/>
        </w:rPr>
        <w:t>公司，</w:t>
      </w:r>
      <w:r>
        <w:rPr>
          <w:rFonts w:ascii="KaiTi" w:eastAsia="KaiTi" w:hAnsi="KaiTi" w:cs="KaiTi"/>
          <w:spacing w:val="-4"/>
          <w:sz w:val="21"/>
          <w:szCs w:val="21"/>
        </w:rPr>
        <w:t xml:space="preserve"> </w:t>
      </w:r>
      <w:r>
        <w:rPr>
          <w:rFonts w:ascii="KaiTi" w:eastAsia="KaiTi" w:hAnsi="KaiTi" w:cs="KaiTi"/>
          <w:spacing w:val="-4"/>
          <w:sz w:val="21"/>
          <w:szCs w:val="21"/>
        </w:rPr>
        <w:t>提供从交易到数据、分析、软件等全方位服务体系。</w:t>
      </w:r>
    </w:p>
    <w:p>
      <w:pPr>
        <w:spacing w:line="291" w:lineRule="auto"/>
        <w:rPr>
          <w:rFonts w:ascii="Arial"/>
          <w:sz w:val="21"/>
        </w:rPr>
      </w:pPr>
    </w:p>
    <w:p>
      <w:pPr>
        <w:spacing w:line="291" w:lineRule="auto"/>
        <w:rPr>
          <w:rFonts w:ascii="Arial"/>
          <w:sz w:val="21"/>
        </w:rPr>
      </w:pPr>
    </w:p>
    <w:p>
      <w:pPr>
        <w:pStyle w:val="BodyText"/>
        <w:spacing w:before="78" w:line="216" w:lineRule="auto"/>
        <w:ind w:left="2565"/>
        <w:outlineLvl w:val="1"/>
        <w:rPr>
          <w:rFonts w:ascii="KaiTi" w:eastAsia="KaiTi" w:hAnsi="KaiTi" w:cs="KaiTi"/>
          <w:sz w:val="24"/>
          <w:szCs w:val="24"/>
        </w:rPr>
      </w:pPr>
      <w:r>
        <w:rPr>
          <w:b/>
          <w:bCs/>
          <w:color w:val="333366"/>
          <w:spacing w:val="-8"/>
          <w:sz w:val="24"/>
          <w:szCs w:val="24"/>
        </w:rPr>
        <w:t>1.1</w:t>
      </w:r>
      <w:r>
        <w:rPr>
          <w:rFonts w:ascii="KaiTi" w:eastAsia="KaiTi" w:hAnsi="KaiTi" w:cs="KaiTi"/>
          <w:color w:val="333366"/>
          <w:spacing w:val="-8"/>
          <w:sz w:val="24"/>
          <w:szCs w:val="24"/>
          <w14:textOutline w14:w="4354">
            <w14:solidFill>
              <w14:srgbClr w14:val="333366"/>
            </w14:solidFill>
            <w14:prstDash w14:val="solid"/>
            <w14:miter w14:lim="10"/>
          </w14:textOutline>
        </w:rPr>
        <w:t>、股权结构：</w:t>
      </w:r>
      <w:r>
        <w:rPr>
          <w:rFonts w:ascii="KaiTi" w:eastAsia="KaiTi" w:hAnsi="KaiTi" w:cs="KaiTi"/>
          <w:color w:val="333366"/>
          <w:spacing w:val="-8"/>
          <w:sz w:val="24"/>
          <w:szCs w:val="24"/>
        </w:rPr>
        <w:t xml:space="preserve"> </w:t>
      </w:r>
      <w:r>
        <w:rPr>
          <w:rFonts w:ascii="KaiTi" w:eastAsia="KaiTi" w:hAnsi="KaiTi" w:cs="KaiTi"/>
          <w:color w:val="333366"/>
          <w:spacing w:val="-8"/>
          <w:sz w:val="24"/>
          <w:szCs w:val="24"/>
          <w14:textOutline w14:w="4354">
            <w14:solidFill>
              <w14:srgbClr w14:val="333366"/>
            </w14:solidFill>
            <w14:prstDash w14:val="solid"/>
            <w14:miter w14:lim="10"/>
          </w14:textOutline>
        </w:rPr>
        <w:t>机构投资者占主导</w:t>
      </w:r>
    </w:p>
    <w:p>
      <w:pPr>
        <w:spacing w:before="287" w:line="213" w:lineRule="auto"/>
        <w:ind w:left="2551"/>
        <w:rPr>
          <w:rFonts w:ascii="KaiTi" w:eastAsia="KaiTi" w:hAnsi="KaiTi" w:cs="KaiTi"/>
          <w:sz w:val="21"/>
          <w:szCs w:val="21"/>
        </w:rPr>
      </w:pPr>
      <w:r>
        <w:rPr>
          <w:rFonts w:ascii="KaiTi" w:eastAsia="KaiTi" w:hAnsi="KaiTi" w:cs="KaiTi"/>
          <w:spacing w:val="2"/>
          <w:sz w:val="21"/>
          <w:szCs w:val="21"/>
          <w14:textOutline w14:w="3831">
            <w14:solidFill>
              <w14:srgbClr w14:val="000000"/>
            </w14:solidFill>
            <w14:prstDash w14:val="solid"/>
            <w14:miter w14:lim="10"/>
          </w14:textOutline>
        </w:rPr>
        <w:t>从股权结构来看，纳斯达克交易所以机构投资者占主导，具有较高经营独立性。</w:t>
      </w:r>
    </w:p>
    <w:p>
      <w:pPr>
        <w:pStyle w:val="BodyText"/>
        <w:spacing w:before="98" w:line="287" w:lineRule="auto"/>
        <w:ind w:left="2549" w:right="235" w:firstLine="5"/>
        <w:rPr>
          <w:rFonts w:ascii="KaiTi" w:eastAsia="KaiTi" w:hAnsi="KaiTi" w:cs="KaiTi"/>
        </w:rPr>
      </w:pPr>
      <w:r>
        <w:rPr>
          <w:rFonts w:ascii="KaiTi" w:eastAsia="KaiTi" w:hAnsi="KaiTi" w:cs="KaiTi"/>
          <w:spacing w:val="-5"/>
        </w:rPr>
        <w:t>截至</w:t>
      </w:r>
      <w:r>
        <w:rPr>
          <w:rFonts w:ascii="KaiTi" w:eastAsia="KaiTi" w:hAnsi="KaiTi" w:cs="KaiTi"/>
          <w:spacing w:val="-5"/>
        </w:rPr>
        <w:t xml:space="preserve"> </w:t>
      </w:r>
      <w:r>
        <w:rPr>
          <w:spacing w:val="-5"/>
        </w:rPr>
        <w:t xml:space="preserve">2024  </w:t>
      </w:r>
      <w:r>
        <w:rPr>
          <w:rFonts w:ascii="KaiTi" w:eastAsia="KaiTi" w:hAnsi="KaiTi" w:cs="KaiTi"/>
          <w:spacing w:val="-5"/>
        </w:rPr>
        <w:t>年</w:t>
      </w:r>
      <w:r>
        <w:rPr>
          <w:rFonts w:ascii="KaiTi" w:eastAsia="KaiTi" w:hAnsi="KaiTi" w:cs="KaiTi"/>
          <w:spacing w:val="-5"/>
        </w:rPr>
        <w:t xml:space="preserve"> </w:t>
      </w:r>
      <w:r>
        <w:rPr>
          <w:spacing w:val="-5"/>
        </w:rPr>
        <w:t xml:space="preserve">2  </w:t>
      </w:r>
      <w:r>
        <w:rPr>
          <w:rFonts w:ascii="KaiTi" w:eastAsia="KaiTi" w:hAnsi="KaiTi" w:cs="KaiTi"/>
          <w:spacing w:val="-5"/>
        </w:rPr>
        <w:t>月底，</w:t>
      </w:r>
      <w:r>
        <w:rPr>
          <w:rFonts w:ascii="KaiTi" w:eastAsia="KaiTi" w:hAnsi="KaiTi" w:cs="KaiTi"/>
          <w:spacing w:val="-5"/>
        </w:rPr>
        <w:t xml:space="preserve"> </w:t>
      </w:r>
      <w:r>
        <w:rPr>
          <w:rFonts w:ascii="KaiTi" w:eastAsia="KaiTi" w:hAnsi="KaiTi" w:cs="KaiTi"/>
          <w:spacing w:val="-5"/>
        </w:rPr>
        <w:t>纳斯达克前五大股东分别为迪拜交易所（</w:t>
      </w:r>
      <w:r>
        <w:rPr>
          <w:spacing w:val="-5"/>
        </w:rPr>
        <w:t>Borse</w:t>
      </w:r>
      <w:r>
        <w:rPr>
          <w:spacing w:val="44"/>
          <w:w w:val="101"/>
        </w:rPr>
        <w:t xml:space="preserve"> </w:t>
      </w:r>
      <w:r>
        <w:rPr>
          <w:spacing w:val="-5"/>
        </w:rPr>
        <w:t>Dubai</w:t>
      </w:r>
      <w:r>
        <w:rPr>
          <w:rFonts w:ascii="KaiTi" w:eastAsia="KaiTi" w:hAnsi="KaiTi" w:cs="KaiTi"/>
          <w:spacing w:val="-5"/>
        </w:rPr>
        <w:t>）、</w:t>
      </w:r>
      <w:r>
        <w:rPr>
          <w:rFonts w:ascii="KaiTi" w:eastAsia="KaiTi" w:hAnsi="KaiTi" w:cs="KaiTi"/>
        </w:rPr>
        <w:t xml:space="preserve"> </w:t>
      </w:r>
      <w:r>
        <w:rPr>
          <w:spacing w:val="-10"/>
        </w:rPr>
        <w:t>Thoma Bravo</w:t>
      </w:r>
      <w:r>
        <w:rPr>
          <w:rFonts w:ascii="KaiTi" w:eastAsia="KaiTi" w:hAnsi="KaiTi" w:cs="KaiTi"/>
          <w:spacing w:val="-10"/>
        </w:rPr>
        <w:t>、瑞典银瑞达集团（</w:t>
      </w:r>
      <w:r>
        <w:rPr>
          <w:spacing w:val="-10"/>
        </w:rPr>
        <w:t>Investor</w:t>
      </w:r>
      <w:r>
        <w:rPr>
          <w:spacing w:val="-20"/>
        </w:rPr>
        <w:t xml:space="preserve"> </w:t>
      </w:r>
      <w:r>
        <w:rPr>
          <w:spacing w:val="-10"/>
        </w:rPr>
        <w:t>AB</w:t>
      </w:r>
      <w:r>
        <w:rPr>
          <w:rFonts w:ascii="KaiTi" w:eastAsia="KaiTi" w:hAnsi="KaiTi" w:cs="KaiTi"/>
          <w:spacing w:val="-10"/>
        </w:rPr>
        <w:t>）、先锋领航集团（</w:t>
      </w:r>
      <w:r>
        <w:rPr>
          <w:spacing w:val="-10"/>
        </w:rPr>
        <w:t>The</w:t>
      </w:r>
      <w:r>
        <w:rPr>
          <w:spacing w:val="-17"/>
        </w:rPr>
        <w:t xml:space="preserve"> </w:t>
      </w:r>
      <w:r>
        <w:rPr>
          <w:spacing w:val="-10"/>
        </w:rPr>
        <w:t>Vanguard Group</w:t>
      </w:r>
      <w:r>
        <w:rPr>
          <w:rFonts w:ascii="KaiTi" w:eastAsia="KaiTi" w:hAnsi="KaiTi" w:cs="KaiTi"/>
          <w:spacing w:val="-10"/>
        </w:rPr>
        <w:t>）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</w:rPr>
        <w:t>和</w:t>
      </w:r>
      <w:r>
        <w:rPr>
          <w:rFonts w:ascii="KaiTi" w:eastAsia="KaiTi" w:hAnsi="KaiTi" w:cs="KaiTi"/>
          <w:spacing w:val="-48"/>
        </w:rPr>
        <w:t xml:space="preserve"> </w:t>
      </w:r>
      <w:r>
        <w:t>MFS Investment Manage</w:t>
      </w:r>
      <w:r>
        <w:rPr>
          <w:spacing w:val="-1"/>
        </w:rPr>
        <w:t>ment</w:t>
      </w:r>
      <w:r>
        <w:rPr>
          <w:rFonts w:ascii="KaiTi" w:eastAsia="KaiTi" w:hAnsi="KaiTi" w:cs="KaiTi"/>
          <w:spacing w:val="-1"/>
        </w:rPr>
        <w:t>。其中，纳斯达克在</w:t>
      </w:r>
      <w:r>
        <w:rPr>
          <w:rFonts w:ascii="KaiTi" w:eastAsia="KaiTi" w:hAnsi="KaiTi" w:cs="KaiTi"/>
          <w:spacing w:val="-50"/>
        </w:rPr>
        <w:t xml:space="preserve"> </w:t>
      </w:r>
      <w:r>
        <w:rPr>
          <w:spacing w:val="-1"/>
        </w:rPr>
        <w:t xml:space="preserve">2023 </w:t>
      </w:r>
      <w:r>
        <w:rPr>
          <w:rFonts w:ascii="KaiTi" w:eastAsia="KaiTi" w:hAnsi="KaiTi" w:cs="KaiTi"/>
          <w:spacing w:val="-1"/>
        </w:rPr>
        <w:t>年通过</w:t>
      </w:r>
      <w:r>
        <w:rPr>
          <w:rFonts w:ascii="KaiTi" w:eastAsia="KaiTi" w:hAnsi="KaiTi" w:cs="KaiTi"/>
          <w:spacing w:val="-42"/>
        </w:rPr>
        <w:t xml:space="preserve"> </w:t>
      </w:r>
      <w:r>
        <w:rPr>
          <w:spacing w:val="-1"/>
        </w:rPr>
        <w:t xml:space="preserve">57.5 </w:t>
      </w:r>
      <w:r>
        <w:rPr>
          <w:rFonts w:ascii="KaiTi" w:eastAsia="KaiTi" w:hAnsi="KaiTi" w:cs="KaiTi"/>
          <w:spacing w:val="-1"/>
        </w:rPr>
        <w:t>亿元美元现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  <w:spacing w:val="-5"/>
        </w:rPr>
        <w:t>金和</w:t>
      </w:r>
      <w:r>
        <w:rPr>
          <w:rFonts w:ascii="KaiTi" w:eastAsia="KaiTi" w:hAnsi="KaiTi" w:cs="KaiTi"/>
          <w:spacing w:val="-25"/>
        </w:rPr>
        <w:t xml:space="preserve"> </w:t>
      </w:r>
      <w:r>
        <w:rPr>
          <w:spacing w:val="-5"/>
        </w:rPr>
        <w:t>8569</w:t>
      </w:r>
      <w:r>
        <w:rPr>
          <w:spacing w:val="14"/>
        </w:rPr>
        <w:t xml:space="preserve"> </w:t>
      </w:r>
      <w:r>
        <w:rPr>
          <w:rFonts w:ascii="KaiTi" w:eastAsia="KaiTi" w:hAnsi="KaiTi" w:cs="KaiTi"/>
          <w:spacing w:val="-5"/>
        </w:rPr>
        <w:t>万股股份（共计</w:t>
      </w:r>
      <w:r>
        <w:rPr>
          <w:rFonts w:ascii="KaiTi" w:eastAsia="KaiTi" w:hAnsi="KaiTi" w:cs="KaiTi"/>
          <w:spacing w:val="-31"/>
        </w:rPr>
        <w:t xml:space="preserve"> </w:t>
      </w:r>
      <w:r>
        <w:rPr>
          <w:spacing w:val="-5"/>
        </w:rPr>
        <w:t xml:space="preserve">105 </w:t>
      </w:r>
      <w:r>
        <w:rPr>
          <w:rFonts w:ascii="KaiTi" w:eastAsia="KaiTi" w:hAnsi="KaiTi" w:cs="KaiTi"/>
          <w:spacing w:val="-5"/>
        </w:rPr>
        <w:t>亿美元）的方式收购金融科技公司</w:t>
      </w:r>
      <w:r>
        <w:rPr>
          <w:rFonts w:ascii="KaiTi" w:eastAsia="KaiTi" w:hAnsi="KaiTi" w:cs="KaiTi"/>
          <w:spacing w:val="-50"/>
        </w:rPr>
        <w:t xml:space="preserve"> </w:t>
      </w:r>
      <w:r>
        <w:rPr>
          <w:spacing w:val="-5"/>
        </w:rPr>
        <w:t>Azenda</w:t>
      </w:r>
      <w:r>
        <w:rPr>
          <w:rFonts w:ascii="KaiTi" w:eastAsia="KaiTi" w:hAnsi="KaiTi" w:cs="KaiTi"/>
          <w:spacing w:val="-5"/>
        </w:rPr>
        <w:t>，</w:t>
      </w:r>
      <w:r>
        <w:rPr>
          <w:spacing w:val="-5"/>
        </w:rPr>
        <w:t>Azenda</w:t>
      </w:r>
      <w:r>
        <w:t xml:space="preserve"> </w:t>
      </w:r>
      <w:r>
        <w:rPr>
          <w:rFonts w:ascii="KaiTi" w:eastAsia="KaiTi" w:hAnsi="KaiTi" w:cs="KaiTi"/>
        </w:rPr>
        <w:t>所有者因此成为纳斯达克第二大股东，且</w:t>
      </w:r>
      <w:r>
        <w:rPr>
          <w:rFonts w:ascii="KaiTi" w:eastAsia="KaiTi" w:hAnsi="KaiTi" w:cs="KaiTi"/>
          <w:spacing w:val="-28"/>
        </w:rPr>
        <w:t xml:space="preserve"> </w:t>
      </w:r>
      <w:r>
        <w:t>Azenda</w:t>
      </w:r>
      <w:r>
        <w:rPr>
          <w:spacing w:val="22"/>
          <w:w w:val="101"/>
        </w:rPr>
        <w:t xml:space="preserve"> </w:t>
      </w:r>
      <w:r>
        <w:rPr>
          <w:rFonts w:ascii="KaiTi" w:eastAsia="KaiTi" w:hAnsi="KaiTi" w:cs="KaiTi"/>
        </w:rPr>
        <w:t>母公司</w:t>
      </w:r>
      <w:r>
        <w:rPr>
          <w:rFonts w:ascii="KaiTi" w:eastAsia="KaiTi" w:hAnsi="KaiTi" w:cs="KaiTi"/>
          <w:spacing w:val="-29"/>
        </w:rPr>
        <w:t xml:space="preserve"> </w:t>
      </w:r>
      <w:r>
        <w:t>Thoma</w:t>
      </w:r>
      <w:r>
        <w:rPr>
          <w:spacing w:val="27"/>
          <w:w w:val="101"/>
        </w:rPr>
        <w:t xml:space="preserve"> </w:t>
      </w:r>
      <w:r>
        <w:t>Bravo</w:t>
      </w:r>
      <w:r>
        <w:rPr>
          <w:spacing w:val="20"/>
        </w:rPr>
        <w:t xml:space="preserve"> </w:t>
      </w:r>
      <w:r>
        <w:rPr>
          <w:rFonts w:ascii="KaiTi" w:eastAsia="KaiTi" w:hAnsi="KaiTi" w:cs="KaiTi"/>
          <w:spacing w:val="-1"/>
        </w:rPr>
        <w:t>执行合伙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  <w:spacing w:val="-2"/>
        </w:rPr>
        <w:t>人</w:t>
      </w:r>
      <w:r>
        <w:rPr>
          <w:rFonts w:ascii="KaiTi" w:eastAsia="KaiTi" w:hAnsi="KaiTi" w:cs="KaiTi"/>
          <w:spacing w:val="-48"/>
        </w:rPr>
        <w:t xml:space="preserve"> </w:t>
      </w:r>
      <w:r>
        <w:rPr>
          <w:spacing w:val="-2"/>
        </w:rPr>
        <w:t xml:space="preserve">Holden Spaht </w:t>
      </w:r>
      <w:r>
        <w:rPr>
          <w:rFonts w:ascii="KaiTi" w:eastAsia="KaiTi" w:hAnsi="KaiTi" w:cs="KaiTi"/>
          <w:spacing w:val="-2"/>
        </w:rPr>
        <w:t>成为纳斯达克董事会成员，</w:t>
      </w:r>
      <w:r>
        <w:rPr>
          <w:rFonts w:ascii="KaiTi" w:eastAsia="KaiTi" w:hAnsi="KaiTi" w:cs="KaiTi"/>
          <w:spacing w:val="-3"/>
        </w:rPr>
        <w:t>纳斯达克董事会规模扩大至</w:t>
      </w:r>
      <w:r>
        <w:rPr>
          <w:rFonts w:ascii="KaiTi" w:eastAsia="KaiTi" w:hAnsi="KaiTi" w:cs="KaiTi"/>
          <w:spacing w:val="-27"/>
        </w:rPr>
        <w:t xml:space="preserve"> </w:t>
      </w:r>
      <w:r>
        <w:rPr>
          <w:spacing w:val="-3"/>
        </w:rPr>
        <w:t xml:space="preserve">12 </w:t>
      </w:r>
      <w:r>
        <w:rPr>
          <w:rFonts w:ascii="KaiTi" w:eastAsia="KaiTi" w:hAnsi="KaiTi" w:cs="KaiTi"/>
          <w:spacing w:val="-3"/>
        </w:rPr>
        <w:t>人；其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  <w:spacing w:val="-4"/>
        </w:rPr>
        <w:t>余前四大股东均为机构投资者，</w:t>
      </w:r>
      <w:r>
        <w:rPr>
          <w:rFonts w:ascii="KaiTi" w:eastAsia="KaiTi" w:hAnsi="KaiTi" w:cs="KaiTi"/>
          <w:spacing w:val="-4"/>
        </w:rPr>
        <w:t xml:space="preserve"> </w:t>
      </w:r>
      <w:r>
        <w:rPr>
          <w:rFonts w:ascii="KaiTi" w:eastAsia="KaiTi" w:hAnsi="KaiTi" w:cs="KaiTi"/>
          <w:spacing w:val="-4"/>
        </w:rPr>
        <w:t>保证了公司经营的独立性。</w:t>
      </w:r>
    </w:p>
    <w:p>
      <w:pPr>
        <w:spacing w:line="327" w:lineRule="auto"/>
        <w:rPr>
          <w:rFonts w:ascii="Arial"/>
          <w:sz w:val="21"/>
        </w:rPr>
      </w:pPr>
    </w:p>
    <w:p>
      <w:pPr>
        <w:pStyle w:val="BodyText"/>
        <w:spacing w:before="68" w:line="213" w:lineRule="auto"/>
        <w:ind w:left="2771"/>
        <w:rPr>
          <w:rFonts w:ascii="KaiTi" w:eastAsia="KaiTi" w:hAnsi="KaiTi" w:cs="KaiTi"/>
        </w:rPr>
      </w:pPr>
      <w:r>
        <w:rPr>
          <w:rFonts w:ascii="KaiTi" w:eastAsia="KaiTi" w:hAnsi="KaiTi" w:cs="KaiTi"/>
          <w:spacing w:val="-6"/>
          <w14:textOutline w14:w="3831">
            <w14:solidFill>
              <w14:srgbClr w14:val="000000"/>
            </w14:solidFill>
            <w14:prstDash w14:val="solid"/>
            <w14:miter w14:lim="10"/>
          </w14:textOutline>
        </w:rPr>
        <w:t>图</w:t>
      </w:r>
      <w:r>
        <w:rPr>
          <w:rFonts w:ascii="KaiTi" w:eastAsia="KaiTi" w:hAnsi="KaiTi" w:cs="KaiTi"/>
          <w:spacing w:val="-28"/>
        </w:rPr>
        <w:t xml:space="preserve"> </w:t>
      </w:r>
      <w:r>
        <w:rPr>
          <w:b/>
          <w:bCs/>
          <w:spacing w:val="-6"/>
        </w:rPr>
        <w:t>1</w:t>
      </w:r>
      <w:r>
        <w:rPr>
          <w:rFonts w:ascii="KaiTi" w:eastAsia="KaiTi" w:hAnsi="KaiTi" w:cs="KaiTi"/>
          <w:spacing w:val="-6"/>
          <w14:textOutline w14:w="3831">
            <w14:solidFill>
              <w14:srgbClr w14:val="000000"/>
            </w14:solidFill>
            <w14:prstDash w14:val="solid"/>
            <w14:miter w14:lim="10"/>
          </w14:textOutline>
        </w:rPr>
        <w:t>、纳斯达克股东结构</w:t>
      </w:r>
    </w:p>
    <w:p>
      <w:pPr>
        <w:spacing w:line="3137" w:lineRule="exact"/>
        <w:ind w:firstLine="2633"/>
      </w:pPr>
      <w:r>
        <w:rPr>
          <w:position w:val="-62"/>
        </w:rPr>
        <w:pict>
          <v:group id="_x0000_i1032" style="width:368.4pt;height:156.85pt;mso-position-horizontal-relative:char;mso-position-vertical-relative:line" coordorigin="0,0" coordsize="7367,3137" filled="f" stroked="f">
            <v:rect id="_x0000_s1033" style="width:7367;height:10;position:absolute;top:3127" filled="t" fillcolor="black" stroked="f"/>
            <v:rect id="_x0000_s1034" style="width:7367;height:10;position:absolute" filled="t" fillcolor="black" stroked="f"/>
            <w10:wrap type="none"/>
          </v:group>
        </w:pict>
      </w:r>
    </w:p>
    <w:p>
      <w:pPr>
        <w:pStyle w:val="BodyText"/>
        <w:spacing w:before="28" w:line="212" w:lineRule="auto"/>
        <w:ind w:left="2757"/>
        <w:rPr>
          <w:rFonts w:ascii="KaiTi" w:eastAsia="KaiTi" w:hAnsi="KaiTi" w:cs="KaiTi"/>
          <w:sz w:val="18"/>
          <w:szCs w:val="18"/>
        </w:rPr>
      </w:pPr>
      <w:r>
        <w:rPr>
          <w:rFonts w:ascii="KaiTi" w:eastAsia="KaiTi" w:hAnsi="KaiTi" w:cs="KaiTi"/>
          <w:spacing w:val="-1"/>
          <w:sz w:val="18"/>
          <w:szCs w:val="18"/>
        </w:rPr>
        <w:t>资料来源：公司官网，兴业证券经济与金融研究院整理；数据截至</w:t>
      </w:r>
      <w:r>
        <w:rPr>
          <w:rFonts w:ascii="KaiTi" w:eastAsia="KaiTi" w:hAnsi="KaiTi" w:cs="KaiTi"/>
          <w:spacing w:val="-35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 xml:space="preserve">2024 </w:t>
      </w:r>
      <w:r>
        <w:rPr>
          <w:rFonts w:ascii="KaiTi" w:eastAsia="KaiTi" w:hAnsi="KaiTi" w:cs="KaiTi"/>
          <w:spacing w:val="-1"/>
          <w:sz w:val="18"/>
          <w:szCs w:val="18"/>
        </w:rPr>
        <w:t>年</w:t>
      </w:r>
      <w:r>
        <w:rPr>
          <w:rFonts w:ascii="KaiTi" w:eastAsia="KaiTi" w:hAnsi="KaiTi" w:cs="KaiTi"/>
          <w:spacing w:val="-40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2</w:t>
      </w:r>
      <w:r>
        <w:rPr>
          <w:spacing w:val="18"/>
          <w:w w:val="101"/>
          <w:sz w:val="18"/>
          <w:szCs w:val="18"/>
        </w:rPr>
        <w:t xml:space="preserve"> </w:t>
      </w:r>
      <w:r>
        <w:rPr>
          <w:rFonts w:ascii="KaiTi" w:eastAsia="KaiTi" w:hAnsi="KaiTi" w:cs="KaiTi"/>
          <w:spacing w:val="-1"/>
          <w:sz w:val="18"/>
          <w:szCs w:val="18"/>
        </w:rPr>
        <w:t>月底</w:t>
      </w:r>
    </w:p>
    <w:p>
      <w:pPr>
        <w:spacing w:line="258" w:lineRule="auto"/>
        <w:rPr>
          <w:rFonts w:ascii="Arial"/>
          <w:sz w:val="21"/>
        </w:rPr>
      </w:pPr>
    </w:p>
    <w:p>
      <w:pPr>
        <w:spacing w:line="259" w:lineRule="auto"/>
        <w:rPr>
          <w:rFonts w:ascii="Arial"/>
          <w:sz w:val="21"/>
        </w:rPr>
      </w:pPr>
    </w:p>
    <w:p>
      <w:pPr>
        <w:pStyle w:val="BodyText"/>
        <w:spacing w:before="79" w:line="215" w:lineRule="auto"/>
        <w:ind w:left="2565"/>
        <w:outlineLvl w:val="1"/>
        <w:rPr>
          <w:rFonts w:ascii="KaiTi" w:eastAsia="KaiTi" w:hAnsi="KaiTi" w:cs="KaiTi"/>
          <w:sz w:val="24"/>
          <w:szCs w:val="24"/>
        </w:rPr>
        <w:sectPr>
          <w:headerReference w:type="default" r:id="rId19"/>
          <w:footerReference w:type="default" r:id="rId20"/>
          <w:pgSz w:w="11907" w:h="16839"/>
          <w:pgMar w:top="1596" w:right="890" w:bottom="1480" w:left="854" w:header="852" w:footer="990" w:gutter="0"/>
          <w:pgNumType w:start="6"/>
          <w:cols w:space="708"/>
        </w:sectPr>
      </w:pPr>
      <w:r>
        <w:rPr>
          <w:b/>
          <w:bCs/>
          <w:color w:val="333366"/>
          <w:spacing w:val="-8"/>
          <w:sz w:val="24"/>
          <w:szCs w:val="24"/>
        </w:rPr>
        <w:t>1.2</w:t>
      </w:r>
      <w:r>
        <w:rPr>
          <w:rFonts w:ascii="KaiTi" w:eastAsia="KaiTi" w:hAnsi="KaiTi" w:cs="KaiTi"/>
          <w:color w:val="333366"/>
          <w:spacing w:val="-8"/>
          <w:sz w:val="24"/>
          <w:szCs w:val="24"/>
          <w14:textOutline w14:w="4354">
            <w14:solidFill>
              <w14:srgbClr w14:val="333366"/>
            </w14:solidFill>
            <w14:prstDash w14:val="solid"/>
            <w14:miter w14:lim="10"/>
          </w14:textOutline>
        </w:rPr>
        <w:t>、管理团队：</w:t>
      </w:r>
      <w:r>
        <w:rPr>
          <w:rFonts w:ascii="KaiTi" w:eastAsia="KaiTi" w:hAnsi="KaiTi" w:cs="KaiTi"/>
          <w:color w:val="333366"/>
          <w:spacing w:val="-8"/>
          <w:sz w:val="24"/>
          <w:szCs w:val="24"/>
        </w:rPr>
        <w:t xml:space="preserve"> </w:t>
      </w:r>
      <w:r>
        <w:rPr>
          <w:rFonts w:ascii="KaiTi" w:eastAsia="KaiTi" w:hAnsi="KaiTi" w:cs="KaiTi"/>
          <w:color w:val="333366"/>
          <w:spacing w:val="-8"/>
          <w:sz w:val="24"/>
          <w:szCs w:val="24"/>
          <w14:textOutline w14:w="4354">
            <w14:solidFill>
              <w14:srgbClr w14:val="333366"/>
            </w14:solidFill>
            <w14:prstDash w14:val="solid"/>
            <w14:miter w14:lim="10"/>
          </w14:textOutline>
        </w:rPr>
        <w:t>稳定多元化的组成</w:t>
      </w:r>
    </w:p>
    <w:p>
      <w:pPr>
        <w:pStyle w:val="BodyText"/>
        <w:spacing w:before="286" w:line="279" w:lineRule="auto"/>
        <w:ind w:left="2554" w:right="240" w:hanging="3"/>
        <w:jc w:val="both"/>
        <w:rPr>
          <w:rFonts w:ascii="KaiTi" w:eastAsia="KaiTi" w:hAnsi="KaiTi" w:cs="KaiTi"/>
        </w:rPr>
      </w:pPr>
      <w:r>
        <w:rPr>
          <w:rFonts w:ascii="KaiTi" w:eastAsia="KaiTi" w:hAnsi="KaiTi" w:cs="KaiTi"/>
          <w:spacing w:val="-2"/>
          <w14:textOutline w14:w="3831">
            <w14:solidFill>
              <w14:srgbClr w14:val="000000"/>
            </w14:solidFill>
            <w14:prstDash w14:val="solid"/>
            <w14:miter w14:lim="10"/>
          </w14:textOutline>
        </w:rPr>
        <w:t>稳定、多元化的管理层保证公司战略的持续性和执行力。</w:t>
      </w:r>
      <w:r>
        <w:rPr>
          <w:rFonts w:ascii="KaiTi" w:eastAsia="KaiTi" w:hAnsi="KaiTi" w:cs="KaiTi"/>
          <w:spacing w:val="-2"/>
        </w:rPr>
        <w:t xml:space="preserve"> </w:t>
      </w:r>
      <w:r>
        <w:rPr>
          <w:rFonts w:ascii="KaiTi" w:eastAsia="KaiTi" w:hAnsi="KaiTi" w:cs="KaiTi"/>
          <w:spacing w:val="-2"/>
        </w:rPr>
        <w:t>现任</w:t>
      </w:r>
      <w:r>
        <w:rPr>
          <w:rFonts w:ascii="KaiTi" w:eastAsia="KaiTi" w:hAnsi="KaiTi" w:cs="KaiTi"/>
          <w:spacing w:val="-3"/>
        </w:rPr>
        <w:t>首席执行官</w:t>
      </w:r>
      <w:r>
        <w:rPr>
          <w:rFonts w:ascii="KaiTi" w:eastAsia="KaiTi" w:hAnsi="KaiTi" w:cs="KaiTi"/>
          <w:spacing w:val="-24"/>
        </w:rPr>
        <w:t xml:space="preserve"> </w:t>
      </w:r>
      <w:r>
        <w:rPr>
          <w:spacing w:val="-3"/>
        </w:rPr>
        <w:t>Adena</w:t>
      </w:r>
      <w:r>
        <w:t xml:space="preserve"> </w:t>
      </w:r>
      <w:r>
        <w:rPr>
          <w:spacing w:val="-3"/>
        </w:rPr>
        <w:t>T.</w:t>
      </w:r>
      <w:r>
        <w:rPr>
          <w:spacing w:val="30"/>
        </w:rPr>
        <w:t xml:space="preserve"> </w:t>
      </w:r>
      <w:r>
        <w:rPr>
          <w:spacing w:val="-3"/>
        </w:rPr>
        <w:t>Friedman</w:t>
      </w:r>
      <w:r>
        <w:rPr>
          <w:spacing w:val="29"/>
        </w:rPr>
        <w:t xml:space="preserve"> </w:t>
      </w:r>
      <w:r>
        <w:rPr>
          <w:rFonts w:ascii="KaiTi" w:eastAsia="KaiTi" w:hAnsi="KaiTi" w:cs="KaiTi"/>
          <w:spacing w:val="-3"/>
        </w:rPr>
        <w:t>在纳斯达克任职</w:t>
      </w:r>
      <w:r>
        <w:rPr>
          <w:rFonts w:ascii="KaiTi" w:eastAsia="KaiTi" w:hAnsi="KaiTi" w:cs="KaiTi"/>
          <w:spacing w:val="-24"/>
        </w:rPr>
        <w:t xml:space="preserve"> </w:t>
      </w:r>
      <w:r>
        <w:rPr>
          <w:spacing w:val="-3"/>
        </w:rPr>
        <w:t>20</w:t>
      </w:r>
      <w:r>
        <w:rPr>
          <w:spacing w:val="29"/>
          <w:w w:val="101"/>
        </w:rPr>
        <w:t xml:space="preserve"> </w:t>
      </w:r>
      <w:r>
        <w:rPr>
          <w:rFonts w:ascii="KaiTi" w:eastAsia="KaiTi" w:hAnsi="KaiTi" w:cs="KaiTi"/>
          <w:spacing w:val="-3"/>
        </w:rPr>
        <w:t>余年，</w:t>
      </w:r>
      <w:r>
        <w:rPr>
          <w:rFonts w:ascii="KaiTi" w:eastAsia="KaiTi" w:hAnsi="KaiTi" w:cs="KaiTi"/>
          <w:spacing w:val="-22"/>
        </w:rPr>
        <w:t xml:space="preserve"> </w:t>
      </w:r>
      <w:r>
        <w:rPr>
          <w:rFonts w:ascii="KaiTi" w:eastAsia="KaiTi" w:hAnsi="KaiTi" w:cs="KaiTi"/>
          <w:spacing w:val="-3"/>
        </w:rPr>
        <w:t>其他高管大多也在公司内部</w:t>
      </w:r>
      <w:r>
        <w:rPr>
          <w:rFonts w:ascii="KaiTi" w:eastAsia="KaiTi" w:hAnsi="KaiTi" w:cs="KaiTi"/>
          <w:spacing w:val="-4"/>
        </w:rPr>
        <w:t>任职多年。此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</w:rPr>
        <w:t>外，纳斯达克通过吸收收购公司的核心人员壮大高管团队，如反金融犯罪部门的</w:t>
      </w:r>
      <w:r>
        <w:rPr>
          <w:rFonts w:ascii="KaiTi" w:eastAsia="KaiTi" w:hAnsi="KaiTi" w:cs="KaiTi"/>
          <w:spacing w:val="13"/>
        </w:rPr>
        <w:t xml:space="preserve"> </w:t>
      </w:r>
      <w:r>
        <w:rPr>
          <w:rFonts w:ascii="KaiTi" w:eastAsia="KaiTi" w:hAnsi="KaiTi" w:cs="KaiTi"/>
          <w:spacing w:val="-1"/>
        </w:rPr>
        <w:t>负责人</w:t>
      </w:r>
      <w:r>
        <w:rPr>
          <w:rFonts w:ascii="KaiTi" w:eastAsia="KaiTi" w:hAnsi="KaiTi" w:cs="KaiTi"/>
          <w:spacing w:val="-36"/>
        </w:rPr>
        <w:t xml:space="preserve"> </w:t>
      </w:r>
      <w:r>
        <w:rPr>
          <w:spacing w:val="-1"/>
        </w:rPr>
        <w:t xml:space="preserve">Brendan Brothers </w:t>
      </w:r>
      <w:r>
        <w:rPr>
          <w:rFonts w:ascii="KaiTi" w:eastAsia="KaiTi" w:hAnsi="KaiTi" w:cs="KaiTi"/>
          <w:spacing w:val="-1"/>
        </w:rPr>
        <w:t>等。</w:t>
      </w:r>
    </w:p>
    <w:p>
      <w:pPr>
        <w:spacing w:line="279" w:lineRule="auto"/>
        <w:rPr>
          <w:rFonts w:ascii="KaiTi" w:eastAsia="KaiTi" w:hAnsi="KaiTi" w:cs="KaiTi"/>
        </w:rPr>
        <w:sectPr>
          <w:headerReference w:type="default" r:id="rId21"/>
          <w:footerReference w:type="default" r:id="rId22"/>
          <w:type w:val="nextPage"/>
          <w:pgSz w:w="11907" w:h="16839"/>
          <w:pgMar w:top="1596" w:right="890" w:bottom="1480" w:left="854" w:header="852" w:footer="990" w:gutter="0"/>
          <w:pgNumType w:start="7"/>
          <w:cols w:space="708"/>
          <w:titlePg w:val="0"/>
        </w:sectPr>
      </w:pPr>
    </w:p>
    <w:p>
      <w:pPr>
        <w:pStyle w:val="BodyText"/>
        <w:spacing w:before="30" w:line="216" w:lineRule="auto"/>
        <w:ind w:left="221"/>
        <w:rPr>
          <w:rFonts w:ascii="KaiTi" w:eastAsia="KaiTi" w:hAnsi="KaiTi" w:cs="KaiTi"/>
        </w:rPr>
      </w:pPr>
      <w:r>
        <w:pict>
          <v:shape id="_x0000_s1035" style="width:424.9pt;height:0.5pt;margin-top:93.5pt;margin-left:133.46pt;mso-position-horizontal-relative:page;mso-position-vertical-relative:page;position:absolute;z-index:251666432" coordorigin="0,0" coordsize="8497,10" o:allowincell="f" path="m,9l8497,9l8497,l,l,9xe" filled="t" fillcolor="black" stroked="f"/>
        </w:pict>
      </w:r>
      <w:r>
        <w:pict>
          <v:shape id="_x0000_s1036" style="width:510.15pt;height:0.5pt;margin-top:383.57pt;margin-left:48.24pt;mso-position-horizontal-relative:page;mso-position-vertical-relative:page;position:absolute;z-index:251665408" coordorigin="0,0" coordsize="10202,10" o:allowincell="f" path="m,9l1694,9l1694,l,l,9xem1694,9l1704,9l1704,l1694,l1694,9xem1704,9l10202,9l10202,l1704,l1704,9xe" filled="t" fillcolor="black" stroked="f"/>
        </w:pict>
      </w:r>
      <w:r>
        <w:rPr>
          <w:rFonts w:ascii="KaiTi" w:eastAsia="KaiTi" w:hAnsi="KaiTi" w:cs="KaiTi"/>
          <w:spacing w:val="-2"/>
          <w14:textOutline w14:w="3831">
            <w14:solidFill>
              <w14:srgbClr w14:val="000000"/>
            </w14:solidFill>
            <w14:prstDash w14:val="solid"/>
            <w14:miter w14:lim="10"/>
          </w14:textOutline>
        </w:rPr>
        <w:t>表</w:t>
      </w:r>
      <w:r>
        <w:rPr>
          <w:rFonts w:ascii="KaiTi" w:eastAsia="KaiTi" w:hAnsi="KaiTi" w:cs="KaiTi"/>
          <w:spacing w:val="-36"/>
        </w:rPr>
        <w:t xml:space="preserve"> </w:t>
      </w:r>
      <w:r>
        <w:rPr>
          <w:b/>
          <w:bCs/>
          <w:spacing w:val="-2"/>
        </w:rPr>
        <w:t>1</w:t>
      </w:r>
      <w:r>
        <w:rPr>
          <w:rFonts w:ascii="KaiTi" w:eastAsia="KaiTi" w:hAnsi="KaiTi" w:cs="KaiTi"/>
          <w:spacing w:val="-2"/>
          <w14:textOutline w14:w="3831">
            <w14:solidFill>
              <w14:srgbClr w14:val="000000"/>
            </w14:solidFill>
            <w14:prstDash w14:val="solid"/>
            <w14:miter w14:lim="10"/>
          </w14:textOutline>
        </w:rPr>
        <w:t>、纳斯达克管理层</w:t>
      </w:r>
    </w:p>
    <w:p>
      <w:pPr>
        <w:spacing w:line="99" w:lineRule="exact"/>
      </w:pPr>
    </w:p>
    <w:tbl>
      <w:tblPr>
        <w:tblStyle w:val="TableNormal1"/>
        <w:tblW w:w="10202" w:type="dxa"/>
        <w:tblInd w:w="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</w:tblPr>
      <w:tblGrid>
        <w:gridCol w:w="1673"/>
        <w:gridCol w:w="8529"/>
      </w:tblGrid>
      <w:tr>
        <w:tblPrEx>
          <w:tblW w:w="10202" w:type="dxa"/>
          <w:tblInd w:w="11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</w:tblPrEx>
        <w:trPr>
          <w:trHeight w:val="369"/>
        </w:trPr>
        <w:tc>
          <w:tcPr>
            <w:tcW w:w="1673" w:type="dxa"/>
            <w:tcBorders>
              <w:bottom w:val="single" w:sz="2" w:space="0" w:color="000000"/>
            </w:tcBorders>
            <w:vAlign w:val="top"/>
          </w:tcPr>
          <w:p>
            <w:pPr>
              <w:pStyle w:val="TableText"/>
              <w:spacing w:line="229" w:lineRule="auto"/>
              <w:ind w:left="640"/>
            </w:pPr>
            <w:r>
              <w:rPr>
                <w:spacing w:val="-1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姓名</w:t>
            </w:r>
          </w:p>
        </w:tc>
        <w:tc>
          <w:tcPr>
            <w:tcW w:w="8529" w:type="dxa"/>
            <w:tcBorders>
              <w:bottom w:val="single" w:sz="2" w:space="0" w:color="000000"/>
            </w:tcBorders>
            <w:vAlign w:val="top"/>
          </w:tcPr>
          <w:p>
            <w:pPr>
              <w:pStyle w:val="TableText"/>
              <w:spacing w:line="219" w:lineRule="auto"/>
              <w:ind w:left="4068"/>
            </w:pPr>
            <w:r>
              <w:rPr>
                <w:spacing w:val="-1"/>
                <w14:textOutline w14:w="3831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履历</w:t>
            </w:r>
          </w:p>
        </w:tc>
      </w:tr>
      <w:tr>
        <w:tblPrEx>
          <w:tblW w:w="10202" w:type="dxa"/>
          <w:tblInd w:w="110" w:type="dxa"/>
          <w:tblLayout w:type="fixed"/>
        </w:tblPrEx>
        <w:trPr>
          <w:trHeight w:val="260"/>
        </w:trPr>
        <w:tc>
          <w:tcPr>
            <w:tcW w:w="1673" w:type="dxa"/>
            <w:tcBorders>
              <w:top w:val="single" w:sz="2" w:space="0" w:color="00000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529" w:type="dxa"/>
            <w:tcBorders>
              <w:top w:val="single" w:sz="2" w:space="0" w:color="000000"/>
            </w:tcBorders>
            <w:vAlign w:val="top"/>
          </w:tcPr>
          <w:p>
            <w:pPr>
              <w:pStyle w:val="TableText"/>
              <w:spacing w:before="31" w:line="214" w:lineRule="auto"/>
              <w:ind w:left="13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董事长兼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CEO</w:t>
            </w:r>
            <w:r>
              <w:rPr>
                <w:spacing w:val="-1"/>
                <w:sz w:val="18"/>
                <w:szCs w:val="18"/>
              </w:rPr>
              <w:t>。领导纳斯达克实现了战略转型、成为业务遍及六大洲的全球领先公司。最初于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1993</w:t>
            </w:r>
            <w:r>
              <w:rPr>
                <w:rFonts w:ascii="Times New Roman" w:eastAsia="Times New Roman" w:hAnsi="Times New Roman" w:cs="Times New Roman"/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年加</w:t>
            </w:r>
          </w:p>
        </w:tc>
      </w:tr>
      <w:tr>
        <w:tblPrEx>
          <w:tblW w:w="10202" w:type="dxa"/>
          <w:tblInd w:w="110" w:type="dxa"/>
          <w:tblLayout w:type="fixed"/>
        </w:tblPrEx>
        <w:trPr>
          <w:trHeight w:val="1224"/>
        </w:trPr>
        <w:tc>
          <w:tcPr>
            <w:tcW w:w="1673" w:type="dxa"/>
            <w:tcBorders>
              <w:top w:val="single" w:sz="2" w:space="0" w:color="000000"/>
            </w:tcBorders>
            <w:vAlign w:val="top"/>
          </w:tcPr>
          <w:p>
            <w:pPr>
              <w:spacing w:before="234" w:line="192" w:lineRule="auto"/>
              <w:ind w:left="15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Adena T. Friedman</w:t>
            </w:r>
          </w:p>
        </w:tc>
        <w:tc>
          <w:tcPr>
            <w:tcW w:w="8529" w:type="dxa"/>
            <w:tcBorders>
              <w:top w:val="single" w:sz="2" w:space="0" w:color="000000"/>
            </w:tcBorders>
            <w:vAlign w:val="top"/>
          </w:tcPr>
          <w:p>
            <w:pPr>
              <w:pStyle w:val="TableText"/>
              <w:spacing w:before="60" w:line="270" w:lineRule="auto"/>
              <w:ind w:left="134" w:right="102" w:hanging="3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入纳斯达克，任职超过十年，</w:t>
            </w:r>
            <w:r>
              <w:rPr>
                <w:spacing w:val="51"/>
                <w:sz w:val="18"/>
                <w:szCs w:val="18"/>
              </w:rPr>
              <w:t xml:space="preserve"> </w:t>
            </w:r>
            <w:r>
              <w:rPr>
                <w:spacing w:val="-3"/>
                <w:sz w:val="18"/>
                <w:szCs w:val="18"/>
              </w:rPr>
              <w:t>担任过数据产品业务负责人、战略负责人以及首席财务官等职位，是纳斯达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4"/>
                <w:sz w:val="18"/>
                <w:szCs w:val="18"/>
              </w:rPr>
              <w:t>克管理团队的重要成员，</w:t>
            </w:r>
            <w:r>
              <w:rPr>
                <w:spacing w:val="48"/>
                <w:sz w:val="18"/>
                <w:szCs w:val="18"/>
              </w:rPr>
              <w:t xml:space="preserve"> </w:t>
            </w:r>
            <w:r>
              <w:rPr>
                <w:spacing w:val="-4"/>
                <w:sz w:val="18"/>
                <w:szCs w:val="18"/>
              </w:rPr>
              <w:t>在公司</w:t>
            </w:r>
            <w:r>
              <w:rPr>
                <w:spacing w:val="-4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  <w:t>INET</w:t>
            </w:r>
            <w:r>
              <w:rPr>
                <w:spacing w:val="-4"/>
                <w:sz w:val="18"/>
                <w:szCs w:val="18"/>
              </w:rPr>
              <w:t>、</w:t>
            </w:r>
            <w:r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  <w:t>OMX</w:t>
            </w:r>
            <w:r>
              <w:rPr>
                <w:spacing w:val="-4"/>
                <w:sz w:val="18"/>
                <w:szCs w:val="18"/>
              </w:rPr>
              <w:t>、费城和波士顿交易所的收购中发挥重要作用。曾于</w:t>
            </w:r>
            <w:r>
              <w:rPr>
                <w:spacing w:val="-4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  <w:t xml:space="preserve">2011 </w:t>
            </w:r>
            <w:r>
              <w:rPr>
                <w:spacing w:val="-4"/>
                <w:sz w:val="18"/>
                <w:szCs w:val="18"/>
              </w:rPr>
              <w:t>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spacing w:val="18"/>
                <w:w w:val="10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月至</w:t>
            </w:r>
            <w:r>
              <w:rPr>
                <w:spacing w:val="-4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2014 </w:t>
            </w:r>
            <w:r>
              <w:rPr>
                <w:spacing w:val="-2"/>
                <w:sz w:val="18"/>
                <w:szCs w:val="18"/>
              </w:rPr>
              <w:t>年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spacing w:val="19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月担任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CarlyGroup</w:t>
            </w:r>
            <w:r>
              <w:rPr>
                <w:rFonts w:ascii="Times New Roman" w:eastAsia="Times New Roman" w:hAnsi="Times New Roman" w:cs="Times New Roman"/>
                <w:spacing w:val="13"/>
                <w:w w:val="10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首席财务官，并于</w:t>
            </w:r>
            <w:r>
              <w:rPr>
                <w:spacing w:val="-4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2014 </w:t>
            </w:r>
            <w:r>
              <w:rPr>
                <w:spacing w:val="-2"/>
                <w:sz w:val="18"/>
                <w:szCs w:val="18"/>
              </w:rPr>
              <w:t>年返回纳斯达克，负责科技、信息等</w:t>
            </w:r>
            <w:r>
              <w:rPr>
                <w:spacing w:val="-3"/>
                <w:sz w:val="18"/>
                <w:szCs w:val="18"/>
              </w:rPr>
              <w:t>业务。</w:t>
            </w:r>
          </w:p>
          <w:p>
            <w:pPr>
              <w:pStyle w:val="TableText"/>
              <w:spacing w:before="143" w:line="212" w:lineRule="auto"/>
              <w:ind w:left="13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执行副总裁兼北美市场主管，</w:t>
            </w:r>
            <w:r>
              <w:rPr>
                <w:spacing w:val="71"/>
                <w:sz w:val="18"/>
                <w:szCs w:val="18"/>
              </w:rPr>
              <w:t xml:space="preserve"> </w:t>
            </w:r>
            <w:r>
              <w:rPr>
                <w:spacing w:val="-3"/>
                <w:sz w:val="18"/>
                <w:szCs w:val="18"/>
              </w:rPr>
              <w:t>负责客户关系，并推动纳斯达</w:t>
            </w:r>
            <w:r>
              <w:rPr>
                <w:spacing w:val="-4"/>
                <w:sz w:val="18"/>
                <w:szCs w:val="18"/>
              </w:rPr>
              <w:t>克美国和加拿大业务的现金股票、衍生品、大</w:t>
            </w:r>
          </w:p>
        </w:tc>
      </w:tr>
      <w:tr>
        <w:tblPrEx>
          <w:tblW w:w="10202" w:type="dxa"/>
          <w:tblInd w:w="110" w:type="dxa"/>
          <w:tblLayout w:type="fixed"/>
        </w:tblPrEx>
        <w:trPr>
          <w:trHeight w:val="1230"/>
        </w:trPr>
        <w:tc>
          <w:tcPr>
            <w:tcW w:w="1673" w:type="dxa"/>
            <w:vAlign w:val="top"/>
          </w:tcPr>
          <w:p>
            <w:pPr>
              <w:spacing w:before="240" w:line="190" w:lineRule="auto"/>
              <w:ind w:left="48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  <w:t>Tal</w:t>
            </w:r>
            <w:r>
              <w:rPr>
                <w:rFonts w:ascii="Times New Roman" w:eastAsia="Times New Roman" w:hAnsi="Times New Roman" w:cs="Times New Roman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  <w:t>Cohen</w:t>
            </w:r>
          </w:p>
        </w:tc>
        <w:tc>
          <w:tcPr>
            <w:tcW w:w="8529" w:type="dxa"/>
            <w:vAlign w:val="top"/>
          </w:tcPr>
          <w:p>
            <w:pPr>
              <w:pStyle w:val="TableText"/>
              <w:spacing w:before="63" w:line="272" w:lineRule="auto"/>
              <w:ind w:left="131" w:right="102" w:firstLine="17"/>
              <w:jc w:val="both"/>
              <w:rPr>
                <w:sz w:val="18"/>
                <w:szCs w:val="18"/>
              </w:rPr>
            </w:pPr>
            <w:r>
              <w:rPr>
                <w:spacing w:val="7"/>
                <w:sz w:val="18"/>
                <w:szCs w:val="18"/>
              </w:rPr>
              <w:t>宗商品和贸易管理服务的增长。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7"/>
                <w:sz w:val="18"/>
                <w:szCs w:val="18"/>
              </w:rPr>
              <w:t xml:space="preserve">1999-2008  </w:t>
            </w:r>
            <w:r>
              <w:rPr>
                <w:spacing w:val="7"/>
                <w:sz w:val="18"/>
                <w:szCs w:val="18"/>
              </w:rPr>
              <w:t>年担任北美电子交易联席主管，</w:t>
            </w:r>
            <w:r>
              <w:rPr>
                <w:spacing w:val="-5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7"/>
                <w:sz w:val="18"/>
                <w:szCs w:val="18"/>
              </w:rPr>
              <w:t xml:space="preserve">2008-2010  </w:t>
            </w:r>
            <w:r>
              <w:rPr>
                <w:spacing w:val="7"/>
                <w:sz w:val="18"/>
                <w:szCs w:val="18"/>
              </w:rPr>
              <w:t>年担任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Chi</w:t>
            </w:r>
            <w:r>
              <w:rPr>
                <w:rFonts w:ascii="Times New Roman" w:eastAsia="Times New Roman" w:hAnsi="Times New Roman" w:cs="Times New Roman"/>
                <w:spacing w:val="7"/>
                <w:sz w:val="18"/>
                <w:szCs w:val="18"/>
              </w:rPr>
              <w:t>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XAmericasCEO</w:t>
            </w:r>
            <w:r>
              <w:rPr>
                <w:rFonts w:ascii="Times New Roman" w:eastAsia="Times New Roman" w:hAnsi="Times New Roman" w:cs="Times New Roman"/>
                <w:spacing w:val="-20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，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2010-2016</w:t>
            </w:r>
            <w:r>
              <w:rPr>
                <w:rFonts w:ascii="Times New Roman" w:eastAsia="Times New Roman" w:hAnsi="Times New Roman" w:cs="Times New Roman"/>
                <w:spacing w:val="15"/>
                <w:w w:val="10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年担任</w:t>
            </w:r>
            <w:r>
              <w:rPr>
                <w:spacing w:val="-3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Chi-XGlobalCE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5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。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2016</w:t>
            </w:r>
            <w:r>
              <w:rPr>
                <w:rFonts w:ascii="Times New Roman" w:eastAsia="Times New Roman" w:hAnsi="Times New Roman" w:cs="Times New Roman"/>
                <w:spacing w:val="12"/>
                <w:w w:val="10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年</w:t>
            </w:r>
            <w:r>
              <w:rPr>
                <w:spacing w:val="-34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4</w:t>
            </w:r>
            <w:r>
              <w:rPr>
                <w:rFonts w:ascii="Times New Roman" w:eastAsia="Times New Roman" w:hAnsi="Times New Roman" w:cs="Times New Roman"/>
                <w:spacing w:val="25"/>
                <w:w w:val="102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月加入纳斯达克担任北美股权业务部门高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7"/>
                <w:sz w:val="18"/>
                <w:szCs w:val="18"/>
              </w:rPr>
              <w:t>级副总裁。</w:t>
            </w:r>
          </w:p>
          <w:p>
            <w:pPr>
              <w:pStyle w:val="TableText"/>
              <w:spacing w:before="140" w:line="212" w:lineRule="auto"/>
              <w:ind w:left="15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高级副总裁、财务总监和首席会计官，负责公司会计、分析</w:t>
            </w:r>
            <w:r>
              <w:rPr>
                <w:spacing w:val="-1"/>
                <w:sz w:val="18"/>
                <w:szCs w:val="18"/>
              </w:rPr>
              <w:t>、披露和财务报告，负责管理纳斯达克财务咨</w:t>
            </w:r>
          </w:p>
        </w:tc>
      </w:tr>
      <w:tr>
        <w:tblPrEx>
          <w:tblW w:w="10202" w:type="dxa"/>
          <w:tblInd w:w="110" w:type="dxa"/>
          <w:tblLayout w:type="fixed"/>
        </w:tblPrEx>
        <w:trPr>
          <w:trHeight w:val="614"/>
        </w:trPr>
        <w:tc>
          <w:tcPr>
            <w:tcW w:w="1673" w:type="dxa"/>
            <w:vAlign w:val="top"/>
          </w:tcPr>
          <w:p>
            <w:pPr>
              <w:spacing w:before="91" w:line="190" w:lineRule="auto"/>
              <w:ind w:left="23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Michelle L. Daly</w:t>
            </w:r>
          </w:p>
        </w:tc>
        <w:tc>
          <w:tcPr>
            <w:tcW w:w="8529" w:type="dxa"/>
            <w:vAlign w:val="top"/>
          </w:tcPr>
          <w:p>
            <w:pPr>
              <w:pStyle w:val="TableText"/>
              <w:spacing w:before="60" w:line="258" w:lineRule="auto"/>
              <w:ind w:left="131" w:right="107" w:firstLine="3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询办公室和全球会计运营团队。曾担任高盛董事总经理和</w:t>
            </w:r>
            <w:r>
              <w:rPr>
                <w:spacing w:val="-25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SECreporting</w:t>
            </w:r>
            <w:r>
              <w:rPr>
                <w:rFonts w:ascii="Times New Roman" w:eastAsia="Times New Roman" w:hAnsi="Times New Roman" w:cs="Times New Roman"/>
                <w:spacing w:val="36"/>
                <w:w w:val="10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负责人，加入纳斯达克之前任贝莱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3"/>
                <w:sz w:val="18"/>
                <w:szCs w:val="18"/>
              </w:rPr>
              <w:t>德公司的董事总经理兼副财务总监。</w:t>
            </w:r>
          </w:p>
        </w:tc>
      </w:tr>
      <w:tr>
        <w:tblPrEx>
          <w:tblW w:w="10202" w:type="dxa"/>
          <w:tblInd w:w="110" w:type="dxa"/>
          <w:tblLayout w:type="fixed"/>
        </w:tblPrEx>
        <w:trPr>
          <w:trHeight w:val="645"/>
        </w:trPr>
        <w:tc>
          <w:tcPr>
            <w:tcW w:w="1673" w:type="dxa"/>
            <w:vAlign w:val="top"/>
          </w:tcPr>
          <w:p>
            <w:pPr>
              <w:spacing w:before="266" w:line="190" w:lineRule="auto"/>
              <w:ind w:left="32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Ann Dennison</w:t>
            </w:r>
          </w:p>
        </w:tc>
        <w:tc>
          <w:tcPr>
            <w:tcW w:w="8529" w:type="dxa"/>
            <w:vAlign w:val="top"/>
          </w:tcPr>
          <w:p>
            <w:pPr>
              <w:pStyle w:val="TableText"/>
              <w:spacing w:before="87" w:line="258" w:lineRule="auto"/>
              <w:ind w:left="145" w:right="108" w:hanging="14"/>
              <w:rPr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执行副总裁兼首席财务官。</w:t>
            </w:r>
            <w:r>
              <w:rPr>
                <w:spacing w:val="4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18"/>
                <w:szCs w:val="18"/>
              </w:rPr>
              <w:t xml:space="preserve">2015 </w:t>
            </w:r>
            <w:r>
              <w:rPr>
                <w:spacing w:val="-6"/>
                <w:sz w:val="18"/>
                <w:szCs w:val="18"/>
              </w:rPr>
              <w:t>年加入纳斯达克，</w:t>
            </w:r>
            <w:r>
              <w:rPr>
                <w:spacing w:val="36"/>
                <w:sz w:val="18"/>
                <w:szCs w:val="18"/>
              </w:rPr>
              <w:t xml:space="preserve"> </w:t>
            </w:r>
            <w:r>
              <w:rPr>
                <w:spacing w:val="-6"/>
                <w:sz w:val="18"/>
                <w:szCs w:val="18"/>
              </w:rPr>
              <w:t>领导的团队主要负责企业金融、财务、规划与分析、投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3"/>
                <w:sz w:val="18"/>
                <w:szCs w:val="18"/>
              </w:rPr>
              <w:t>资者关系、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 xml:space="preserve">ESG </w:t>
            </w:r>
            <w:r>
              <w:rPr>
                <w:spacing w:val="-3"/>
                <w:sz w:val="18"/>
                <w:szCs w:val="18"/>
              </w:rPr>
              <w:t>报告、采购和房地产、设施与安全。在加入纳斯达克之前是高盛财</w:t>
            </w:r>
            <w:r>
              <w:rPr>
                <w:spacing w:val="-4"/>
                <w:sz w:val="18"/>
                <w:szCs w:val="18"/>
              </w:rPr>
              <w:t>务报告主管。</w:t>
            </w:r>
          </w:p>
        </w:tc>
      </w:tr>
      <w:tr>
        <w:tblPrEx>
          <w:tblW w:w="10202" w:type="dxa"/>
          <w:tblInd w:w="110" w:type="dxa"/>
          <w:tblLayout w:type="fixed"/>
        </w:tblPrEx>
        <w:trPr>
          <w:trHeight w:val="644"/>
        </w:trPr>
        <w:tc>
          <w:tcPr>
            <w:tcW w:w="1673" w:type="dxa"/>
            <w:vAlign w:val="top"/>
          </w:tcPr>
          <w:p>
            <w:pPr>
              <w:spacing w:before="264" w:line="190" w:lineRule="auto"/>
              <w:ind w:left="34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Brad Peterson</w:t>
            </w:r>
          </w:p>
        </w:tc>
        <w:tc>
          <w:tcPr>
            <w:tcW w:w="8529" w:type="dxa"/>
            <w:vAlign w:val="top"/>
          </w:tcPr>
          <w:p>
            <w:pPr>
              <w:pStyle w:val="TableText"/>
              <w:spacing w:before="89" w:line="255" w:lineRule="auto"/>
              <w:ind w:left="145" w:right="14" w:hanging="1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执行副总裁兼首席信息官。曾在</w:t>
            </w:r>
            <w:r>
              <w:rPr>
                <w:spacing w:val="-44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18"/>
                <w:szCs w:val="18"/>
              </w:rPr>
              <w:t xml:space="preserve">eBay </w:t>
            </w:r>
            <w:r>
              <w:rPr>
                <w:spacing w:val="-5"/>
                <w:sz w:val="18"/>
                <w:szCs w:val="18"/>
              </w:rPr>
              <w:t>担任了五年的首席信息官，后来担任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18"/>
                <w:szCs w:val="18"/>
              </w:rPr>
              <w:t>Schwab Technology Services</w:t>
            </w:r>
            <w:r>
              <w:rPr>
                <w:spacing w:val="-5"/>
                <w:sz w:val="18"/>
                <w:szCs w:val="18"/>
              </w:rPr>
              <w:t>（</w:t>
            </w:r>
            <w:r>
              <w:rPr>
                <w:rFonts w:ascii="Times New Roman" w:eastAsia="Times New Roman" w:hAnsi="Times New Roman" w:cs="Times New Roman"/>
                <w:spacing w:val="-5"/>
                <w:sz w:val="18"/>
                <w:szCs w:val="18"/>
              </w:rPr>
              <w:t>STS</w:t>
            </w:r>
            <w:r>
              <w:rPr>
                <w:spacing w:val="-5"/>
                <w:sz w:val="18"/>
                <w:szCs w:val="18"/>
              </w:rPr>
              <w:t>）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的首席信息官兼执行副总裁，负责</w:t>
            </w:r>
            <w:r>
              <w:rPr>
                <w:spacing w:val="-3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Schwab</w:t>
            </w:r>
            <w:r>
              <w:rPr>
                <w:rFonts w:ascii="Times New Roman" w:eastAsia="Times New Roman" w:hAnsi="Times New Roman" w:cs="Times New Roman"/>
                <w:spacing w:val="19"/>
                <w:w w:val="10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的技术创新、开发、基础</w:t>
            </w:r>
            <w:r>
              <w:rPr>
                <w:spacing w:val="-3"/>
                <w:sz w:val="18"/>
                <w:szCs w:val="18"/>
              </w:rPr>
              <w:t>设施和运营。</w:t>
            </w:r>
          </w:p>
        </w:tc>
      </w:tr>
      <w:tr>
        <w:tblPrEx>
          <w:tblW w:w="10202" w:type="dxa"/>
          <w:tblInd w:w="110" w:type="dxa"/>
          <w:tblLayout w:type="fixed"/>
        </w:tblPrEx>
        <w:trPr>
          <w:trHeight w:val="558"/>
        </w:trPr>
        <w:tc>
          <w:tcPr>
            <w:tcW w:w="1673" w:type="dxa"/>
            <w:vAlign w:val="top"/>
          </w:tcPr>
          <w:p>
            <w:pPr>
              <w:spacing w:before="264" w:line="190" w:lineRule="auto"/>
              <w:ind w:left="33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John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A. Zecca</w:t>
            </w:r>
          </w:p>
        </w:tc>
        <w:tc>
          <w:tcPr>
            <w:tcW w:w="8529" w:type="dxa"/>
            <w:vAlign w:val="top"/>
          </w:tcPr>
          <w:p>
            <w:pPr>
              <w:pStyle w:val="TableText"/>
              <w:spacing w:before="87" w:line="236" w:lineRule="auto"/>
              <w:ind w:left="138" w:right="112" w:hanging="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执行副总裁兼全球首席法律、风险和监管官，为高级管理层提供法律咨询，并监督整个全球组织的法律服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pacing w:val="-3"/>
                <w:sz w:val="18"/>
                <w:szCs w:val="18"/>
              </w:rPr>
              <w:t>务质量，负责市场监管和公司秘书办公室。</w:t>
            </w:r>
          </w:p>
        </w:tc>
      </w:tr>
    </w:tbl>
    <w:p>
      <w:pPr>
        <w:pStyle w:val="BodyText"/>
        <w:spacing w:before="180" w:line="212" w:lineRule="auto"/>
        <w:ind w:left="234"/>
        <w:rPr>
          <w:rFonts w:ascii="KaiTi" w:eastAsia="KaiTi" w:hAnsi="KaiTi" w:cs="KaiTi"/>
          <w:sz w:val="18"/>
          <w:szCs w:val="18"/>
        </w:rPr>
      </w:pPr>
      <w:r>
        <w:rPr>
          <w:rFonts w:ascii="KaiTi" w:eastAsia="KaiTi" w:hAnsi="KaiTi" w:cs="KaiTi"/>
          <w:spacing w:val="-2"/>
          <w:sz w:val="18"/>
          <w:szCs w:val="18"/>
        </w:rPr>
        <w:t>资料来源：</w:t>
      </w:r>
      <w:r>
        <w:rPr>
          <w:rFonts w:ascii="KaiTi" w:eastAsia="KaiTi" w:hAnsi="KaiTi" w:cs="KaiTi"/>
          <w:spacing w:val="-2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Nasdaq Proxy</w:t>
      </w:r>
      <w:r>
        <w:rPr>
          <w:spacing w:val="10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Statement 2023</w:t>
      </w:r>
      <w:r>
        <w:rPr>
          <w:rFonts w:ascii="KaiTi" w:eastAsia="KaiTi" w:hAnsi="KaiTi" w:cs="KaiTi"/>
          <w:spacing w:val="-2"/>
          <w:sz w:val="18"/>
          <w:szCs w:val="18"/>
        </w:rPr>
        <w:t>，兴业证券经济与金融研究院整理</w:t>
      </w:r>
    </w:p>
    <w:p>
      <w:pPr>
        <w:spacing w:line="259" w:lineRule="auto"/>
        <w:rPr>
          <w:rFonts w:ascii="Arial"/>
          <w:sz w:val="21"/>
        </w:rPr>
      </w:pPr>
    </w:p>
    <w:p>
      <w:pPr>
        <w:spacing w:line="259" w:lineRule="auto"/>
        <w:rPr>
          <w:rFonts w:ascii="Arial"/>
          <w:sz w:val="21"/>
        </w:rPr>
      </w:pPr>
    </w:p>
    <w:p>
      <w:pPr>
        <w:pStyle w:val="BodyText"/>
        <w:spacing w:before="78" w:line="214" w:lineRule="auto"/>
        <w:ind w:left="2565"/>
        <w:outlineLvl w:val="1"/>
        <w:rPr>
          <w:rFonts w:ascii="KaiTi" w:eastAsia="KaiTi" w:hAnsi="KaiTi" w:cs="KaiTi"/>
          <w:sz w:val="24"/>
          <w:szCs w:val="24"/>
        </w:rPr>
      </w:pPr>
      <w:r>
        <w:rPr>
          <w:b/>
          <w:bCs/>
          <w:color w:val="333366"/>
          <w:spacing w:val="-8"/>
          <w:sz w:val="24"/>
          <w:szCs w:val="24"/>
        </w:rPr>
        <w:t>1.3</w:t>
      </w:r>
      <w:r>
        <w:rPr>
          <w:rFonts w:ascii="KaiTi" w:eastAsia="KaiTi" w:hAnsi="KaiTi" w:cs="KaiTi"/>
          <w:color w:val="333366"/>
          <w:spacing w:val="-8"/>
          <w:sz w:val="24"/>
          <w:szCs w:val="24"/>
          <w14:textOutline w14:w="4354">
            <w14:solidFill>
              <w14:srgbClr w14:val="333366"/>
            </w14:solidFill>
            <w14:prstDash w14:val="solid"/>
            <w14:miter w14:lim="10"/>
          </w14:textOutline>
        </w:rPr>
        <w:t>、历史沿革：</w:t>
      </w:r>
      <w:r>
        <w:rPr>
          <w:rFonts w:ascii="KaiTi" w:eastAsia="KaiTi" w:hAnsi="KaiTi" w:cs="KaiTi"/>
          <w:color w:val="333366"/>
          <w:spacing w:val="-8"/>
          <w:sz w:val="24"/>
          <w:szCs w:val="24"/>
        </w:rPr>
        <w:t xml:space="preserve"> </w:t>
      </w:r>
      <w:r>
        <w:rPr>
          <w:rFonts w:ascii="KaiTi" w:eastAsia="KaiTi" w:hAnsi="KaiTi" w:cs="KaiTi"/>
          <w:color w:val="333366"/>
          <w:spacing w:val="-8"/>
          <w:sz w:val="24"/>
          <w:szCs w:val="24"/>
          <w14:textOutline w14:w="4354">
            <w14:solidFill>
              <w14:srgbClr w14:val="333366"/>
            </w14:solidFill>
            <w14:prstDash w14:val="solid"/>
            <w14:miter w14:lim="10"/>
          </w14:textOutline>
        </w:rPr>
        <w:t>战略规划稳步推进</w:t>
      </w:r>
    </w:p>
    <w:p>
      <w:pPr>
        <w:pStyle w:val="BodyText"/>
        <w:spacing w:before="291" w:line="271" w:lineRule="auto"/>
        <w:ind w:left="2561" w:right="387" w:hanging="1"/>
        <w:jc w:val="both"/>
        <w:rPr>
          <w:rFonts w:ascii="KaiTi" w:eastAsia="KaiTi" w:hAnsi="KaiTi" w:cs="KaiTi"/>
        </w:rPr>
      </w:pPr>
      <w:r>
        <w:rPr>
          <w:rFonts w:ascii="KaiTi" w:eastAsia="KaiTi" w:hAnsi="KaiTi" w:cs="KaiTi"/>
        </w:rPr>
        <w:t>纳斯达克从</w:t>
      </w:r>
      <w:r>
        <w:rPr>
          <w:rFonts w:ascii="KaiTi" w:eastAsia="KaiTi" w:hAnsi="KaiTi" w:cs="KaiTi"/>
        </w:rPr>
        <w:t xml:space="preserve"> </w:t>
      </w:r>
      <w:r>
        <w:t xml:space="preserve">1971  </w:t>
      </w:r>
      <w:r>
        <w:rPr>
          <w:rFonts w:ascii="KaiTi" w:eastAsia="KaiTi" w:hAnsi="KaiTi" w:cs="KaiTi"/>
        </w:rPr>
        <w:t>年作为世界上首家电子股票交易所成立到目前成为一家全球化</w:t>
      </w:r>
      <w:r>
        <w:rPr>
          <w:rFonts w:ascii="KaiTi" w:eastAsia="KaiTi" w:hAnsi="KaiTi" w:cs="KaiTi"/>
          <w:spacing w:val="13"/>
        </w:rPr>
        <w:t xml:space="preserve"> </w:t>
      </w:r>
      <w:r>
        <w:rPr>
          <w:rFonts w:ascii="KaiTi" w:eastAsia="KaiTi" w:hAnsi="KaiTi" w:cs="KaiTi"/>
        </w:rPr>
        <w:t>的金融科技及技术解决方案公司，其战略规划和经营重心在发展过程中进行了多</w:t>
      </w:r>
      <w:r>
        <w:rPr>
          <w:rFonts w:ascii="KaiTi" w:eastAsia="KaiTi" w:hAnsi="KaiTi" w:cs="KaiTi"/>
          <w:spacing w:val="6"/>
        </w:rPr>
        <w:t xml:space="preserve"> </w:t>
      </w:r>
      <w:r>
        <w:rPr>
          <w:rFonts w:ascii="KaiTi" w:eastAsia="KaiTi" w:hAnsi="KaiTi" w:cs="KaiTi"/>
        </w:rPr>
        <w:t>次调整。</w:t>
      </w:r>
      <w:r>
        <w:t xml:space="preserve">2000 </w:t>
      </w:r>
      <w:r>
        <w:rPr>
          <w:rFonts w:ascii="KaiTi" w:eastAsia="KaiTi" w:hAnsi="KaiTi" w:cs="KaiTi"/>
        </w:rPr>
        <w:t>年以来纳斯达克的发展主要</w:t>
      </w:r>
      <w:r>
        <w:rPr>
          <w:rFonts w:ascii="KaiTi" w:eastAsia="KaiTi" w:hAnsi="KaiTi" w:cs="KaiTi"/>
          <w:spacing w:val="-1"/>
        </w:rPr>
        <w:t>经历了如下几个阶段。</w:t>
      </w:r>
    </w:p>
    <w:p>
      <w:pPr>
        <w:spacing w:line="326" w:lineRule="auto"/>
        <w:rPr>
          <w:rFonts w:ascii="Arial"/>
          <w:sz w:val="21"/>
        </w:rPr>
      </w:pPr>
    </w:p>
    <w:p>
      <w:pPr>
        <w:pStyle w:val="BodyText"/>
        <w:spacing w:before="68" w:line="217" w:lineRule="auto"/>
        <w:ind w:left="2554"/>
        <w:rPr>
          <w:rFonts w:ascii="KaiTi" w:eastAsia="KaiTi" w:hAnsi="KaiTi" w:cs="KaiTi"/>
        </w:rPr>
      </w:pPr>
      <w:r>
        <w:rPr>
          <w:b/>
          <w:bCs/>
        </w:rPr>
        <w:t>2000-2002</w:t>
      </w:r>
      <w:r>
        <w:rPr>
          <w:rFonts w:ascii="KaiTi" w:eastAsia="KaiTi" w:hAnsi="KaiTi" w:cs="KaiTi"/>
          <w14:textOutline w14:w="3831">
            <w14:solidFill>
              <w14:srgbClr w14:val="000000"/>
            </w14:solidFill>
            <w14:prstDash w14:val="solid"/>
            <w14:miter w14:lim="10"/>
          </w14:textOutline>
        </w:rPr>
        <w:t>：开启全球化扩张策略</w:t>
      </w:r>
    </w:p>
    <w:p>
      <w:pPr>
        <w:pStyle w:val="BodyText"/>
        <w:spacing w:before="90" w:line="290" w:lineRule="auto"/>
        <w:ind w:left="2551" w:right="386" w:firstLine="1"/>
        <w:jc w:val="both"/>
        <w:rPr>
          <w:rFonts w:ascii="KaiTi" w:eastAsia="KaiTi" w:hAnsi="KaiTi" w:cs="KaiTi"/>
        </w:rPr>
        <w:sectPr>
          <w:headerReference w:type="default" r:id="rId23"/>
          <w:footerReference w:type="default" r:id="rId24"/>
          <w:pgSz w:w="11907" w:h="16839"/>
          <w:pgMar w:top="1596" w:right="739" w:bottom="1480" w:left="854" w:header="852" w:footer="990" w:gutter="0"/>
          <w:pgNumType w:start="8"/>
          <w:cols w:space="708"/>
        </w:sectPr>
      </w:pPr>
      <w:r>
        <w:rPr>
          <w:spacing w:val="-7"/>
        </w:rPr>
        <w:t xml:space="preserve">2000 </w:t>
      </w:r>
      <w:r>
        <w:rPr>
          <w:rFonts w:ascii="KaiTi" w:eastAsia="KaiTi" w:hAnsi="KaiTi" w:cs="KaiTi"/>
          <w:spacing w:val="-7"/>
        </w:rPr>
        <w:t>年，</w:t>
      </w:r>
      <w:r>
        <w:rPr>
          <w:rFonts w:ascii="KaiTi" w:eastAsia="KaiTi" w:hAnsi="KaiTi" w:cs="KaiTi"/>
          <w:spacing w:val="-25"/>
        </w:rPr>
        <w:t xml:space="preserve"> </w:t>
      </w:r>
      <w:r>
        <w:rPr>
          <w:rFonts w:ascii="KaiTi" w:eastAsia="KaiTi" w:hAnsi="KaiTi" w:cs="KaiTi"/>
          <w:spacing w:val="-7"/>
        </w:rPr>
        <w:t>纳斯达克进行改制，</w:t>
      </w:r>
      <w:r>
        <w:rPr>
          <w:rFonts w:ascii="KaiTi" w:eastAsia="KaiTi" w:hAnsi="KaiTi" w:cs="KaiTi"/>
          <w:spacing w:val="-26"/>
        </w:rPr>
        <w:t xml:space="preserve"> </w:t>
      </w:r>
      <w:r>
        <w:rPr>
          <w:rFonts w:ascii="KaiTi" w:eastAsia="KaiTi" w:hAnsi="KaiTi" w:cs="KaiTi"/>
          <w:spacing w:val="-7"/>
        </w:rPr>
        <w:t>成为了自主经营、以盈利为目的公司。同时，</w:t>
      </w:r>
      <w:r>
        <w:rPr>
          <w:rFonts w:ascii="KaiTi" w:eastAsia="KaiTi" w:hAnsi="KaiTi" w:cs="KaiTi"/>
          <w:spacing w:val="-32"/>
        </w:rPr>
        <w:t xml:space="preserve"> </w:t>
      </w:r>
      <w:r>
        <w:rPr>
          <w:rFonts w:ascii="KaiTi" w:eastAsia="KaiTi" w:hAnsi="KaiTi" w:cs="KaiTi"/>
          <w:spacing w:val="-7"/>
        </w:rPr>
        <w:t>全球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</w:rPr>
        <w:t>化成为了当时公司的重要愿景，纳斯达克把建立全球一体化交易网络并为世界各</w:t>
      </w:r>
      <w:r>
        <w:rPr>
          <w:rFonts w:ascii="KaiTi" w:eastAsia="KaiTi" w:hAnsi="KaiTi" w:cs="KaiTi"/>
          <w:spacing w:val="17"/>
        </w:rPr>
        <w:t xml:space="preserve"> </w:t>
      </w:r>
      <w:r>
        <w:rPr>
          <w:rFonts w:ascii="KaiTi" w:eastAsia="KaiTi" w:hAnsi="KaiTi" w:cs="KaiTi"/>
        </w:rPr>
        <w:t>地的投资者创造更多投资机会作为长期发展目标，并开始全球化扩张。当年度纳</w:t>
      </w:r>
      <w:r>
        <w:rPr>
          <w:rFonts w:ascii="KaiTi" w:eastAsia="KaiTi" w:hAnsi="KaiTi" w:cs="KaiTi"/>
          <w:spacing w:val="17"/>
        </w:rPr>
        <w:t xml:space="preserve"> </w:t>
      </w:r>
      <w:r>
        <w:rPr>
          <w:rFonts w:ascii="KaiTi" w:eastAsia="KaiTi" w:hAnsi="KaiTi" w:cs="KaiTi"/>
          <w:spacing w:val="-6"/>
        </w:rPr>
        <w:t>斯达克日本与纳斯达克加拿大</w:t>
      </w:r>
      <w:r>
        <w:rPr>
          <w:rFonts w:ascii="KaiTi" w:eastAsia="KaiTi" w:hAnsi="KaiTi" w:cs="KaiTi"/>
          <w:spacing w:val="-25"/>
        </w:rPr>
        <w:t xml:space="preserve"> </w:t>
      </w:r>
      <w:r>
        <w:rPr>
          <w:spacing w:val="-6"/>
        </w:rPr>
        <w:t xml:space="preserve">SM </w:t>
      </w:r>
      <w:r>
        <w:rPr>
          <w:rFonts w:ascii="KaiTi" w:eastAsia="KaiTi" w:hAnsi="KaiTi" w:cs="KaiTi"/>
          <w:spacing w:val="-6"/>
        </w:rPr>
        <w:t>依次推出。</w:t>
      </w:r>
      <w:r>
        <w:rPr>
          <w:spacing w:val="-6"/>
        </w:rPr>
        <w:t xml:space="preserve">2001 </w:t>
      </w:r>
      <w:r>
        <w:rPr>
          <w:rFonts w:ascii="KaiTi" w:eastAsia="KaiTi" w:hAnsi="KaiTi" w:cs="KaiTi"/>
          <w:spacing w:val="-6"/>
        </w:rPr>
        <w:t>年，纳斯达克欧洲市场（</w:t>
      </w:r>
      <w:r>
        <w:rPr>
          <w:spacing w:val="-6"/>
        </w:rPr>
        <w:t>Nasdaq</w:t>
      </w:r>
      <w:r>
        <w:t xml:space="preserve"> </w:t>
      </w:r>
      <w:r>
        <w:rPr>
          <w:spacing w:val="-1"/>
        </w:rPr>
        <w:t>EuropeSM</w:t>
      </w:r>
      <w:r>
        <w:rPr>
          <w:rFonts w:ascii="KaiTi" w:eastAsia="KaiTi" w:hAnsi="KaiTi" w:cs="KaiTi"/>
          <w:spacing w:val="-1"/>
        </w:rPr>
        <w:t>）开通并与柏林和伦敦的本地交易所展开合作</w:t>
      </w:r>
      <w:r>
        <w:rPr>
          <w:rFonts w:ascii="KaiTi" w:eastAsia="KaiTi" w:hAnsi="KaiTi" w:cs="KaiTi"/>
          <w:spacing w:val="-2"/>
        </w:rPr>
        <w:t>。同年在印度班加罗尔和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  <w:spacing w:val="-8"/>
        </w:rPr>
        <w:t>上海设立了新的代表处。然而，</w:t>
      </w:r>
      <w:r>
        <w:rPr>
          <w:rFonts w:ascii="KaiTi" w:eastAsia="KaiTi" w:hAnsi="KaiTi" w:cs="KaiTi"/>
          <w:spacing w:val="46"/>
        </w:rPr>
        <w:t xml:space="preserve"> </w:t>
      </w:r>
      <w:r>
        <w:rPr>
          <w:rFonts w:ascii="KaiTi" w:eastAsia="KaiTi" w:hAnsi="KaiTi" w:cs="KaiTi"/>
          <w:spacing w:val="-8"/>
        </w:rPr>
        <w:t>在</w:t>
      </w:r>
      <w:r>
        <w:rPr>
          <w:rFonts w:ascii="KaiTi" w:eastAsia="KaiTi" w:hAnsi="KaiTi" w:cs="KaiTi"/>
          <w:spacing w:val="-46"/>
        </w:rPr>
        <w:t xml:space="preserve"> </w:t>
      </w:r>
      <w:r>
        <w:rPr>
          <w:spacing w:val="-8"/>
        </w:rPr>
        <w:t xml:space="preserve">2002 </w:t>
      </w:r>
      <w:r>
        <w:rPr>
          <w:rFonts w:ascii="KaiTi" w:eastAsia="KaiTi" w:hAnsi="KaiTi" w:cs="KaiTi"/>
          <w:spacing w:val="-8"/>
        </w:rPr>
        <w:t>年，</w:t>
      </w:r>
      <w:r>
        <w:rPr>
          <w:rFonts w:ascii="KaiTi" w:eastAsia="KaiTi" w:hAnsi="KaiTi" w:cs="KaiTi"/>
          <w:spacing w:val="-41"/>
        </w:rPr>
        <w:t xml:space="preserve"> </w:t>
      </w:r>
      <w:r>
        <w:rPr>
          <w:rFonts w:ascii="KaiTi" w:eastAsia="KaiTi" w:hAnsi="KaiTi" w:cs="KaiTi"/>
          <w:spacing w:val="-8"/>
        </w:rPr>
        <w:t>纳斯达克的全面扩张受到了阻碍。鉴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</w:rPr>
        <w:t>于日本的经济形势，公司放弃了在日本活动的战略决定。在欧洲，公司发现发展</w:t>
      </w:r>
      <w:r>
        <w:rPr>
          <w:rFonts w:ascii="KaiTi" w:eastAsia="KaiTi" w:hAnsi="KaiTi" w:cs="KaiTi"/>
          <w:spacing w:val="17"/>
        </w:rPr>
        <w:t xml:space="preserve"> </w:t>
      </w:r>
    </w:p>
    <w:p>
      <w:pPr>
        <w:pStyle w:val="BodyText"/>
        <w:spacing w:before="90" w:line="290" w:lineRule="auto"/>
        <w:ind w:left="2551" w:right="386" w:firstLine="1"/>
        <w:jc w:val="both"/>
        <w:rPr>
          <w:rFonts w:ascii="KaiTi" w:eastAsia="KaiTi" w:hAnsi="KaiTi" w:cs="KaiTi"/>
        </w:rPr>
      </w:pPr>
      <w:r>
        <w:rPr>
          <w:rFonts w:ascii="KaiTi" w:eastAsia="KaiTi" w:hAnsi="KaiTi" w:cs="KaiTi"/>
          <w:spacing w:val="-7"/>
        </w:rPr>
        <w:t>业务的时机尚未成熟，</w:t>
      </w:r>
      <w:r>
        <w:rPr>
          <w:rFonts w:ascii="KaiTi" w:eastAsia="KaiTi" w:hAnsi="KaiTi" w:cs="KaiTi"/>
          <w:spacing w:val="-7"/>
        </w:rPr>
        <w:t xml:space="preserve"> </w:t>
      </w:r>
      <w:r>
        <w:rPr>
          <w:rFonts w:ascii="KaiTi" w:eastAsia="KaiTi" w:hAnsi="KaiTi" w:cs="KaiTi"/>
          <w:spacing w:val="-7"/>
        </w:rPr>
        <w:t>投资者兴趣不足，市场条件不利。因此，</w:t>
      </w:r>
      <w:r>
        <w:rPr>
          <w:rFonts w:ascii="KaiTi" w:eastAsia="KaiTi" w:hAnsi="KaiTi" w:cs="KaiTi"/>
          <w:spacing w:val="59"/>
        </w:rPr>
        <w:t xml:space="preserve"> </w:t>
      </w:r>
      <w:r>
        <w:rPr>
          <w:rFonts w:ascii="KaiTi" w:eastAsia="KaiTi" w:hAnsi="KaiTi" w:cs="KaiTi"/>
          <w:spacing w:val="-7"/>
        </w:rPr>
        <w:t>纳斯达克放弃全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</w:rPr>
        <w:t>球扩张，战略重心回到美国境内。</w:t>
      </w:r>
    </w:p>
    <w:p>
      <w:pPr>
        <w:spacing w:line="330" w:lineRule="auto"/>
        <w:rPr>
          <w:rFonts w:ascii="Arial"/>
          <w:sz w:val="21"/>
        </w:rPr>
      </w:pPr>
    </w:p>
    <w:p>
      <w:pPr>
        <w:pStyle w:val="BodyText"/>
        <w:spacing w:before="69" w:line="218" w:lineRule="auto"/>
        <w:ind w:left="2554"/>
        <w:rPr>
          <w:rFonts w:ascii="KaiTi" w:eastAsia="KaiTi" w:hAnsi="KaiTi" w:cs="KaiTi"/>
        </w:rPr>
      </w:pPr>
      <w:r>
        <w:rPr>
          <w:b/>
          <w:bCs/>
          <w:spacing w:val="-1"/>
        </w:rPr>
        <w:t>2003-2006</w:t>
      </w:r>
      <w:r>
        <w:rPr>
          <w:rFonts w:ascii="KaiTi" w:eastAsia="KaiTi" w:hAnsi="KaiTi" w:cs="KaiTi"/>
          <w:spacing w:val="-1"/>
          <w14:textOutline w14:w="3831">
            <w14:solidFill>
              <w14:srgbClr w14:val="000000"/>
            </w14:solidFill>
            <w14:prstDash w14:val="solid"/>
            <w14:miter w14:lim="10"/>
          </w14:textOutline>
        </w:rPr>
        <w:t>：重新专注于美国市场</w:t>
      </w:r>
    </w:p>
    <w:p>
      <w:pPr>
        <w:pStyle w:val="BodyText"/>
        <w:spacing w:before="93" w:line="256" w:lineRule="auto"/>
        <w:ind w:left="2551" w:right="386" w:firstLine="1"/>
        <w:rPr>
          <w:rFonts w:ascii="KaiTi" w:eastAsia="KaiTi" w:hAnsi="KaiTi" w:cs="KaiTi"/>
        </w:rPr>
      </w:pPr>
      <w:r>
        <w:rPr>
          <w:spacing w:val="-2"/>
        </w:rPr>
        <w:t xml:space="preserve">2003 </w:t>
      </w:r>
      <w:r>
        <w:rPr>
          <w:rFonts w:ascii="KaiTi" w:eastAsia="KaiTi" w:hAnsi="KaiTi" w:cs="KaiTi"/>
          <w:spacing w:val="-2"/>
        </w:rPr>
        <w:t>年，</w:t>
      </w:r>
      <w:r>
        <w:rPr>
          <w:rFonts w:ascii="KaiTi" w:eastAsia="KaiTi" w:hAnsi="KaiTi" w:cs="KaiTi"/>
          <w:spacing w:val="-44"/>
        </w:rPr>
        <w:t xml:space="preserve"> </w:t>
      </w:r>
      <w:r>
        <w:rPr>
          <w:rFonts w:ascii="KaiTi" w:eastAsia="KaiTi" w:hAnsi="KaiTi" w:cs="KaiTi"/>
          <w:spacing w:val="-2"/>
        </w:rPr>
        <w:t>公司制定了“</w:t>
      </w:r>
      <w:r>
        <w:rPr>
          <w:spacing w:val="-2"/>
        </w:rPr>
        <w:t>being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predominant</w:t>
      </w:r>
      <w:r>
        <w:rPr>
          <w:spacing w:val="-14"/>
        </w:rPr>
        <w:t xml:space="preserve"> </w:t>
      </w:r>
      <w:r>
        <w:rPr>
          <w:spacing w:val="-2"/>
        </w:rPr>
        <w:t>U.S. sto</w:t>
      </w:r>
      <w:r>
        <w:rPr>
          <w:spacing w:val="-3"/>
        </w:rPr>
        <w:t>ck</w:t>
      </w:r>
      <w:r>
        <w:rPr>
          <w:spacing w:val="-11"/>
        </w:rPr>
        <w:t xml:space="preserve"> </w:t>
      </w:r>
      <w:r>
        <w:rPr>
          <w:spacing w:val="-3"/>
        </w:rPr>
        <w:t>market</w:t>
      </w:r>
      <w:r>
        <w:rPr>
          <w:rFonts w:ascii="KaiTi" w:eastAsia="KaiTi" w:hAnsi="KaiTi" w:cs="KaiTi"/>
          <w:spacing w:val="-3"/>
        </w:rPr>
        <w:t>”的长期目标，希望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  <w:spacing w:val="-5"/>
        </w:rPr>
        <w:t>从上市到交易的各个维度均获取美国国内更多的市场份额。</w:t>
      </w:r>
      <w:r>
        <w:rPr>
          <w:spacing w:val="-5"/>
        </w:rPr>
        <w:t>1</w:t>
      </w:r>
      <w:r>
        <w:rPr>
          <w:rFonts w:ascii="KaiTi" w:eastAsia="KaiTi" w:hAnsi="KaiTi" w:cs="KaiTi"/>
          <w:spacing w:val="-5"/>
        </w:rPr>
        <w:t>）</w:t>
      </w:r>
      <w:r>
        <w:rPr>
          <w:spacing w:val="-5"/>
        </w:rPr>
        <w:t xml:space="preserve">2003 </w:t>
      </w:r>
      <w:r>
        <w:rPr>
          <w:rFonts w:ascii="KaiTi" w:eastAsia="KaiTi" w:hAnsi="KaiTi" w:cs="KaiTi"/>
          <w:spacing w:val="-5"/>
        </w:rPr>
        <w:t>年，</w:t>
      </w:r>
      <w:r>
        <w:rPr>
          <w:rFonts w:ascii="KaiTi" w:eastAsia="KaiTi" w:hAnsi="KaiTi" w:cs="KaiTi"/>
          <w:spacing w:val="-45"/>
        </w:rPr>
        <w:t xml:space="preserve"> </w:t>
      </w:r>
      <w:r>
        <w:rPr>
          <w:rFonts w:ascii="KaiTi" w:eastAsia="KaiTi" w:hAnsi="KaiTi" w:cs="KaiTi"/>
          <w:spacing w:val="-5"/>
        </w:rPr>
        <w:t>由于整个</w:t>
      </w:r>
    </w:p>
    <w:p>
      <w:pPr>
        <w:spacing w:line="256" w:lineRule="auto"/>
        <w:rPr>
          <w:rFonts w:ascii="KaiTi" w:eastAsia="KaiTi" w:hAnsi="KaiTi" w:cs="KaiTi"/>
        </w:rPr>
        <w:sectPr>
          <w:headerReference w:type="default" r:id="rId25"/>
          <w:footerReference w:type="default" r:id="rId26"/>
          <w:type w:val="nextPage"/>
          <w:pgSz w:w="11907" w:h="16839"/>
          <w:pgMar w:top="1596" w:right="739" w:bottom="1480" w:left="854" w:header="852" w:footer="990" w:gutter="0"/>
          <w:pgNumType w:start="9"/>
          <w:cols w:space="708"/>
          <w:titlePg w:val="0"/>
        </w:sectPr>
      </w:pPr>
    </w:p>
    <w:p>
      <w:pPr>
        <w:pStyle w:val="BodyText"/>
        <w:spacing w:before="35" w:line="291" w:lineRule="auto"/>
        <w:ind w:left="2551" w:right="235" w:firstLine="1"/>
        <w:jc w:val="both"/>
        <w:rPr>
          <w:rFonts w:ascii="KaiTi" w:eastAsia="KaiTi" w:hAnsi="KaiTi" w:cs="KaiTi"/>
        </w:rPr>
      </w:pPr>
      <w:r>
        <w:rPr>
          <w:rFonts w:ascii="KaiTi" w:eastAsia="KaiTi" w:hAnsi="KaiTi" w:cs="KaiTi"/>
          <w:spacing w:val="19"/>
        </w:rPr>
        <w:t>行业交易量的下滑加之纳斯达克的市场份额正迅速流失向</w:t>
      </w:r>
      <w:r>
        <w:rPr>
          <w:rFonts w:ascii="KaiTi" w:eastAsia="KaiTi" w:hAnsi="KaiTi" w:cs="KaiTi"/>
          <w:spacing w:val="19"/>
        </w:rPr>
        <w:t xml:space="preserve"> </w:t>
      </w:r>
      <w:r>
        <w:t>ECN</w:t>
      </w:r>
      <w:r>
        <w:rPr>
          <w:rFonts w:ascii="KaiTi" w:eastAsia="KaiTi" w:hAnsi="KaiTi" w:cs="KaiTi"/>
          <w:spacing w:val="19"/>
        </w:rPr>
        <w:t>（</w:t>
      </w:r>
      <w:r>
        <w:t>Electronic</w:t>
      </w:r>
      <w:r>
        <w:rPr>
          <w:spacing w:val="6"/>
        </w:rPr>
        <w:t xml:space="preserve"> </w:t>
      </w:r>
      <w:r>
        <w:t>Communication</w:t>
      </w:r>
      <w:r>
        <w:rPr>
          <w:spacing w:val="-19"/>
        </w:rPr>
        <w:t xml:space="preserve"> </w:t>
      </w:r>
      <w:r>
        <w:t>Network</w:t>
      </w:r>
      <w:r>
        <w:rPr>
          <w:rFonts w:ascii="KaiTi" w:eastAsia="KaiTi" w:hAnsi="KaiTi" w:cs="KaiTi"/>
        </w:rPr>
        <w:t>）竞争</w:t>
      </w:r>
      <w:r>
        <w:rPr>
          <w:rFonts w:ascii="KaiTi" w:eastAsia="KaiTi" w:hAnsi="KaiTi" w:cs="KaiTi"/>
          <w:spacing w:val="-1"/>
        </w:rPr>
        <w:t>对手，纳斯达克交易业务收入下滑</w:t>
      </w:r>
      <w:r>
        <w:rPr>
          <w:rFonts w:ascii="KaiTi" w:eastAsia="KaiTi" w:hAnsi="KaiTi" w:cs="KaiTi"/>
          <w:spacing w:val="-48"/>
        </w:rPr>
        <w:t xml:space="preserve"> </w:t>
      </w:r>
      <w:r>
        <w:rPr>
          <w:spacing w:val="-1"/>
        </w:rPr>
        <w:t>20%</w:t>
      </w:r>
      <w:r>
        <w:rPr>
          <w:rFonts w:ascii="KaiTi" w:eastAsia="KaiTi" w:hAnsi="KaiTi" w:cs="KaiTi"/>
          <w:spacing w:val="-1"/>
        </w:rPr>
        <w:t>，公司选择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  <w:spacing w:val="-1"/>
        </w:rPr>
        <w:t>收购</w:t>
      </w:r>
      <w:r>
        <w:rPr>
          <w:rFonts w:ascii="KaiTi" w:eastAsia="KaiTi" w:hAnsi="KaiTi" w:cs="KaiTi"/>
          <w:spacing w:val="-33"/>
        </w:rPr>
        <w:t xml:space="preserve"> </w:t>
      </w:r>
      <w:r>
        <w:rPr>
          <w:spacing w:val="-1"/>
        </w:rPr>
        <w:t xml:space="preserve">BrutECN </w:t>
      </w:r>
      <w:r>
        <w:rPr>
          <w:rFonts w:ascii="KaiTi" w:eastAsia="KaiTi" w:hAnsi="KaiTi" w:cs="KaiTi"/>
          <w:spacing w:val="-1"/>
        </w:rPr>
        <w:t>提升电子交易技术，并通过收购竞争对手</w:t>
      </w:r>
      <w:r>
        <w:rPr>
          <w:rFonts w:ascii="KaiTi" w:eastAsia="KaiTi" w:hAnsi="KaiTi" w:cs="KaiTi"/>
          <w:spacing w:val="-46"/>
        </w:rPr>
        <w:t xml:space="preserve"> </w:t>
      </w:r>
      <w:r>
        <w:rPr>
          <w:spacing w:val="-1"/>
        </w:rPr>
        <w:t>INET</w:t>
      </w:r>
      <w:r>
        <w:rPr>
          <w:spacing w:val="23"/>
          <w:w w:val="101"/>
        </w:rPr>
        <w:t xml:space="preserve"> </w:t>
      </w:r>
      <w:r>
        <w:rPr>
          <w:rFonts w:ascii="KaiTi" w:eastAsia="KaiTi" w:hAnsi="KaiTi" w:cs="KaiTi"/>
          <w:spacing w:val="-1"/>
        </w:rPr>
        <w:t>以提升交易市场份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  <w:spacing w:val="-6"/>
        </w:rPr>
        <w:t>额。此外，</w:t>
      </w:r>
      <w:r>
        <w:rPr>
          <w:rFonts w:ascii="KaiTi" w:eastAsia="KaiTi" w:hAnsi="KaiTi" w:cs="KaiTi"/>
          <w:spacing w:val="-21"/>
        </w:rPr>
        <w:t xml:space="preserve"> </w:t>
      </w:r>
      <w:r>
        <w:rPr>
          <w:spacing w:val="-6"/>
        </w:rPr>
        <w:t xml:space="preserve">2005 </w:t>
      </w:r>
      <w:r>
        <w:rPr>
          <w:rFonts w:ascii="KaiTi" w:eastAsia="KaiTi" w:hAnsi="KaiTi" w:cs="KaiTi"/>
          <w:spacing w:val="-6"/>
        </w:rPr>
        <w:t>年美国证券交易委员会</w:t>
      </w:r>
      <w:r>
        <w:rPr>
          <w:rFonts w:ascii="KaiTi" w:eastAsia="KaiTi" w:hAnsi="KaiTi" w:cs="KaiTi"/>
          <w:spacing w:val="-39"/>
        </w:rPr>
        <w:t xml:space="preserve"> </w:t>
      </w:r>
      <w:r>
        <w:rPr>
          <w:spacing w:val="-6"/>
        </w:rPr>
        <w:t xml:space="preserve">SEC </w:t>
      </w:r>
      <w:r>
        <w:rPr>
          <w:rFonts w:ascii="KaiTi" w:eastAsia="KaiTi" w:hAnsi="KaiTi" w:cs="KaiTi"/>
          <w:spacing w:val="-6"/>
        </w:rPr>
        <w:t>通过了</w:t>
      </w:r>
      <w:r>
        <w:rPr>
          <w:rFonts w:ascii="KaiTi" w:eastAsia="KaiTi" w:hAnsi="KaiTi" w:cs="KaiTi"/>
          <w:spacing w:val="-57"/>
        </w:rPr>
        <w:t xml:space="preserve"> </w:t>
      </w:r>
      <w:r>
        <w:rPr>
          <w:spacing w:val="-6"/>
        </w:rPr>
        <w:t>NMS</w:t>
      </w:r>
      <w:r>
        <w:rPr>
          <w:spacing w:val="16"/>
        </w:rPr>
        <w:t xml:space="preserve"> </w:t>
      </w:r>
      <w:r>
        <w:rPr>
          <w:rFonts w:ascii="KaiTi" w:eastAsia="KaiTi" w:hAnsi="KaiTi" w:cs="KaiTi"/>
          <w:spacing w:val="-6"/>
        </w:rPr>
        <w:t>法规，</w:t>
      </w:r>
      <w:r>
        <w:rPr>
          <w:rFonts w:ascii="KaiTi" w:eastAsia="KaiTi" w:hAnsi="KaiTi" w:cs="KaiTi"/>
          <w:spacing w:val="-6"/>
        </w:rPr>
        <w:t xml:space="preserve"> </w:t>
      </w:r>
      <w:r>
        <w:rPr>
          <w:rFonts w:ascii="KaiTi" w:eastAsia="KaiTi" w:hAnsi="KaiTi" w:cs="KaiTi"/>
          <w:spacing w:val="-6"/>
        </w:rPr>
        <w:t>该项强调报价保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</w:rPr>
        <w:t>护、要求交易所提供更广泛市场信息的规定旨在增加市场的透明度。这项规定使</w:t>
      </w:r>
      <w:r>
        <w:rPr>
          <w:rFonts w:ascii="KaiTi" w:eastAsia="KaiTi" w:hAnsi="KaiTi" w:cs="KaiTi"/>
          <w:spacing w:val="17"/>
        </w:rPr>
        <w:t xml:space="preserve"> </w:t>
      </w:r>
      <w:r>
        <w:rPr>
          <w:rFonts w:ascii="KaiTi" w:eastAsia="KaiTi" w:hAnsi="KaiTi" w:cs="KaiTi"/>
          <w:spacing w:val="-2"/>
        </w:rPr>
        <w:t>更多交易流向一直致力于电子报价和减少交易延迟的纳斯达</w:t>
      </w:r>
      <w:r>
        <w:rPr>
          <w:rFonts w:ascii="KaiTi" w:eastAsia="KaiTi" w:hAnsi="KaiTi" w:cs="KaiTi"/>
          <w:spacing w:val="-3"/>
        </w:rPr>
        <w:t>克交易所。</w:t>
      </w:r>
      <w:r>
        <w:rPr>
          <w:spacing w:val="-3"/>
        </w:rPr>
        <w:t>2</w:t>
      </w:r>
      <w:r>
        <w:rPr>
          <w:rFonts w:ascii="KaiTi" w:eastAsia="KaiTi" w:hAnsi="KaiTi" w:cs="KaiTi"/>
          <w:spacing w:val="-3"/>
        </w:rPr>
        <w:t>）为了积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  <w:spacing w:val="-1"/>
        </w:rPr>
        <w:t>极争取在其他交易所的上市公司资源，</w:t>
      </w:r>
      <w:r>
        <w:rPr>
          <w:spacing w:val="-1"/>
        </w:rPr>
        <w:t xml:space="preserve">2004 </w:t>
      </w:r>
      <w:r>
        <w:rPr>
          <w:rFonts w:ascii="KaiTi" w:eastAsia="KaiTi" w:hAnsi="KaiTi" w:cs="KaiTi"/>
          <w:spacing w:val="-1"/>
        </w:rPr>
        <w:t>年，纳斯达克提出了双重上市建议并</w:t>
      </w:r>
      <w:r>
        <w:rPr>
          <w:rFonts w:ascii="KaiTi" w:eastAsia="KaiTi" w:hAnsi="KaiTi" w:cs="KaiTi"/>
          <w:spacing w:val="8"/>
        </w:rPr>
        <w:t xml:space="preserve"> </w:t>
      </w:r>
      <w:r>
        <w:rPr>
          <w:rFonts w:ascii="KaiTi" w:eastAsia="KaiTi" w:hAnsi="KaiTi" w:cs="KaiTi"/>
          <w:spacing w:val="-3"/>
        </w:rPr>
        <w:t>成功实施，</w:t>
      </w:r>
      <w:r>
        <w:rPr>
          <w:rFonts w:ascii="KaiTi" w:eastAsia="KaiTi" w:hAnsi="KaiTi" w:cs="KaiTi"/>
          <w:spacing w:val="-24"/>
        </w:rPr>
        <w:t xml:space="preserve"> </w:t>
      </w:r>
      <w:r>
        <w:rPr>
          <w:rFonts w:ascii="KaiTi" w:eastAsia="KaiTi" w:hAnsi="KaiTi" w:cs="KaiTi"/>
          <w:spacing w:val="-3"/>
        </w:rPr>
        <w:t>争取到嘉信理财和惠普等</w:t>
      </w:r>
      <w:r>
        <w:rPr>
          <w:rFonts w:ascii="KaiTi" w:eastAsia="KaiTi" w:hAnsi="KaiTi" w:cs="KaiTi"/>
          <w:spacing w:val="-3"/>
        </w:rPr>
        <w:t xml:space="preserve"> </w:t>
      </w:r>
      <w:r>
        <w:rPr>
          <w:spacing w:val="-3"/>
        </w:rPr>
        <w:t>6</w:t>
      </w:r>
      <w:r>
        <w:rPr>
          <w:spacing w:val="51"/>
        </w:rPr>
        <w:t xml:space="preserve"> </w:t>
      </w:r>
      <w:r>
        <w:rPr>
          <w:rFonts w:ascii="KaiTi" w:eastAsia="KaiTi" w:hAnsi="KaiTi" w:cs="KaiTi"/>
          <w:spacing w:val="-3"/>
        </w:rPr>
        <w:t>家</w:t>
      </w:r>
      <w:r>
        <w:rPr>
          <w:rFonts w:ascii="KaiTi" w:eastAsia="KaiTi" w:hAnsi="KaiTi" w:cs="KaiTi"/>
          <w:spacing w:val="-4"/>
        </w:rPr>
        <w:t>纽交所上市公司。</w:t>
      </w:r>
      <w:r>
        <w:rPr>
          <w:spacing w:val="-4"/>
        </w:rPr>
        <w:t>3</w:t>
      </w:r>
      <w:r>
        <w:rPr>
          <w:rFonts w:ascii="KaiTi" w:eastAsia="KaiTi" w:hAnsi="KaiTi" w:cs="KaiTi"/>
          <w:spacing w:val="-4"/>
        </w:rPr>
        <w:t>）</w:t>
      </w:r>
      <w:r>
        <w:rPr>
          <w:spacing w:val="-4"/>
        </w:rPr>
        <w:t>2006</w:t>
      </w:r>
      <w:r>
        <w:rPr>
          <w:spacing w:val="24"/>
        </w:rPr>
        <w:t xml:space="preserve"> </w:t>
      </w:r>
      <w:r>
        <w:rPr>
          <w:rFonts w:ascii="KaiTi" w:eastAsia="KaiTi" w:hAnsi="KaiTi" w:cs="KaiTi"/>
          <w:spacing w:val="-4"/>
        </w:rPr>
        <w:t>公司年宣布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  <w:spacing w:val="1"/>
        </w:rPr>
        <w:t>纳斯达克全国市场再次进行分层（</w:t>
      </w:r>
      <w:r>
        <w:rPr>
          <w:spacing w:val="1"/>
        </w:rPr>
        <w:t xml:space="preserve">1982  </w:t>
      </w:r>
      <w:r>
        <w:rPr>
          <w:rFonts w:ascii="KaiTi" w:eastAsia="KaiTi" w:hAnsi="KaiTi" w:cs="KaiTi"/>
          <w:spacing w:val="1"/>
        </w:rPr>
        <w:t>年首次分层</w:t>
      </w:r>
      <w:r>
        <w:rPr>
          <w:rFonts w:ascii="KaiTi" w:eastAsia="KaiTi" w:hAnsi="KaiTi" w:cs="KaiTi"/>
          <w:spacing w:val="-42"/>
          <w:w w:val="92"/>
        </w:rPr>
        <w:t>），</w:t>
      </w:r>
      <w:r>
        <w:rPr>
          <w:rFonts w:ascii="KaiTi" w:eastAsia="KaiTi" w:hAnsi="KaiTi" w:cs="KaiTi"/>
          <w:spacing w:val="1"/>
        </w:rPr>
        <w:t>纳斯达克</w:t>
      </w:r>
      <w:r>
        <w:rPr>
          <w:rFonts w:ascii="KaiTi" w:eastAsia="KaiTi" w:hAnsi="KaiTi" w:cs="KaiTi"/>
        </w:rPr>
        <w:t>全球市场和纳斯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  <w:spacing w:val="-3"/>
        </w:rPr>
        <w:t>达克全球精选市场。</w:t>
      </w:r>
    </w:p>
    <w:p>
      <w:pPr>
        <w:spacing w:line="325" w:lineRule="auto"/>
        <w:rPr>
          <w:rFonts w:ascii="Arial"/>
          <w:sz w:val="21"/>
        </w:rPr>
      </w:pPr>
    </w:p>
    <w:p>
      <w:pPr>
        <w:pStyle w:val="BodyText"/>
        <w:spacing w:before="68" w:line="216" w:lineRule="auto"/>
        <w:ind w:left="2554"/>
        <w:rPr>
          <w:rFonts w:ascii="KaiTi" w:eastAsia="KaiTi" w:hAnsi="KaiTi" w:cs="KaiTi"/>
        </w:rPr>
      </w:pPr>
      <w:r>
        <w:rPr>
          <w:b/>
          <w:bCs/>
          <w:spacing w:val="-1"/>
        </w:rPr>
        <w:t>2007-2010</w:t>
      </w:r>
      <w:r>
        <w:rPr>
          <w:rFonts w:ascii="KaiTi" w:eastAsia="KaiTi" w:hAnsi="KaiTi" w:cs="KaiTi"/>
          <w:spacing w:val="-1"/>
          <w14:textOutline w14:w="3831">
            <w14:solidFill>
              <w14:srgbClr w14:val="000000"/>
            </w14:solidFill>
            <w14:prstDash w14:val="solid"/>
            <w14:miter w14:lim="10"/>
          </w14:textOutline>
        </w:rPr>
        <w:t>：美国现货到全球多资产</w:t>
      </w:r>
    </w:p>
    <w:p>
      <w:pPr>
        <w:pStyle w:val="BodyText"/>
        <w:spacing w:before="91" w:line="288" w:lineRule="auto"/>
        <w:ind w:left="2553" w:right="62" w:firstLine="1"/>
        <w:rPr>
          <w:rFonts w:ascii="KaiTi" w:eastAsia="KaiTi" w:hAnsi="KaiTi" w:cs="KaiTi"/>
        </w:rPr>
      </w:pPr>
      <w:r>
        <w:rPr>
          <w:rFonts w:ascii="KaiTi" w:eastAsia="KaiTi" w:hAnsi="KaiTi" w:cs="KaiTi"/>
          <w:spacing w:val="-5"/>
          <w14:textOutline w14:w="3831">
            <w14:solidFill>
              <w14:srgbClr w14:val="000000"/>
            </w14:solidFill>
            <w14:prstDash w14:val="solid"/>
            <w14:miter w14:lim="10"/>
          </w14:textOutline>
        </w:rPr>
        <w:t>全球化：</w:t>
      </w:r>
      <w:r>
        <w:rPr>
          <w:rFonts w:ascii="KaiTi" w:eastAsia="KaiTi" w:hAnsi="KaiTi" w:cs="KaiTi"/>
          <w:spacing w:val="-5"/>
        </w:rPr>
        <w:t xml:space="preserve"> </w:t>
      </w:r>
      <w:r>
        <w:rPr>
          <w:rFonts w:ascii="KaiTi" w:eastAsia="KaiTi" w:hAnsi="KaiTi" w:cs="KaiTi"/>
          <w:spacing w:val="-5"/>
        </w:rPr>
        <w:t>为了进一步扩大作为交易所的全球影响力，纳斯达克于</w:t>
      </w:r>
      <w:r>
        <w:rPr>
          <w:rFonts w:ascii="KaiTi" w:eastAsia="KaiTi" w:hAnsi="KaiTi" w:cs="KaiTi"/>
          <w:spacing w:val="-50"/>
        </w:rPr>
        <w:t xml:space="preserve"> </w:t>
      </w:r>
      <w:r>
        <w:rPr>
          <w:spacing w:val="-5"/>
        </w:rPr>
        <w:t xml:space="preserve">2007 </w:t>
      </w:r>
      <w:r>
        <w:rPr>
          <w:rFonts w:ascii="KaiTi" w:eastAsia="KaiTi" w:hAnsi="KaiTi" w:cs="KaiTi"/>
          <w:spacing w:val="-5"/>
        </w:rPr>
        <w:t>年开始</w:t>
      </w:r>
      <w:r>
        <w:rPr>
          <w:rFonts w:ascii="KaiTi" w:eastAsia="KaiTi" w:hAnsi="KaiTi" w:cs="KaiTi"/>
          <w:spacing w:val="-6"/>
        </w:rPr>
        <w:t>了与</w:t>
      </w:r>
      <w:r>
        <w:rPr>
          <w:rFonts w:ascii="KaiTi" w:eastAsia="KaiTi" w:hAnsi="KaiTi" w:cs="KaiTi"/>
          <w:spacing w:val="-6"/>
        </w:rPr>
        <w:t xml:space="preserve">  </w:t>
      </w:r>
      <w:r>
        <w:rPr>
          <w:rFonts w:ascii="KaiTi" w:eastAsia="KaiTi" w:hAnsi="KaiTi" w:cs="KaiTi"/>
          <w:spacing w:val="-1"/>
        </w:rPr>
        <w:t>北欧的交易所运营商</w:t>
      </w:r>
      <w:r>
        <w:rPr>
          <w:rFonts w:ascii="KaiTi" w:eastAsia="KaiTi" w:hAnsi="KaiTi" w:cs="KaiTi"/>
          <w:spacing w:val="-21"/>
        </w:rPr>
        <w:t xml:space="preserve"> </w:t>
      </w:r>
      <w:r>
        <w:rPr>
          <w:spacing w:val="-1"/>
        </w:rPr>
        <w:t>OMX</w:t>
      </w:r>
      <w:r>
        <w:rPr>
          <w:spacing w:val="45"/>
          <w:w w:val="101"/>
        </w:rPr>
        <w:t xml:space="preserve"> </w:t>
      </w:r>
      <w:r>
        <w:rPr>
          <w:rFonts w:ascii="KaiTi" w:eastAsia="KaiTi" w:hAnsi="KaiTi" w:cs="KaiTi"/>
          <w:spacing w:val="-1"/>
        </w:rPr>
        <w:t>集团的合并。此外，通过与迪拜证券交易所的股权交</w:t>
      </w:r>
      <w:r>
        <w:rPr>
          <w:rFonts w:ascii="KaiTi" w:eastAsia="KaiTi" w:hAnsi="KaiTi" w:cs="KaiTi"/>
          <w:spacing w:val="-1"/>
        </w:rPr>
        <w:t xml:space="preserve">  </w:t>
      </w:r>
      <w:r>
        <w:rPr>
          <w:rFonts w:ascii="KaiTi" w:eastAsia="KaiTi" w:hAnsi="KaiTi" w:cs="KaiTi"/>
          <w:spacing w:val="-3"/>
        </w:rPr>
        <w:t>换（纳斯达克获取迪拜交易所三分之一股权，迪拜交易所获取纳斯达克</w:t>
      </w:r>
      <w:r>
        <w:rPr>
          <w:rFonts w:ascii="KaiTi" w:eastAsia="KaiTi" w:hAnsi="KaiTi" w:cs="KaiTi"/>
          <w:spacing w:val="-35"/>
        </w:rPr>
        <w:t xml:space="preserve"> </w:t>
      </w:r>
      <w:r>
        <w:rPr>
          <w:spacing w:val="-3"/>
        </w:rPr>
        <w:t>OMX 19.9%</w:t>
      </w:r>
      <w:r>
        <w:t xml:space="preserve"> </w:t>
      </w:r>
      <w:r>
        <w:rPr>
          <w:rFonts w:ascii="KaiTi" w:eastAsia="KaiTi" w:hAnsi="KaiTi" w:cs="KaiTi"/>
          <w:spacing w:val="-5"/>
        </w:rPr>
        <w:t>股权</w:t>
      </w:r>
      <w:r>
        <w:rPr>
          <w:rFonts w:ascii="KaiTi" w:eastAsia="KaiTi" w:hAnsi="KaiTi" w:cs="KaiTi"/>
          <w:spacing w:val="-14"/>
        </w:rPr>
        <w:t>），</w:t>
      </w:r>
      <w:r>
        <w:rPr>
          <w:rFonts w:ascii="KaiTi" w:eastAsia="KaiTi" w:hAnsi="KaiTi" w:cs="KaiTi"/>
          <w:spacing w:val="-5"/>
        </w:rPr>
        <w:t>纳斯达克的品牌和技术推广至中东市场。</w:t>
      </w:r>
      <w:r>
        <w:rPr>
          <w:spacing w:val="-5"/>
        </w:rPr>
        <w:t xml:space="preserve">2008  </w:t>
      </w:r>
      <w:r>
        <w:rPr>
          <w:rFonts w:ascii="KaiTi" w:eastAsia="KaiTi" w:hAnsi="KaiTi" w:cs="KaiTi"/>
          <w:spacing w:val="-5"/>
        </w:rPr>
        <w:t>年，</w:t>
      </w:r>
      <w:r>
        <w:rPr>
          <w:rFonts w:ascii="KaiTi" w:eastAsia="KaiTi" w:hAnsi="KaiTi" w:cs="KaiTi"/>
          <w:spacing w:val="-37"/>
        </w:rPr>
        <w:t xml:space="preserve"> </w:t>
      </w:r>
      <w:r>
        <w:rPr>
          <w:rFonts w:ascii="KaiTi" w:eastAsia="KaiTi" w:hAnsi="KaiTi" w:cs="KaiTi"/>
          <w:spacing w:val="-5"/>
        </w:rPr>
        <w:t>纳斯达克</w:t>
      </w:r>
      <w:r>
        <w:rPr>
          <w:rFonts w:ascii="KaiTi" w:eastAsia="KaiTi" w:hAnsi="KaiTi" w:cs="KaiTi"/>
          <w:spacing w:val="-5"/>
        </w:rPr>
        <w:t xml:space="preserve"> </w:t>
      </w:r>
      <w:r>
        <w:rPr>
          <w:spacing w:val="-5"/>
        </w:rPr>
        <w:t xml:space="preserve">OMX  </w:t>
      </w:r>
      <w:r>
        <w:rPr>
          <w:rFonts w:ascii="KaiTi" w:eastAsia="KaiTi" w:hAnsi="KaiTi" w:cs="KaiTi"/>
          <w:spacing w:val="-5"/>
        </w:rPr>
        <w:t>的业</w:t>
      </w:r>
      <w:r>
        <w:rPr>
          <w:rFonts w:ascii="KaiTi" w:eastAsia="KaiTi" w:hAnsi="KaiTi" w:cs="KaiTi"/>
          <w:spacing w:val="-5"/>
        </w:rPr>
        <w:t xml:space="preserve">  </w:t>
      </w:r>
      <w:r>
        <w:rPr>
          <w:rFonts w:ascii="KaiTi" w:eastAsia="KaiTi" w:hAnsi="KaiTi" w:cs="KaiTi"/>
        </w:rPr>
        <w:t>务扩展到各大洲和各类资产，从一家纯粹的美国现金股票交易所转变为一家全球</w:t>
      </w:r>
      <w:r>
        <w:rPr>
          <w:rFonts w:ascii="KaiTi" w:eastAsia="KaiTi" w:hAnsi="KaiTi" w:cs="KaiTi"/>
        </w:rPr>
        <w:t xml:space="preserve">  </w:t>
      </w:r>
      <w:r>
        <w:rPr>
          <w:rFonts w:ascii="KaiTi" w:eastAsia="KaiTi" w:hAnsi="KaiTi" w:cs="KaiTi"/>
          <w:spacing w:val="-6"/>
        </w:rPr>
        <w:t>性交易所公司，</w:t>
      </w:r>
      <w:r>
        <w:rPr>
          <w:rFonts w:ascii="KaiTi" w:eastAsia="KaiTi" w:hAnsi="KaiTi" w:cs="KaiTi"/>
          <w:spacing w:val="-26"/>
        </w:rPr>
        <w:t xml:space="preserve"> </w:t>
      </w:r>
      <w:r>
        <w:rPr>
          <w:rFonts w:ascii="KaiTi" w:eastAsia="KaiTi" w:hAnsi="KaiTi" w:cs="KaiTi"/>
          <w:spacing w:val="-6"/>
        </w:rPr>
        <w:t>在全球拥有并运营</w:t>
      </w:r>
      <w:r>
        <w:rPr>
          <w:rFonts w:ascii="KaiTi" w:eastAsia="KaiTi" w:hAnsi="KaiTi" w:cs="KaiTi"/>
          <w:spacing w:val="-43"/>
        </w:rPr>
        <w:t xml:space="preserve"> </w:t>
      </w:r>
      <w:r>
        <w:rPr>
          <w:spacing w:val="-6"/>
        </w:rPr>
        <w:t>22</w:t>
      </w:r>
      <w:r>
        <w:rPr>
          <w:spacing w:val="16"/>
          <w:w w:val="101"/>
        </w:rPr>
        <w:t xml:space="preserve"> </w:t>
      </w:r>
      <w:r>
        <w:rPr>
          <w:rFonts w:ascii="KaiTi" w:eastAsia="KaiTi" w:hAnsi="KaiTi" w:cs="KaiTi"/>
          <w:spacing w:val="-6"/>
        </w:rPr>
        <w:t>个市场和</w:t>
      </w:r>
      <w:r>
        <w:rPr>
          <w:rFonts w:ascii="KaiTi" w:eastAsia="KaiTi" w:hAnsi="KaiTi" w:cs="KaiTi"/>
          <w:spacing w:val="-23"/>
        </w:rPr>
        <w:t xml:space="preserve"> </w:t>
      </w:r>
      <w:r>
        <w:rPr>
          <w:spacing w:val="-6"/>
        </w:rPr>
        <w:t>10</w:t>
      </w:r>
      <w:r>
        <w:rPr>
          <w:spacing w:val="29"/>
          <w:w w:val="101"/>
        </w:rPr>
        <w:t xml:space="preserve"> </w:t>
      </w:r>
      <w:r>
        <w:rPr>
          <w:rFonts w:ascii="KaiTi" w:eastAsia="KaiTi" w:hAnsi="KaiTi" w:cs="KaiTi"/>
          <w:spacing w:val="-6"/>
        </w:rPr>
        <w:t>家清算所，</w:t>
      </w:r>
      <w:r>
        <w:rPr>
          <w:rFonts w:ascii="KaiTi" w:eastAsia="KaiTi" w:hAnsi="KaiTi" w:cs="KaiTi"/>
          <w:spacing w:val="-28"/>
        </w:rPr>
        <w:t xml:space="preserve"> </w:t>
      </w:r>
      <w:r>
        <w:rPr>
          <w:rFonts w:ascii="KaiTi" w:eastAsia="KaiTi" w:hAnsi="KaiTi" w:cs="KaiTi"/>
          <w:spacing w:val="-6"/>
        </w:rPr>
        <w:t>从事</w:t>
      </w:r>
      <w:r>
        <w:rPr>
          <w:rFonts w:ascii="KaiTi" w:eastAsia="KaiTi" w:hAnsi="KaiTi" w:cs="KaiTi"/>
          <w:spacing w:val="-7"/>
        </w:rPr>
        <w:t>股票、衍生品</w:t>
      </w:r>
      <w:r>
        <w:rPr>
          <w:rFonts w:ascii="KaiTi" w:eastAsia="KaiTi" w:hAnsi="KaiTi" w:cs="KaiTi"/>
          <w:spacing w:val="-7"/>
        </w:rPr>
        <w:t xml:space="preserve">  </w:t>
      </w:r>
      <w:r>
        <w:rPr>
          <w:rFonts w:ascii="KaiTi" w:eastAsia="KaiTi" w:hAnsi="KaiTi" w:cs="KaiTi"/>
          <w:spacing w:val="-1"/>
        </w:rPr>
        <w:t>和商品交易。</w:t>
      </w:r>
    </w:p>
    <w:p>
      <w:pPr>
        <w:spacing w:line="323" w:lineRule="auto"/>
        <w:rPr>
          <w:rFonts w:ascii="Arial"/>
          <w:sz w:val="21"/>
        </w:rPr>
      </w:pPr>
    </w:p>
    <w:p>
      <w:pPr>
        <w:pStyle w:val="BodyText"/>
        <w:spacing w:before="69" w:line="283" w:lineRule="auto"/>
        <w:ind w:left="2553" w:right="235" w:firstLine="17"/>
        <w:jc w:val="both"/>
        <w:rPr>
          <w:rFonts w:ascii="KaiTi" w:eastAsia="KaiTi" w:hAnsi="KaiTi" w:cs="KaiTi"/>
        </w:rPr>
      </w:pPr>
      <w:r>
        <w:rPr>
          <w:rFonts w:ascii="KaiTi" w:eastAsia="KaiTi" w:hAnsi="KaiTi" w:cs="KaiTi"/>
          <w:spacing w:val="-6"/>
          <w14:textOutline w14:w="3831">
            <w14:solidFill>
              <w14:srgbClr w14:val="000000"/>
            </w14:solidFill>
            <w14:prstDash w14:val="solid"/>
            <w14:miter w14:lim="10"/>
          </w14:textOutline>
        </w:rPr>
        <w:t>交易品种拓展：</w:t>
      </w:r>
      <w:r>
        <w:rPr>
          <w:rFonts w:ascii="KaiTi" w:eastAsia="KaiTi" w:hAnsi="KaiTi" w:cs="KaiTi"/>
          <w:spacing w:val="-6"/>
        </w:rPr>
        <w:t xml:space="preserve"> </w:t>
      </w:r>
      <w:r>
        <w:rPr>
          <w:rFonts w:ascii="KaiTi" w:eastAsia="KaiTi" w:hAnsi="KaiTi" w:cs="KaiTi"/>
          <w:spacing w:val="-6"/>
        </w:rPr>
        <w:t>公司于</w:t>
      </w:r>
      <w:r>
        <w:rPr>
          <w:rFonts w:ascii="KaiTi" w:eastAsia="KaiTi" w:hAnsi="KaiTi" w:cs="KaiTi"/>
          <w:spacing w:val="-48"/>
        </w:rPr>
        <w:t xml:space="preserve"> </w:t>
      </w:r>
      <w:r>
        <w:rPr>
          <w:spacing w:val="-6"/>
        </w:rPr>
        <w:t xml:space="preserve">2008 </w:t>
      </w:r>
      <w:r>
        <w:rPr>
          <w:rFonts w:ascii="KaiTi" w:eastAsia="KaiTi" w:hAnsi="KaiTi" w:cs="KaiTi"/>
          <w:spacing w:val="-6"/>
        </w:rPr>
        <w:t>年先后收</w:t>
      </w:r>
      <w:r>
        <w:rPr>
          <w:rFonts w:ascii="KaiTi" w:eastAsia="KaiTi" w:hAnsi="KaiTi" w:cs="KaiTi"/>
          <w:spacing w:val="-7"/>
        </w:rPr>
        <w:t>购了费城交易所和波士顿交易所，</w:t>
      </w:r>
      <w:r>
        <w:rPr>
          <w:rFonts w:ascii="KaiTi" w:eastAsia="KaiTi" w:hAnsi="KaiTi" w:cs="KaiTi"/>
          <w:spacing w:val="-63"/>
        </w:rPr>
        <w:t xml:space="preserve"> </w:t>
      </w:r>
      <w:r>
        <w:rPr>
          <w:rFonts w:ascii="KaiTi" w:eastAsia="KaiTi" w:hAnsi="KaiTi" w:cs="KaiTi"/>
          <w:spacing w:val="-7"/>
        </w:rPr>
        <w:t>并推出了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</w:rPr>
        <w:t>纳斯达克期权市场。前者使公司首次进入美国衍生品领域，波士顿证券交易所的</w:t>
      </w:r>
      <w:r>
        <w:rPr>
          <w:rFonts w:ascii="KaiTi" w:eastAsia="KaiTi" w:hAnsi="KaiTi" w:cs="KaiTi"/>
          <w:spacing w:val="15"/>
        </w:rPr>
        <w:t xml:space="preserve"> </w:t>
      </w:r>
      <w:r>
        <w:rPr>
          <w:rFonts w:ascii="KaiTi" w:eastAsia="KaiTi" w:hAnsi="KaiTi" w:cs="KaiTi"/>
        </w:rPr>
        <w:t>收购则为纳斯达克获得了清算许可和第二张交易所执照。通过收购</w:t>
      </w:r>
      <w:r>
        <w:rPr>
          <w:rFonts w:ascii="KaiTi" w:eastAsia="KaiTi" w:hAnsi="KaiTi" w:cs="KaiTi"/>
        </w:rPr>
        <w:t xml:space="preserve"> </w:t>
      </w:r>
      <w:r>
        <w:t>Nord</w:t>
      </w:r>
      <w:r>
        <w:rPr>
          <w:spacing w:val="-1"/>
        </w:rPr>
        <w:t xml:space="preserve"> Pool  </w:t>
      </w:r>
      <w:r>
        <w:rPr>
          <w:rFonts w:ascii="KaiTi" w:eastAsia="KaiTi" w:hAnsi="KaiTi" w:cs="KaiTi"/>
          <w:spacing w:val="-1"/>
        </w:rPr>
        <w:t>的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  <w:spacing w:val="-1"/>
        </w:rPr>
        <w:t>清算、国际衍生品和咨询子公司，纳斯达克</w:t>
      </w:r>
      <w:r>
        <w:rPr>
          <w:rFonts w:ascii="KaiTi" w:eastAsia="KaiTi" w:hAnsi="KaiTi" w:cs="KaiTi"/>
          <w:spacing w:val="-1"/>
        </w:rPr>
        <w:t xml:space="preserve"> </w:t>
      </w:r>
      <w:r>
        <w:rPr>
          <w:spacing w:val="-1"/>
        </w:rPr>
        <w:t xml:space="preserve">OMX </w:t>
      </w:r>
      <w:r>
        <w:rPr>
          <w:spacing w:val="-2"/>
        </w:rPr>
        <w:t xml:space="preserve"> </w:t>
      </w:r>
      <w:r>
        <w:rPr>
          <w:rFonts w:ascii="KaiTi" w:eastAsia="KaiTi" w:hAnsi="KaiTi" w:cs="KaiTi"/>
          <w:spacing w:val="-2"/>
        </w:rPr>
        <w:t>成为能源和碳衍生品领域的全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  <w:spacing w:val="-5"/>
        </w:rPr>
        <w:t>球领导者。</w:t>
      </w:r>
    </w:p>
    <w:p>
      <w:pPr>
        <w:spacing w:line="323" w:lineRule="auto"/>
        <w:rPr>
          <w:rFonts w:ascii="Arial"/>
          <w:sz w:val="21"/>
        </w:rPr>
      </w:pPr>
    </w:p>
    <w:p>
      <w:pPr>
        <w:pStyle w:val="BodyText"/>
        <w:spacing w:before="68" w:line="217" w:lineRule="auto"/>
        <w:ind w:left="2554"/>
        <w:rPr>
          <w:rFonts w:ascii="KaiTi" w:eastAsia="KaiTi" w:hAnsi="KaiTi" w:cs="KaiTi"/>
        </w:rPr>
      </w:pPr>
      <w:r>
        <w:rPr>
          <w:b/>
          <w:bCs/>
          <w:spacing w:val="-1"/>
        </w:rPr>
        <w:t>2011-2016</w:t>
      </w:r>
      <w:r>
        <w:rPr>
          <w:rFonts w:ascii="KaiTi" w:eastAsia="KaiTi" w:hAnsi="KaiTi" w:cs="KaiTi"/>
          <w:spacing w:val="-1"/>
          <w14:textOutline w14:w="3831">
            <w14:solidFill>
              <w14:srgbClr w14:val="000000"/>
            </w14:solidFill>
            <w14:prstDash w14:val="solid"/>
            <w14:miter w14:lim="10"/>
          </w14:textOutline>
        </w:rPr>
        <w:t>：探索新业务增长机会</w:t>
      </w:r>
    </w:p>
    <w:p>
      <w:pPr>
        <w:pStyle w:val="BodyText"/>
        <w:spacing w:before="98" w:line="293" w:lineRule="auto"/>
        <w:ind w:left="2549" w:right="237"/>
        <w:jc w:val="both"/>
        <w:rPr>
          <w:rFonts w:ascii="KaiTi" w:eastAsia="KaiTi" w:hAnsi="KaiTi" w:cs="KaiTi"/>
        </w:rPr>
      </w:pPr>
      <w:r>
        <w:rPr>
          <w:rFonts w:ascii="KaiTi" w:eastAsia="KaiTi" w:hAnsi="KaiTi" w:cs="KaiTi"/>
          <w:spacing w:val="1"/>
        </w:rPr>
        <w:t>金融危机后美国及欧洲均面临着重大的监管变</w:t>
      </w:r>
      <w:r>
        <w:rPr>
          <w:rFonts w:ascii="KaiTi" w:eastAsia="KaiTi" w:hAnsi="KaiTi" w:cs="KaiTi"/>
        </w:rPr>
        <w:t>化，纳斯达克开始探索合规风控及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  <w:spacing w:val="-2"/>
        </w:rPr>
        <w:t>技术等新业务方向。</w:t>
      </w:r>
      <w:r>
        <w:rPr>
          <w:spacing w:val="-2"/>
        </w:rPr>
        <w:t xml:space="preserve">2010 </w:t>
      </w:r>
      <w:r>
        <w:rPr>
          <w:rFonts w:ascii="KaiTi" w:eastAsia="KaiTi" w:hAnsi="KaiTi" w:cs="KaiTi"/>
          <w:spacing w:val="-2"/>
        </w:rPr>
        <w:t>年公司收购</w:t>
      </w:r>
      <w:r>
        <w:rPr>
          <w:rFonts w:ascii="KaiTi" w:eastAsia="KaiTi" w:hAnsi="KaiTi" w:cs="KaiTi"/>
          <w:spacing w:val="-39"/>
        </w:rPr>
        <w:t xml:space="preserve"> </w:t>
      </w:r>
      <w:r>
        <w:rPr>
          <w:spacing w:val="-2"/>
        </w:rPr>
        <w:t>SMAR</w:t>
      </w:r>
      <w:r>
        <w:rPr>
          <w:spacing w:val="-3"/>
        </w:rPr>
        <w:t>TS</w:t>
      </w:r>
      <w:r>
        <w:rPr>
          <w:rFonts w:ascii="KaiTi" w:eastAsia="KaiTi" w:hAnsi="KaiTi" w:cs="KaiTi"/>
          <w:spacing w:val="-3"/>
        </w:rPr>
        <w:t>，一家全球领先的合规监管科技供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  <w:spacing w:val="-4"/>
        </w:rPr>
        <w:t>应商。目前</w:t>
      </w:r>
      <w:r>
        <w:rPr>
          <w:rFonts w:ascii="KaiTi" w:eastAsia="KaiTi" w:hAnsi="KaiTi" w:cs="KaiTi"/>
          <w:spacing w:val="-39"/>
        </w:rPr>
        <w:t xml:space="preserve"> </w:t>
      </w:r>
      <w:r>
        <w:rPr>
          <w:spacing w:val="-4"/>
        </w:rPr>
        <w:t>SMARTS</w:t>
      </w:r>
      <w:r>
        <w:rPr>
          <w:spacing w:val="19"/>
        </w:rPr>
        <w:t xml:space="preserve"> </w:t>
      </w:r>
      <w:r>
        <w:rPr>
          <w:rFonts w:ascii="KaiTi" w:eastAsia="KaiTi" w:hAnsi="KaiTi" w:cs="KaiTi"/>
          <w:spacing w:val="-4"/>
        </w:rPr>
        <w:t>隶属于纳斯达克反金融犯</w:t>
      </w:r>
      <w:r>
        <w:rPr>
          <w:rFonts w:ascii="KaiTi" w:eastAsia="KaiTi" w:hAnsi="KaiTi" w:cs="KaiTi"/>
          <w:spacing w:val="-5"/>
        </w:rPr>
        <w:t>罪分部，</w:t>
      </w:r>
      <w:r>
        <w:rPr>
          <w:rFonts w:ascii="KaiTi" w:eastAsia="KaiTi" w:hAnsi="KaiTi" w:cs="KaiTi"/>
          <w:spacing w:val="-58"/>
        </w:rPr>
        <w:t xml:space="preserve"> </w:t>
      </w:r>
      <w:r>
        <w:rPr>
          <w:rFonts w:ascii="KaiTi" w:eastAsia="KaiTi" w:hAnsi="KaiTi" w:cs="KaiTi"/>
          <w:spacing w:val="-5"/>
        </w:rPr>
        <w:t>成为交易及市场监管技术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  <w:spacing w:val="-4"/>
        </w:rPr>
        <w:t>的重要组成部分，为</w:t>
      </w:r>
      <w:r>
        <w:rPr>
          <w:rFonts w:ascii="KaiTi" w:eastAsia="KaiTi" w:hAnsi="KaiTi" w:cs="KaiTi"/>
          <w:spacing w:val="-13"/>
        </w:rPr>
        <w:t xml:space="preserve"> </w:t>
      </w:r>
      <w:r>
        <w:rPr>
          <w:spacing w:val="-4"/>
        </w:rPr>
        <w:t>18</w:t>
      </w:r>
      <w:r>
        <w:rPr>
          <w:spacing w:val="12"/>
        </w:rPr>
        <w:t xml:space="preserve">  </w:t>
      </w:r>
      <w:r>
        <w:rPr>
          <w:rFonts w:ascii="KaiTi" w:eastAsia="KaiTi" w:hAnsi="KaiTi" w:cs="KaiTi"/>
          <w:spacing w:val="-4"/>
        </w:rPr>
        <w:t>家监管机构、</w:t>
      </w:r>
      <w:r>
        <w:rPr>
          <w:spacing w:val="-4"/>
        </w:rPr>
        <w:t xml:space="preserve">50  </w:t>
      </w:r>
      <w:r>
        <w:rPr>
          <w:rFonts w:ascii="KaiTi" w:eastAsia="KaiTi" w:hAnsi="KaiTi" w:cs="KaiTi"/>
          <w:spacing w:val="-4"/>
        </w:rPr>
        <w:t>多家交易所和超过</w:t>
      </w:r>
      <w:r>
        <w:rPr>
          <w:rFonts w:ascii="KaiTi" w:eastAsia="KaiTi" w:hAnsi="KaiTi" w:cs="KaiTi"/>
          <w:spacing w:val="-4"/>
        </w:rPr>
        <w:t xml:space="preserve"> </w:t>
      </w:r>
      <w:r>
        <w:rPr>
          <w:spacing w:val="-4"/>
        </w:rPr>
        <w:t>160</w:t>
      </w:r>
      <w:r>
        <w:rPr>
          <w:spacing w:val="12"/>
        </w:rPr>
        <w:t xml:space="preserve"> </w:t>
      </w:r>
      <w:r>
        <w:rPr>
          <w:rFonts w:ascii="KaiTi" w:eastAsia="KaiTi" w:hAnsi="KaiTi" w:cs="KaiTi"/>
          <w:spacing w:val="-4"/>
        </w:rPr>
        <w:t>个市场参与者提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  <w:spacing w:val="9"/>
        </w:rPr>
        <w:t>供服务。</w:t>
      </w:r>
      <w:r>
        <w:rPr>
          <w:spacing w:val="9"/>
        </w:rPr>
        <w:t xml:space="preserve">2011  </w:t>
      </w:r>
      <w:r>
        <w:rPr>
          <w:rFonts w:ascii="KaiTi" w:eastAsia="KaiTi" w:hAnsi="KaiTi" w:cs="KaiTi"/>
          <w:spacing w:val="9"/>
        </w:rPr>
        <w:t>年，纳斯达克收购专门从事交易后</w:t>
      </w:r>
      <w:r>
        <w:rPr>
          <w:rFonts w:ascii="KaiTi" w:eastAsia="KaiTi" w:hAnsi="KaiTi" w:cs="KaiTi"/>
          <w:spacing w:val="9"/>
        </w:rPr>
        <w:t xml:space="preserve"> </w:t>
      </w:r>
      <w:r>
        <w:t>OTC</w:t>
      </w:r>
      <w:r>
        <w:rPr>
          <w:spacing w:val="9"/>
        </w:rPr>
        <w:t xml:space="preserve">  </w:t>
      </w:r>
      <w:r>
        <w:rPr>
          <w:rFonts w:ascii="KaiTi" w:eastAsia="KaiTi" w:hAnsi="KaiTi" w:cs="KaiTi"/>
          <w:spacing w:val="9"/>
        </w:rPr>
        <w:t>风险管理软件的公司</w:t>
      </w:r>
      <w:r>
        <w:rPr>
          <w:rFonts w:ascii="KaiTi" w:eastAsia="KaiTi" w:hAnsi="KaiTi" w:cs="KaiTi"/>
        </w:rPr>
        <w:t xml:space="preserve"> </w:t>
      </w:r>
      <w:r>
        <w:rPr>
          <w:spacing w:val="-1"/>
        </w:rPr>
        <w:t>KASM</w:t>
      </w:r>
      <w:r>
        <w:rPr>
          <w:rFonts w:ascii="KaiTi" w:eastAsia="KaiTi" w:hAnsi="KaiTi" w:cs="KaiTi"/>
          <w:spacing w:val="-1"/>
        </w:rPr>
        <w:t>、公关及投资者关系领域流程管理</w:t>
      </w:r>
      <w:r>
        <w:rPr>
          <w:rFonts w:ascii="KaiTi" w:eastAsia="KaiTi" w:hAnsi="KaiTi" w:cs="KaiTi"/>
          <w:spacing w:val="-39"/>
        </w:rPr>
        <w:t xml:space="preserve"> </w:t>
      </w:r>
      <w:r>
        <w:rPr>
          <w:spacing w:val="-1"/>
        </w:rPr>
        <w:t xml:space="preserve">SaaS </w:t>
      </w:r>
      <w:r>
        <w:rPr>
          <w:rFonts w:ascii="KaiTi" w:eastAsia="KaiTi" w:hAnsi="KaiTi" w:cs="KaiTi"/>
          <w:spacing w:val="-1"/>
        </w:rPr>
        <w:t>供应商</w:t>
      </w:r>
      <w:r>
        <w:rPr>
          <w:rFonts w:ascii="KaiTi" w:eastAsia="KaiTi" w:hAnsi="KaiTi" w:cs="KaiTi"/>
          <w:spacing w:val="-44"/>
        </w:rPr>
        <w:t xml:space="preserve"> </w:t>
      </w:r>
      <w:r>
        <w:rPr>
          <w:spacing w:val="-1"/>
        </w:rPr>
        <w:t>Glide Technology</w:t>
      </w:r>
      <w:r>
        <w:rPr>
          <w:spacing w:val="20"/>
          <w:w w:val="101"/>
        </w:rPr>
        <w:t xml:space="preserve"> </w:t>
      </w:r>
      <w:r>
        <w:rPr>
          <w:rFonts w:ascii="KaiTi" w:eastAsia="KaiTi" w:hAnsi="KaiTi" w:cs="KaiTi"/>
          <w:spacing w:val="-1"/>
        </w:rPr>
        <w:t>以及</w:t>
      </w:r>
      <w:r>
        <w:rPr>
          <w:rFonts w:ascii="KaiTi" w:eastAsia="KaiTi" w:hAnsi="KaiTi" w:cs="KaiTi"/>
          <w:spacing w:val="-2"/>
        </w:rPr>
        <w:t>推出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</w:rPr>
        <w:t>首个多资产实时风险管理系统</w:t>
      </w:r>
      <w:r>
        <w:rPr>
          <w:rFonts w:ascii="KaiTi" w:eastAsia="KaiTi" w:hAnsi="KaiTi" w:cs="KaiTi"/>
          <w:spacing w:val="-46"/>
        </w:rPr>
        <w:t xml:space="preserve"> </w:t>
      </w:r>
      <w:r>
        <w:t>Genium Risk</w:t>
      </w:r>
      <w:r>
        <w:rPr>
          <w:rFonts w:ascii="KaiTi" w:eastAsia="KaiTi" w:hAnsi="KaiTi" w:cs="KaiTi"/>
        </w:rPr>
        <w:t>；</w:t>
      </w:r>
      <w:r>
        <w:t xml:space="preserve">2013 </w:t>
      </w:r>
      <w:r>
        <w:rPr>
          <w:rFonts w:ascii="KaiTi" w:eastAsia="KaiTi" w:hAnsi="KaiTi" w:cs="KaiTi"/>
        </w:rPr>
        <w:t>年，公司</w:t>
      </w:r>
      <w:r>
        <w:rPr>
          <w:rFonts w:ascii="KaiTi" w:eastAsia="KaiTi" w:hAnsi="KaiTi" w:cs="KaiTi"/>
          <w:spacing w:val="-1"/>
        </w:rPr>
        <w:t>收购</w:t>
      </w:r>
      <w:r>
        <w:rPr>
          <w:rFonts w:ascii="KaiTi" w:eastAsia="KaiTi" w:hAnsi="KaiTi" w:cs="KaiTi"/>
          <w:spacing w:val="-48"/>
        </w:rPr>
        <w:t xml:space="preserve"> </w:t>
      </w:r>
      <w:r>
        <w:rPr>
          <w:spacing w:val="-1"/>
        </w:rPr>
        <w:t>Thomson Reuters</w:t>
      </w:r>
      <w:r>
        <w:t xml:space="preserve"> </w:t>
      </w:r>
      <w:r>
        <w:rPr>
          <w:rFonts w:ascii="KaiTi" w:eastAsia="KaiTi" w:hAnsi="KaiTi" w:cs="KaiTi"/>
          <w:spacing w:val="-4"/>
        </w:rPr>
        <w:t>的</w:t>
      </w:r>
      <w:r>
        <w:rPr>
          <w:rFonts w:ascii="KaiTi" w:eastAsia="KaiTi" w:hAnsi="KaiTi" w:cs="KaiTi"/>
          <w:spacing w:val="-30"/>
        </w:rPr>
        <w:t xml:space="preserve"> </w:t>
      </w:r>
      <w:r>
        <w:rPr>
          <w:spacing w:val="-4"/>
        </w:rPr>
        <w:t>IR</w:t>
      </w:r>
      <w:r>
        <w:rPr>
          <w:rFonts w:ascii="KaiTi" w:eastAsia="KaiTi" w:hAnsi="KaiTi" w:cs="KaiTi"/>
          <w:spacing w:val="-4"/>
        </w:rPr>
        <w:t>、</w:t>
      </w:r>
      <w:r>
        <w:rPr>
          <w:spacing w:val="-4"/>
        </w:rPr>
        <w:t xml:space="preserve">PR </w:t>
      </w:r>
      <w:r>
        <w:rPr>
          <w:rFonts w:ascii="KaiTi" w:eastAsia="KaiTi" w:hAnsi="KaiTi" w:cs="KaiTi"/>
          <w:spacing w:val="-4"/>
        </w:rPr>
        <w:t>及多媒体解决方案业务。同时重新整合业务部门，原市场技术部门分拆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  <w:spacing w:val="-1"/>
        </w:rPr>
        <w:t>为信息服务（</w:t>
      </w:r>
      <w:r>
        <w:rPr>
          <w:spacing w:val="-1"/>
        </w:rPr>
        <w:t>Information Services</w:t>
      </w:r>
      <w:r>
        <w:rPr>
          <w:rFonts w:ascii="KaiTi" w:eastAsia="KaiTi" w:hAnsi="KaiTi" w:cs="KaiTi"/>
          <w:spacing w:val="-1"/>
        </w:rPr>
        <w:t>，包括</w:t>
      </w:r>
      <w:r>
        <w:rPr>
          <w:rFonts w:ascii="KaiTi" w:eastAsia="KaiTi" w:hAnsi="KaiTi" w:cs="KaiTi"/>
          <w:spacing w:val="-2"/>
        </w:rPr>
        <w:t>数据及指数产品等）和技术解决方案分部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  <w:spacing w:val="-3"/>
        </w:rPr>
        <w:t>（</w:t>
      </w:r>
      <w:r>
        <w:rPr>
          <w:spacing w:val="-3"/>
        </w:rPr>
        <w:t>Technology Solutions</w:t>
      </w:r>
      <w:r>
        <w:rPr>
          <w:rFonts w:ascii="KaiTi" w:eastAsia="KaiTi" w:hAnsi="KaiTi" w:cs="KaiTi"/>
          <w:spacing w:val="-3"/>
        </w:rPr>
        <w:t>，包括</w:t>
      </w:r>
      <w:r>
        <w:rPr>
          <w:rFonts w:ascii="KaiTi" w:eastAsia="KaiTi" w:hAnsi="KaiTi" w:cs="KaiTi"/>
          <w:spacing w:val="-43"/>
        </w:rPr>
        <w:t xml:space="preserve"> </w:t>
      </w:r>
      <w:r>
        <w:rPr>
          <w:spacing w:val="-3"/>
        </w:rPr>
        <w:t>IR</w:t>
      </w:r>
      <w:r>
        <w:rPr>
          <w:spacing w:val="-31"/>
        </w:rPr>
        <w:t xml:space="preserve"> </w:t>
      </w:r>
      <w:r>
        <w:rPr>
          <w:rFonts w:ascii="KaiTi" w:eastAsia="KaiTi" w:hAnsi="KaiTi" w:cs="KaiTi"/>
          <w:spacing w:val="-3"/>
        </w:rPr>
        <w:t>、</w:t>
      </w:r>
      <w:r>
        <w:rPr>
          <w:spacing w:val="-3"/>
        </w:rPr>
        <w:t xml:space="preserve">PR </w:t>
      </w:r>
      <w:r>
        <w:rPr>
          <w:rFonts w:ascii="KaiTi" w:eastAsia="KaiTi" w:hAnsi="KaiTi" w:cs="KaiTi"/>
          <w:spacing w:val="-3"/>
        </w:rPr>
        <w:t>和多媒体技术</w:t>
      </w:r>
      <w:r>
        <w:rPr>
          <w:rFonts w:ascii="KaiTi" w:eastAsia="KaiTi" w:hAnsi="KaiTi" w:cs="KaiTi"/>
          <w:spacing w:val="-4"/>
        </w:rPr>
        <w:t>等）。</w:t>
      </w:r>
      <w:r>
        <w:rPr>
          <w:spacing w:val="-4"/>
        </w:rPr>
        <w:t xml:space="preserve">2015 </w:t>
      </w:r>
      <w:r>
        <w:rPr>
          <w:rFonts w:ascii="KaiTi" w:eastAsia="KaiTi" w:hAnsi="KaiTi" w:cs="KaiTi"/>
          <w:spacing w:val="-4"/>
        </w:rPr>
        <w:t>年在科技方面宣布</w:t>
      </w:r>
      <w:r>
        <w:rPr>
          <w:rFonts w:ascii="KaiTi" w:eastAsia="KaiTi" w:hAnsi="KaiTi" w:cs="KaiTi"/>
        </w:rPr>
        <w:t xml:space="preserve"> </w:t>
      </w:r>
      <w:r>
        <w:rPr>
          <w:rFonts w:ascii="KaiTi" w:eastAsia="KaiTi" w:hAnsi="KaiTi" w:cs="KaiTi"/>
          <w:spacing w:val="-1"/>
        </w:rPr>
        <w:t>将开始应用区块链技术，</w:t>
      </w:r>
      <w:r>
        <w:rPr>
          <w:spacing w:val="-1"/>
        </w:rPr>
        <w:t xml:space="preserve">2016 </w:t>
      </w:r>
      <w:r>
        <w:rPr>
          <w:rFonts w:ascii="KaiTi" w:eastAsia="KaiTi" w:hAnsi="KaiTi" w:cs="KaiTi"/>
          <w:spacing w:val="-1"/>
        </w:rPr>
        <w:t>年纳斯达克发布了纳斯达克金融框架</w:t>
      </w:r>
      <w:r>
        <w:rPr>
          <w:rFonts w:ascii="KaiTi" w:eastAsia="KaiTi" w:hAnsi="KaiTi" w:cs="KaiTi"/>
          <w:spacing w:val="-54"/>
        </w:rPr>
        <w:t xml:space="preserve"> </w:t>
      </w:r>
      <w:r>
        <w:rPr>
          <w:spacing w:val="-1"/>
        </w:rPr>
        <w:t>NFF</w:t>
      </w:r>
      <w:r>
        <w:rPr>
          <w:rFonts w:ascii="KaiTi" w:eastAsia="KaiTi" w:hAnsi="KaiTi" w:cs="KaiTi"/>
          <w:spacing w:val="-1"/>
        </w:rPr>
        <w:t>（</w:t>
      </w:r>
      <w:r>
        <w:rPr>
          <w:spacing w:val="-1"/>
        </w:rPr>
        <w:t>Na</w:t>
      </w:r>
      <w:r>
        <w:rPr>
          <w:spacing w:val="-2"/>
        </w:rPr>
        <w:t>sdaq</w:t>
      </w:r>
      <w:r>
        <w:t xml:space="preserve"> </w:t>
      </w:r>
      <w:r>
        <w:rPr>
          <w:rFonts w:ascii="KaiTi" w:eastAsia="KaiTi" w:hAnsi="KaiTi" w:cs="KaiTi"/>
        </w:rPr>
        <w:br/>
      </w:r>
      <w:r>
        <w:rPr>
          <w:rFonts w:ascii="KaiTi" w:eastAsia="KaiTi" w:hAnsi="KaiTi" w:cs="KaiTi"/>
        </w:rPr>
        <w:br/>
      </w:r>
    </w:p>
    <w:p>
      <w:pPr>
        <w:kinsoku/>
        <w:autoSpaceDE/>
        <w:autoSpaceDN/>
        <w:adjustRightInd/>
        <w:snapToGrid/>
        <w:spacing w:after="0" w:line="240" w:lineRule="auto"/>
        <w:jc w:val="left"/>
        <w:textAlignment w:val="auto"/>
        <w:rPr>
          <w:rFonts w:ascii="SimSun" w:eastAsia="SimSun" w:hAnsi="SimSun" w:cs="SimSun"/>
          <w:b/>
          <w:bCs/>
          <w:noProof w:val="0"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noProof w:val="0"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noProof w:val="0"/>
            <w:snapToGrid/>
            <w:color w:val="0000EE"/>
            <w:kern w:val="0"/>
            <w:sz w:val="30"/>
            <w:szCs w:val="30"/>
            <w:u w:val="single" w:color="0000EE"/>
          </w:rPr>
          <w:t>https://d.book118.com/815110134321011122</w:t>
        </w:r>
      </w:hyperlink>
    </w:p>
    <w:p>
      <w:pPr>
        <w:pStyle w:val="BodyText"/>
        <w:spacing w:before="98" w:line="293" w:lineRule="auto"/>
        <w:ind w:left="2549" w:right="237"/>
        <w:jc w:val="both"/>
        <w:rPr>
          <w:rFonts w:ascii="KaiTi" w:eastAsia="KaiTi" w:hAnsi="KaiTi" w:cs="KaiTi"/>
        </w:rPr>
      </w:pPr>
    </w:p>
    <w:sectPr>
      <w:headerReference w:type="default" r:id="rId28"/>
      <w:footerReference w:type="default" r:id="rId29"/>
      <w:pgSz w:w="11907" w:h="16839"/>
      <w:pgMar w:top="1596" w:right="890" w:bottom="1480" w:left="854" w:header="852" w:footer="990" w:gutter="0"/>
      <w:pgNumType w:start="1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4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46" w:line="28" w:lineRule="exact"/>
    </w:pPr>
    <w:r>
      <w:pict>
        <v:shape id="_x0000_i2050" style="width:508.1pt;height:1.45pt;mso-position-horizontal-relative:char;mso-position-vertical-relative:line" coordorigin="0,0" coordsize="10162,29" path="m,28l10161,28l10161,l,l,28xe" filled="t" fillcolor="#336" stroked="f">
          <w10:wrap type="none"/>
        </v:shape>
      </w:pict>
    </w:r>
  </w:p>
  <w:p>
    <w:pPr>
      <w:spacing w:after="37" w:line="219" w:lineRule="auto"/>
      <w:ind w:left="3368"/>
      <w:rPr>
        <w:rFonts w:ascii="SimSun" w:eastAsia="SimSun" w:hAnsi="SimSun" w:cs="SimSun"/>
        <w:sz w:val="18"/>
        <w:szCs w:val="18"/>
      </w:rPr>
    </w:pPr>
    <w:r>
      <w:rPr>
        <w:rFonts w:ascii="SimSun" w:eastAsia="SimSun" w:hAnsi="SimSun" w:cs="SimSun"/>
        <w:color w:val="333366"/>
        <w:sz w:val="18"/>
        <w:szCs w:val="18"/>
        <w14:textOutline w14:w="3265">
          <w14:solidFill>
            <w14:srgbClr w14:val="333366"/>
          </w14:solidFill>
          <w14:prstDash w14:val="solid"/>
          <w14:miter w14:lim="10"/>
        </w14:textOutline>
      </w:rPr>
      <w:t>请务必阅读正文之后的信息披露和重要声明</w:t>
    </w:r>
  </w:p>
  <w:p>
    <w:pPr>
      <w:pStyle w:val="BodyText"/>
      <w:spacing w:line="176" w:lineRule="auto"/>
      <w:ind w:right="19"/>
      <w:jc w:val="right"/>
      <w:rPr>
        <w:sz w:val="18"/>
        <w:szCs w:val="18"/>
      </w:rPr>
    </w:pPr>
    <w:r>
      <w:rPr>
        <w:spacing w:val="-4"/>
        <w:sz w:val="18"/>
        <w:szCs w:val="18"/>
      </w:rPr>
      <w:t>-</w:t>
    </w:r>
    <w:r>
      <w:rPr>
        <w:spacing w:val="1"/>
        <w:sz w:val="18"/>
        <w:szCs w:val="18"/>
      </w:rPr>
      <w:t xml:space="preserve">  </w:t>
    </w:r>
    <w:r>
      <w:rPr>
        <w:spacing w:val="-4"/>
        <w:sz w:val="18"/>
        <w:szCs w:val="18"/>
      </w:rPr>
      <w:t>2</w:t>
    </w:r>
    <w:r>
      <w:rPr>
        <w:spacing w:val="4"/>
        <w:sz w:val="18"/>
        <w:szCs w:val="18"/>
      </w:rPr>
      <w:t xml:space="preserve">  </w:t>
    </w:r>
    <w:r>
      <w:rPr>
        <w:spacing w:val="-4"/>
        <w:sz w:val="18"/>
        <w:szCs w:val="18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46" w:line="28" w:lineRule="exact"/>
    </w:pPr>
    <w:r>
      <w:pict>
        <v:shape id="_x0000_i2052" style="width:508.1pt;height:1.45pt;mso-position-horizontal-relative:char;mso-position-vertical-relative:line" coordorigin="0,0" coordsize="10162,29" path="m,28l10161,28l10161,l,l,28xe" filled="t" fillcolor="#336" stroked="f">
          <w10:wrap type="none"/>
        </v:shape>
      </w:pict>
    </w:r>
  </w:p>
  <w:p>
    <w:pPr>
      <w:spacing w:after="37" w:line="219" w:lineRule="auto"/>
      <w:ind w:left="3368"/>
      <w:rPr>
        <w:rFonts w:ascii="SimSun" w:eastAsia="SimSun" w:hAnsi="SimSun" w:cs="SimSun"/>
        <w:sz w:val="18"/>
        <w:szCs w:val="18"/>
      </w:rPr>
    </w:pPr>
    <w:r>
      <w:rPr>
        <w:rFonts w:ascii="SimSun" w:eastAsia="SimSun" w:hAnsi="SimSun" w:cs="SimSun"/>
        <w:color w:val="333366"/>
        <w:sz w:val="18"/>
        <w:szCs w:val="18"/>
        <w14:textOutline w14:w="3265">
          <w14:solidFill>
            <w14:srgbClr w14:val="333366"/>
          </w14:solidFill>
          <w14:prstDash w14:val="solid"/>
          <w14:miter w14:lim="10"/>
        </w14:textOutline>
      </w:rPr>
      <w:t>请务必阅读正文之后的信息披露和重要声明</w:t>
    </w:r>
  </w:p>
  <w:p>
    <w:pPr>
      <w:pStyle w:val="BodyText"/>
      <w:spacing w:line="176" w:lineRule="auto"/>
      <w:ind w:right="19"/>
      <w:jc w:val="right"/>
      <w:rPr>
        <w:sz w:val="18"/>
        <w:szCs w:val="18"/>
      </w:rPr>
    </w:pPr>
    <w:r>
      <w:rPr>
        <w:spacing w:val="-4"/>
        <w:sz w:val="18"/>
        <w:szCs w:val="18"/>
      </w:rPr>
      <w:t>-</w:t>
    </w:r>
    <w:r>
      <w:rPr>
        <w:spacing w:val="1"/>
        <w:sz w:val="18"/>
        <w:szCs w:val="18"/>
      </w:rPr>
      <w:t xml:space="preserve">  </w:t>
    </w:r>
    <w:r>
      <w:rPr>
        <w:spacing w:val="-4"/>
        <w:sz w:val="18"/>
        <w:szCs w:val="18"/>
      </w:rPr>
      <w:t>2</w:t>
    </w:r>
    <w:r>
      <w:rPr>
        <w:spacing w:val="4"/>
        <w:sz w:val="18"/>
        <w:szCs w:val="18"/>
      </w:rPr>
      <w:t xml:space="preserve">  </w:t>
    </w:r>
    <w:r>
      <w:rPr>
        <w:spacing w:val="-4"/>
        <w:sz w:val="18"/>
        <w:szCs w:val="18"/>
      </w:rPr>
      <w:t>-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46" w:line="28" w:lineRule="exact"/>
    </w:pPr>
    <w:r>
      <w:pict>
        <v:shape id="_x0000_i2053" style="width:508.1pt;height:1.45pt;mso-position-horizontal-relative:char;mso-position-vertical-relative:line" coordorigin="0,0" coordsize="10162,29" path="m,28l10161,28l10161,l,l,28xe" filled="t" fillcolor="#336" stroked="f">
          <w10:wrap type="none"/>
        </v:shape>
      </w:pict>
    </w:r>
  </w:p>
  <w:p>
    <w:pPr>
      <w:spacing w:after="37" w:line="219" w:lineRule="auto"/>
      <w:ind w:left="3368"/>
      <w:rPr>
        <w:rFonts w:ascii="SimSun" w:eastAsia="SimSun" w:hAnsi="SimSun" w:cs="SimSun"/>
        <w:sz w:val="18"/>
        <w:szCs w:val="18"/>
      </w:rPr>
    </w:pPr>
    <w:r>
      <w:rPr>
        <w:rFonts w:ascii="SimSun" w:eastAsia="SimSun" w:hAnsi="SimSun" w:cs="SimSun"/>
        <w:color w:val="333366"/>
        <w:sz w:val="18"/>
        <w:szCs w:val="18"/>
        <w14:textOutline w14:w="3265">
          <w14:solidFill>
            <w14:srgbClr w14:val="333366"/>
          </w14:solidFill>
          <w14:prstDash w14:val="solid"/>
          <w14:miter w14:lim="10"/>
        </w14:textOutline>
      </w:rPr>
      <w:t>请务必阅读正文之后的信息披露和重要声明</w:t>
    </w:r>
  </w:p>
  <w:p>
    <w:pPr>
      <w:pStyle w:val="BodyText"/>
      <w:spacing w:line="176" w:lineRule="auto"/>
      <w:ind w:right="19"/>
      <w:jc w:val="right"/>
      <w:rPr>
        <w:sz w:val="18"/>
        <w:szCs w:val="18"/>
      </w:rPr>
    </w:pPr>
    <w:r>
      <w:rPr>
        <w:spacing w:val="-5"/>
        <w:sz w:val="18"/>
        <w:szCs w:val="18"/>
      </w:rPr>
      <w:t>-</w:t>
    </w:r>
    <w:r>
      <w:rPr>
        <w:spacing w:val="3"/>
        <w:sz w:val="18"/>
        <w:szCs w:val="18"/>
      </w:rPr>
      <w:t xml:space="preserve">  </w:t>
    </w:r>
    <w:r>
      <w:rPr>
        <w:spacing w:val="-5"/>
        <w:sz w:val="18"/>
        <w:szCs w:val="18"/>
      </w:rPr>
      <w:t>3</w:t>
    </w:r>
    <w:r>
      <w:rPr>
        <w:spacing w:val="3"/>
        <w:sz w:val="18"/>
        <w:szCs w:val="18"/>
      </w:rPr>
      <w:t xml:space="preserve">  </w:t>
    </w:r>
    <w:r>
      <w:rPr>
        <w:spacing w:val="-5"/>
        <w:sz w:val="18"/>
        <w:szCs w:val="18"/>
      </w:rPr>
      <w:t>-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46" w:line="28" w:lineRule="exact"/>
    </w:pPr>
    <w:r>
      <w:pict>
        <v:shape id="_x0000_i2055" style="width:508.1pt;height:1.45pt;mso-position-horizontal-relative:char;mso-position-vertical-relative:line" coordorigin="0,0" coordsize="10162,29" path="m,28l10161,28l10161,l,l,28xe" filled="t" fillcolor="#336" stroked="f">
          <w10:wrap type="none"/>
        </v:shape>
      </w:pict>
    </w:r>
  </w:p>
  <w:p>
    <w:pPr>
      <w:spacing w:after="37" w:line="219" w:lineRule="auto"/>
      <w:ind w:left="3368"/>
      <w:rPr>
        <w:rFonts w:ascii="SimSun" w:eastAsia="SimSun" w:hAnsi="SimSun" w:cs="SimSun"/>
        <w:sz w:val="18"/>
        <w:szCs w:val="18"/>
      </w:rPr>
    </w:pPr>
    <w:r>
      <w:rPr>
        <w:rFonts w:ascii="SimSun" w:eastAsia="SimSun" w:hAnsi="SimSun" w:cs="SimSun"/>
        <w:color w:val="333366"/>
        <w:sz w:val="18"/>
        <w:szCs w:val="18"/>
        <w14:textOutline w14:w="3265">
          <w14:solidFill>
            <w14:srgbClr w14:val="333366"/>
          </w14:solidFill>
          <w14:prstDash w14:val="solid"/>
          <w14:miter w14:lim="10"/>
        </w14:textOutline>
      </w:rPr>
      <w:t>请务必阅读正文之后的信息披露和重要声明</w:t>
    </w:r>
  </w:p>
  <w:p>
    <w:pPr>
      <w:pStyle w:val="BodyText"/>
      <w:spacing w:line="176" w:lineRule="auto"/>
      <w:ind w:right="19"/>
      <w:jc w:val="right"/>
      <w:rPr>
        <w:sz w:val="18"/>
        <w:szCs w:val="18"/>
      </w:rPr>
    </w:pPr>
    <w:r>
      <w:rPr>
        <w:spacing w:val="-4"/>
        <w:sz w:val="18"/>
        <w:szCs w:val="18"/>
      </w:rPr>
      <w:t>-</w:t>
    </w:r>
    <w:r>
      <w:rPr>
        <w:spacing w:val="1"/>
        <w:sz w:val="18"/>
        <w:szCs w:val="18"/>
      </w:rPr>
      <w:t xml:space="preserve">  </w:t>
    </w:r>
    <w:r>
      <w:rPr>
        <w:spacing w:val="-4"/>
        <w:sz w:val="18"/>
        <w:szCs w:val="18"/>
      </w:rPr>
      <w:t>4</w:t>
    </w:r>
    <w:r>
      <w:rPr>
        <w:spacing w:val="4"/>
        <w:sz w:val="18"/>
        <w:szCs w:val="18"/>
      </w:rPr>
      <w:t xml:space="preserve">  </w:t>
    </w:r>
    <w:r>
      <w:rPr>
        <w:spacing w:val="-4"/>
        <w:sz w:val="18"/>
        <w:szCs w:val="18"/>
      </w:rPr>
      <w:t>-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46" w:line="28" w:lineRule="exact"/>
    </w:pPr>
    <w:r>
      <w:pict>
        <v:shape id="_x0000_i2057" style="width:508.1pt;height:1.45pt;mso-position-horizontal-relative:char;mso-position-vertical-relative:line" coordorigin="0,0" coordsize="10162,29" path="m,28l10161,28l10161,l,l,28xe" filled="t" fillcolor="#336" stroked="f">
          <w10:wrap type="none"/>
        </v:shape>
      </w:pict>
    </w:r>
  </w:p>
  <w:p>
    <w:pPr>
      <w:spacing w:after="37" w:line="219" w:lineRule="auto"/>
      <w:ind w:left="3368"/>
      <w:rPr>
        <w:rFonts w:ascii="SimSun" w:eastAsia="SimSun" w:hAnsi="SimSun" w:cs="SimSun"/>
        <w:sz w:val="18"/>
        <w:szCs w:val="18"/>
      </w:rPr>
    </w:pPr>
    <w:r>
      <w:rPr>
        <w:rFonts w:ascii="SimSun" w:eastAsia="SimSun" w:hAnsi="SimSun" w:cs="SimSun"/>
        <w:color w:val="333366"/>
        <w:sz w:val="18"/>
        <w:szCs w:val="18"/>
        <w14:textOutline w14:w="3265">
          <w14:solidFill>
            <w14:srgbClr w14:val="333366"/>
          </w14:solidFill>
          <w14:prstDash w14:val="solid"/>
          <w14:miter w14:lim="10"/>
        </w14:textOutline>
      </w:rPr>
      <w:t>请务必阅读正文之后的信息披露和重要声明</w:t>
    </w:r>
  </w:p>
  <w:p>
    <w:pPr>
      <w:pStyle w:val="BodyText"/>
      <w:spacing w:line="176" w:lineRule="auto"/>
      <w:ind w:right="19"/>
      <w:jc w:val="right"/>
      <w:rPr>
        <w:sz w:val="18"/>
        <w:szCs w:val="18"/>
      </w:rPr>
    </w:pPr>
    <w:r>
      <w:rPr>
        <w:spacing w:val="-4"/>
        <w:sz w:val="18"/>
        <w:szCs w:val="18"/>
      </w:rPr>
      <w:t>-</w:t>
    </w:r>
    <w:r>
      <w:rPr>
        <w:spacing w:val="1"/>
        <w:sz w:val="18"/>
        <w:szCs w:val="18"/>
      </w:rPr>
      <w:t xml:space="preserve">  </w:t>
    </w:r>
    <w:r>
      <w:rPr>
        <w:spacing w:val="-4"/>
        <w:sz w:val="18"/>
        <w:szCs w:val="18"/>
      </w:rPr>
      <w:t>4</w:t>
    </w:r>
    <w:r>
      <w:rPr>
        <w:spacing w:val="4"/>
        <w:sz w:val="18"/>
        <w:szCs w:val="18"/>
      </w:rPr>
      <w:t xml:space="preserve">  </w:t>
    </w:r>
    <w:r>
      <w:rPr>
        <w:spacing w:val="-4"/>
        <w:sz w:val="18"/>
        <w:szCs w:val="18"/>
      </w:rPr>
      <w:t>-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46" w:line="28" w:lineRule="exact"/>
    </w:pPr>
    <w:r>
      <w:pict>
        <v:shape id="_x0000_i2060" style="width:508.1pt;height:1.45pt;mso-position-horizontal-relative:char;mso-position-vertical-relative:line" coordorigin="0,0" coordsize="10162,29" path="m,28l10161,28l10161,l,l,28xe" filled="t" fillcolor="#336" stroked="f">
          <w10:wrap type="none"/>
        </v:shape>
      </w:pict>
    </w:r>
  </w:p>
  <w:p>
    <w:pPr>
      <w:spacing w:after="40" w:line="219" w:lineRule="auto"/>
      <w:ind w:left="3368"/>
      <w:rPr>
        <w:rFonts w:ascii="SimSun" w:eastAsia="SimSun" w:hAnsi="SimSun" w:cs="SimSun"/>
        <w:sz w:val="18"/>
        <w:szCs w:val="18"/>
      </w:rPr>
    </w:pPr>
    <w:r>
      <w:rPr>
        <w:rFonts w:ascii="SimSun" w:eastAsia="SimSun" w:hAnsi="SimSun" w:cs="SimSun"/>
        <w:color w:val="333366"/>
        <w:sz w:val="18"/>
        <w:szCs w:val="18"/>
        <w14:textOutline w14:w="3265">
          <w14:solidFill>
            <w14:srgbClr w14:val="333366"/>
          </w14:solidFill>
          <w14:prstDash w14:val="solid"/>
          <w14:miter w14:lim="10"/>
        </w14:textOutline>
      </w:rPr>
      <w:t>请务必阅读正文之后的信息披露和重要声明</w:t>
    </w:r>
  </w:p>
  <w:p>
    <w:pPr>
      <w:pStyle w:val="BodyText"/>
      <w:spacing w:line="173" w:lineRule="auto"/>
      <w:ind w:left="9753"/>
      <w:rPr>
        <w:sz w:val="18"/>
        <w:szCs w:val="18"/>
      </w:rPr>
    </w:pPr>
    <w:r>
      <w:rPr>
        <w:spacing w:val="-6"/>
        <w:sz w:val="18"/>
        <w:szCs w:val="18"/>
      </w:rPr>
      <w:t>-</w:t>
    </w:r>
    <w:r>
      <w:rPr>
        <w:spacing w:val="4"/>
        <w:sz w:val="18"/>
        <w:szCs w:val="18"/>
      </w:rPr>
      <w:t xml:space="preserve">  </w:t>
    </w:r>
    <w:r>
      <w:rPr>
        <w:spacing w:val="-6"/>
        <w:sz w:val="18"/>
        <w:szCs w:val="18"/>
      </w:rPr>
      <w:t>5</w:t>
    </w:r>
    <w:r>
      <w:rPr>
        <w:spacing w:val="4"/>
        <w:sz w:val="18"/>
        <w:szCs w:val="18"/>
      </w:rPr>
      <w:t xml:space="preserve">  </w:t>
    </w:r>
    <w:r>
      <w:rPr>
        <w:spacing w:val="-6"/>
        <w:sz w:val="18"/>
        <w:szCs w:val="18"/>
      </w:rPr>
      <w:t>-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46" w:line="28" w:lineRule="exact"/>
    </w:pPr>
    <w:r>
      <w:pict>
        <v:shape id="_x0000_i2062" style="width:508.1pt;height:1.45pt;mso-position-horizontal-relative:char;mso-position-vertical-relative:line" coordorigin="0,0" coordsize="10162,29" path="m,28l10161,28l10161,l,l,28xe" filled="t" fillcolor="#336" stroked="f">
          <w10:wrap type="none"/>
        </v:shape>
      </w:pict>
    </w:r>
  </w:p>
  <w:p>
    <w:pPr>
      <w:spacing w:after="40" w:line="219" w:lineRule="auto"/>
      <w:ind w:left="3368"/>
      <w:rPr>
        <w:rFonts w:ascii="SimSun" w:eastAsia="SimSun" w:hAnsi="SimSun" w:cs="SimSun"/>
        <w:sz w:val="18"/>
        <w:szCs w:val="18"/>
      </w:rPr>
    </w:pPr>
    <w:r>
      <w:rPr>
        <w:rFonts w:ascii="SimSun" w:eastAsia="SimSun" w:hAnsi="SimSun" w:cs="SimSun"/>
        <w:color w:val="333366"/>
        <w:sz w:val="18"/>
        <w:szCs w:val="18"/>
        <w14:textOutline w14:w="3265">
          <w14:solidFill>
            <w14:srgbClr w14:val="333366"/>
          </w14:solidFill>
          <w14:prstDash w14:val="solid"/>
          <w14:miter w14:lim="10"/>
        </w14:textOutline>
      </w:rPr>
      <w:t>请务必阅读正文之后的信息披露和重要声明</w:t>
    </w:r>
  </w:p>
  <w:p>
    <w:pPr>
      <w:pStyle w:val="BodyText"/>
      <w:spacing w:line="173" w:lineRule="auto"/>
      <w:ind w:left="9753"/>
      <w:rPr>
        <w:sz w:val="18"/>
        <w:szCs w:val="18"/>
      </w:rPr>
    </w:pPr>
    <w:r>
      <w:rPr>
        <w:spacing w:val="-6"/>
        <w:sz w:val="18"/>
        <w:szCs w:val="18"/>
      </w:rPr>
      <w:t>-</w:t>
    </w:r>
    <w:r>
      <w:rPr>
        <w:spacing w:val="4"/>
        <w:sz w:val="18"/>
        <w:szCs w:val="18"/>
      </w:rPr>
      <w:t xml:space="preserve">  </w:t>
    </w:r>
    <w:r>
      <w:rPr>
        <w:spacing w:val="-6"/>
        <w:sz w:val="18"/>
        <w:szCs w:val="18"/>
      </w:rPr>
      <w:t>5</w:t>
    </w:r>
    <w:r>
      <w:rPr>
        <w:spacing w:val="4"/>
        <w:sz w:val="18"/>
        <w:szCs w:val="18"/>
      </w:rPr>
      <w:t xml:space="preserve">  </w:t>
    </w:r>
    <w:r>
      <w:rPr>
        <w:spacing w:val="-6"/>
        <w:sz w:val="18"/>
        <w:szCs w:val="18"/>
      </w:rPr>
      <w:t>-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46" w:line="28" w:lineRule="exact"/>
    </w:pPr>
    <w:r>
      <w:pict>
        <v:shape id="_x0000_i2064" style="width:508.1pt;height:1.45pt;mso-position-horizontal-relative:char;mso-position-vertical-relative:line" coordorigin="0,0" coordsize="10162,29" path="m,28l10161,28l10161,l,l,28xe" filled="t" fillcolor="#336" stroked="f">
          <w10:wrap type="none"/>
        </v:shape>
      </w:pict>
    </w:r>
  </w:p>
  <w:p>
    <w:pPr>
      <w:spacing w:after="37" w:line="219" w:lineRule="auto"/>
      <w:ind w:left="3368"/>
      <w:rPr>
        <w:rFonts w:ascii="SimSun" w:eastAsia="SimSun" w:hAnsi="SimSun" w:cs="SimSun"/>
        <w:sz w:val="18"/>
        <w:szCs w:val="18"/>
      </w:rPr>
    </w:pPr>
    <w:r>
      <w:rPr>
        <w:rFonts w:ascii="SimSun" w:eastAsia="SimSun" w:hAnsi="SimSun" w:cs="SimSun"/>
        <w:color w:val="333366"/>
        <w:sz w:val="18"/>
        <w:szCs w:val="18"/>
        <w14:textOutline w14:w="3265">
          <w14:solidFill>
            <w14:srgbClr w14:val="333366"/>
          </w14:solidFill>
          <w14:prstDash w14:val="solid"/>
          <w14:miter w14:lim="10"/>
        </w14:textOutline>
      </w:rPr>
      <w:t>请务必阅读正文之后的信息披露和重要声明</w:t>
    </w:r>
  </w:p>
  <w:p>
    <w:pPr>
      <w:pStyle w:val="BodyText"/>
      <w:spacing w:line="176" w:lineRule="auto"/>
      <w:ind w:right="19"/>
      <w:jc w:val="right"/>
      <w:rPr>
        <w:sz w:val="18"/>
        <w:szCs w:val="18"/>
      </w:rPr>
    </w:pPr>
    <w:r>
      <w:rPr>
        <w:spacing w:val="-6"/>
        <w:sz w:val="18"/>
        <w:szCs w:val="18"/>
      </w:rPr>
      <w:t>-</w:t>
    </w:r>
    <w:r>
      <w:rPr>
        <w:spacing w:val="4"/>
        <w:sz w:val="18"/>
        <w:szCs w:val="18"/>
      </w:rPr>
      <w:t xml:space="preserve">  </w:t>
    </w:r>
    <w:r>
      <w:rPr>
        <w:spacing w:val="-6"/>
        <w:sz w:val="18"/>
        <w:szCs w:val="18"/>
      </w:rPr>
      <w:t>6</w:t>
    </w:r>
    <w:r>
      <w:rPr>
        <w:spacing w:val="4"/>
        <w:sz w:val="18"/>
        <w:szCs w:val="18"/>
      </w:rPr>
      <w:t xml:space="preserve">  </w:t>
    </w:r>
    <w:r>
      <w:rPr>
        <w:spacing w:val="-6"/>
        <w:sz w:val="18"/>
        <w:szCs w:val="18"/>
      </w:rPr>
      <w:t>-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line="245" w:lineRule="auto"/>
      <w:rPr>
        <w:rFonts w:ascii="Arial"/>
        <w:sz w:val="21"/>
      </w:rPr>
    </w:pPr>
    <w:r>
      <w:pict>
        <v:shape id="_x0000_s2049" style="width:508.1pt;height:0.75pt;margin-top:79.1pt;margin-left:42.72pt;mso-position-horizontal-relative:page;mso-position-vertical-relative:page;position:absolute;z-index:251659264" coordorigin="0,0" coordsize="10162,15" o:allowincell="f" path="m,14l10161,14l10161,l,l,14xe" filled="t" fillcolor="#336" stroked="f"/>
      </w:pict>
    </w:r>
    <w:r>
      <w:drawing>
        <wp:anchor distT="0" distB="0" distL="0" distR="0" simplePos="0" relativeHeight="251658240" behindDoc="0" locked="0" layoutInCell="0" allowOverlap="1">
          <wp:simplePos x="0" y="0"/>
          <wp:positionH relativeFrom="page">
            <wp:posOffset>5447306</wp:posOffset>
          </wp:positionH>
          <wp:positionV relativeFrom="page">
            <wp:posOffset>541094</wp:posOffset>
          </wp:positionV>
          <wp:extent cx="1502491" cy="365493"/>
          <wp:effectExtent l="0" t="0" r="0" b="0"/>
          <wp:wrapNone/>
          <wp:docPr id="18" name="IM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 18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502491" cy="3654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spacing w:before="68" w:line="222" w:lineRule="auto"/>
      <w:ind w:left="57"/>
      <w:rPr>
        <w:rFonts w:ascii="KaiTi" w:eastAsia="KaiTi" w:hAnsi="KaiTi" w:cs="KaiTi"/>
        <w:sz w:val="21"/>
        <w:szCs w:val="21"/>
      </w:rPr>
    </w:pPr>
    <w:r>
      <w:rPr>
        <w:rFonts w:ascii="KaiTi" w:eastAsia="KaiTi" w:hAnsi="KaiTi" w:cs="KaiTi"/>
        <w:color w:val="333366"/>
        <w:sz w:val="21"/>
        <w:szCs w:val="21"/>
        <w14:textOutline w14:w="3831">
          <w14:solidFill>
            <w14:srgbClr w14:val="333366"/>
          </w14:solidFill>
          <w14:prstDash w14:val="solid"/>
          <w14:miter w14:lim="10"/>
        </w14:textOutline>
      </w:rPr>
      <w:t>行业深度研究报告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line="245" w:lineRule="auto"/>
      <w:rPr>
        <w:rFonts w:ascii="Arial"/>
        <w:sz w:val="21"/>
      </w:rPr>
    </w:pPr>
    <w:r>
      <w:pict>
        <v:shape id="_x0000_s2051" style="width:508.1pt;height:0.75pt;margin-top:79.1pt;margin-left:42.72pt;mso-position-horizontal-relative:page;mso-position-vertical-relative:page;position:absolute;z-index:251661312" coordorigin="0,0" coordsize="10162,15" o:allowincell="f" path="m,14l10161,14l10161,l,l,14xe" filled="t" fillcolor="#336" stroked="f"/>
      </w:pict>
    </w:r>
    <w:r>
      <w:drawing>
        <wp:anchor distT="0" distB="0" distL="0" distR="0" simplePos="0" relativeHeight="251660288" behindDoc="0" locked="0" layoutInCell="0" allowOverlap="1">
          <wp:simplePos x="0" y="0"/>
          <wp:positionH relativeFrom="page">
            <wp:posOffset>5447306</wp:posOffset>
          </wp:positionH>
          <wp:positionV relativeFrom="page">
            <wp:posOffset>541094</wp:posOffset>
          </wp:positionV>
          <wp:extent cx="1502491" cy="365493"/>
          <wp:effectExtent l="0" t="0" r="0" b="0"/>
          <wp:wrapNone/>
          <wp:docPr id="1936252624" name="IM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252624" name="IM 18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502491" cy="3654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spacing w:before="68" w:line="222" w:lineRule="auto"/>
      <w:ind w:left="57"/>
      <w:rPr>
        <w:rFonts w:ascii="KaiTi" w:eastAsia="KaiTi" w:hAnsi="KaiTi" w:cs="KaiTi"/>
        <w:sz w:val="21"/>
        <w:szCs w:val="21"/>
      </w:rPr>
    </w:pPr>
    <w:r>
      <w:rPr>
        <w:rFonts w:ascii="KaiTi" w:eastAsia="KaiTi" w:hAnsi="KaiTi" w:cs="KaiTi"/>
        <w:color w:val="333366"/>
        <w:sz w:val="21"/>
        <w:szCs w:val="21"/>
        <w14:textOutline w14:w="3831">
          <w14:solidFill>
            <w14:srgbClr w14:val="333366"/>
          </w14:solidFill>
          <w14:prstDash w14:val="solid"/>
          <w14:miter w14:lim="10"/>
        </w14:textOutline>
      </w:rPr>
      <w:t>行业深度研究报告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line="245" w:lineRule="auto"/>
      <w:rPr>
        <w:rFonts w:ascii="Arial"/>
        <w:sz w:val="21"/>
      </w:rPr>
    </w:pPr>
    <w:r>
      <w:pict>
        <v:shape id="_x0000_s2054" style="width:508.1pt;height:0.75pt;margin-top:79.1pt;margin-left:42.72pt;mso-position-horizontal-relative:page;mso-position-vertical-relative:page;position:absolute;z-index:251663360" coordorigin="0,0" coordsize="10162,15" o:allowincell="f" path="m,14l10161,14l10161,l,l,14xe" filled="t" fillcolor="#336" stroked="f"/>
      </w:pict>
    </w:r>
    <w:r>
      <w:drawing>
        <wp:anchor distT="0" distB="0" distL="0" distR="0" simplePos="0" relativeHeight="251662336" behindDoc="0" locked="0" layoutInCell="0" allowOverlap="1">
          <wp:simplePos x="0" y="0"/>
          <wp:positionH relativeFrom="page">
            <wp:posOffset>5447306</wp:posOffset>
          </wp:positionH>
          <wp:positionV relativeFrom="page">
            <wp:posOffset>541094</wp:posOffset>
          </wp:positionV>
          <wp:extent cx="1502491" cy="365493"/>
          <wp:effectExtent l="0" t="0" r="0" b="0"/>
          <wp:wrapNone/>
          <wp:docPr id="215455620" name="IM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5455620" name="IM 18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502491" cy="3654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spacing w:before="68" w:line="222" w:lineRule="auto"/>
      <w:ind w:left="57"/>
      <w:rPr>
        <w:rFonts w:ascii="KaiTi" w:eastAsia="KaiTi" w:hAnsi="KaiTi" w:cs="KaiTi"/>
        <w:sz w:val="21"/>
        <w:szCs w:val="21"/>
      </w:rPr>
    </w:pPr>
    <w:r>
      <w:rPr>
        <w:rFonts w:ascii="KaiTi" w:eastAsia="KaiTi" w:hAnsi="KaiTi" w:cs="KaiTi"/>
        <w:color w:val="333366"/>
        <w:sz w:val="21"/>
        <w:szCs w:val="21"/>
        <w14:textOutline w14:w="3831">
          <w14:solidFill>
            <w14:srgbClr w14:val="333366"/>
          </w14:solidFill>
          <w14:prstDash w14:val="solid"/>
          <w14:miter w14:lim="10"/>
        </w14:textOutline>
      </w:rPr>
      <w:t>行业深度研究报告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line="245" w:lineRule="auto"/>
      <w:rPr>
        <w:rFonts w:ascii="Arial"/>
        <w:sz w:val="21"/>
      </w:rPr>
    </w:pPr>
    <w:r>
      <w:pict>
        <v:shape id="_x0000_s2056" style="width:508.1pt;height:0.75pt;margin-top:79.1pt;margin-left:42.72pt;mso-position-horizontal-relative:page;mso-position-vertical-relative:page;position:absolute;z-index:251665408" coordorigin="0,0" coordsize="10162,15" o:allowincell="f" path="m,14l10161,14l10161,l,l,14xe" filled="t" fillcolor="#336" stroked="f"/>
      </w:pict>
    </w:r>
    <w:r>
      <w:drawing>
        <wp:anchor distT="0" distB="0" distL="0" distR="0" simplePos="0" relativeHeight="251664384" behindDoc="0" locked="0" layoutInCell="0" allowOverlap="1">
          <wp:simplePos x="0" y="0"/>
          <wp:positionH relativeFrom="page">
            <wp:posOffset>5447306</wp:posOffset>
          </wp:positionH>
          <wp:positionV relativeFrom="page">
            <wp:posOffset>541094</wp:posOffset>
          </wp:positionV>
          <wp:extent cx="1502491" cy="365493"/>
          <wp:effectExtent l="0" t="0" r="0" b="0"/>
          <wp:wrapNone/>
          <wp:docPr id="660948345" name="IM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0948345" name="IM 18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502491" cy="3654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spacing w:before="68" w:line="222" w:lineRule="auto"/>
      <w:ind w:left="57"/>
      <w:rPr>
        <w:rFonts w:ascii="KaiTi" w:eastAsia="KaiTi" w:hAnsi="KaiTi" w:cs="KaiTi"/>
        <w:sz w:val="21"/>
        <w:szCs w:val="21"/>
      </w:rPr>
    </w:pPr>
    <w:r>
      <w:rPr>
        <w:rFonts w:ascii="KaiTi" w:eastAsia="KaiTi" w:hAnsi="KaiTi" w:cs="KaiTi"/>
        <w:color w:val="333366"/>
        <w:sz w:val="21"/>
        <w:szCs w:val="21"/>
        <w14:textOutline w14:w="3831">
          <w14:solidFill>
            <w14:srgbClr w14:val="333366"/>
          </w14:solidFill>
          <w14:prstDash w14:val="solid"/>
          <w14:miter w14:lim="10"/>
        </w14:textOutline>
      </w:rPr>
      <w:t>行业深度研究报告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line="245" w:lineRule="auto"/>
      <w:rPr>
        <w:rFonts w:ascii="Arial"/>
        <w:sz w:val="21"/>
      </w:rPr>
    </w:pPr>
    <w:r>
      <w:pict>
        <v:shape id="_x0000_s2058" style="width:508.1pt;height:0.75pt;margin-top:79.1pt;margin-left:42.72pt;mso-position-horizontal-relative:page;mso-position-vertical-relative:page;position:absolute;z-index:251667456" coordorigin="0,0" coordsize="10162,15" o:allowincell="f" path="m,14l10161,14l10161,l,l,14xe" filled="t" fillcolor="#336" stroked="f"/>
      </w:pict>
    </w:r>
    <w:r>
      <w:drawing>
        <wp:anchor distT="0" distB="0" distL="0" distR="0" simplePos="0" relativeHeight="251666432" behindDoc="0" locked="0" layoutInCell="0" allowOverlap="1">
          <wp:simplePos x="0" y="0"/>
          <wp:positionH relativeFrom="page">
            <wp:posOffset>5447306</wp:posOffset>
          </wp:positionH>
          <wp:positionV relativeFrom="page">
            <wp:posOffset>541094</wp:posOffset>
          </wp:positionV>
          <wp:extent cx="1502491" cy="365493"/>
          <wp:effectExtent l="0" t="0" r="0" b="0"/>
          <wp:wrapNone/>
          <wp:docPr id="317609691" name="IM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7609691" name="IM 18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502491" cy="3654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spacing w:before="68" w:line="222" w:lineRule="auto"/>
      <w:ind w:left="57"/>
      <w:rPr>
        <w:rFonts w:ascii="KaiTi" w:eastAsia="KaiTi" w:hAnsi="KaiTi" w:cs="KaiTi"/>
        <w:sz w:val="21"/>
        <w:szCs w:val="21"/>
      </w:rPr>
    </w:pPr>
    <w:r>
      <w:rPr>
        <w:rFonts w:ascii="KaiTi" w:eastAsia="KaiTi" w:hAnsi="KaiTi" w:cs="KaiTi"/>
        <w:color w:val="333366"/>
        <w:sz w:val="21"/>
        <w:szCs w:val="21"/>
        <w14:textOutline w14:w="3831">
          <w14:solidFill>
            <w14:srgbClr w14:val="333366"/>
          </w14:solidFill>
          <w14:prstDash w14:val="solid"/>
          <w14:miter w14:lim="10"/>
        </w14:textOutline>
      </w:rPr>
      <w:t>行业深度研究报告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line="245" w:lineRule="auto"/>
      <w:rPr>
        <w:rFonts w:ascii="Arial"/>
        <w:sz w:val="21"/>
      </w:rPr>
    </w:pPr>
    <w:r>
      <w:pict>
        <v:shape id="_x0000_s2059" style="width:508.1pt;height:0.75pt;margin-top:79.1pt;margin-left:42.72pt;mso-position-horizontal-relative:page;mso-position-vertical-relative:page;position:absolute;z-index:251669504" coordorigin="0,0" coordsize="10162,15" o:allowincell="f" path="m,14l10161,14l10161,l,l,14xe" filled="t" fillcolor="#336" stroked="f"/>
      </w:pict>
    </w:r>
    <w:r>
      <w:drawing>
        <wp:anchor distT="0" distB="0" distL="0" distR="0" simplePos="0" relativeHeight="251668480" behindDoc="0" locked="0" layoutInCell="0" allowOverlap="1">
          <wp:simplePos x="0" y="0"/>
          <wp:positionH relativeFrom="page">
            <wp:posOffset>5447306</wp:posOffset>
          </wp:positionH>
          <wp:positionV relativeFrom="page">
            <wp:posOffset>541094</wp:posOffset>
          </wp:positionV>
          <wp:extent cx="1502491" cy="365493"/>
          <wp:effectExtent l="0" t="0" r="0" b="0"/>
          <wp:wrapNone/>
          <wp:docPr id="22" name="IM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 22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502491" cy="3654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spacing w:before="68" w:line="222" w:lineRule="auto"/>
      <w:ind w:left="57"/>
      <w:rPr>
        <w:rFonts w:ascii="KaiTi" w:eastAsia="KaiTi" w:hAnsi="KaiTi" w:cs="KaiTi"/>
        <w:sz w:val="21"/>
        <w:szCs w:val="21"/>
      </w:rPr>
    </w:pPr>
    <w:bookmarkStart w:id="4" w:name="bookmark65"/>
    <w:bookmarkEnd w:id="4"/>
    <w:bookmarkStart w:id="5" w:name="bookmark4"/>
    <w:bookmarkEnd w:id="5"/>
    <w:r>
      <w:rPr>
        <w:rFonts w:ascii="KaiTi" w:eastAsia="KaiTi" w:hAnsi="KaiTi" w:cs="KaiTi"/>
        <w:color w:val="333366"/>
        <w:sz w:val="21"/>
        <w:szCs w:val="21"/>
        <w14:textOutline w14:w="3831">
          <w14:solidFill>
            <w14:srgbClr w14:val="333366"/>
          </w14:solidFill>
          <w14:prstDash w14:val="solid"/>
          <w14:miter w14:lim="10"/>
        </w14:textOutline>
      </w:rPr>
      <w:t>行业深度研究报告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line="245" w:lineRule="auto"/>
      <w:rPr>
        <w:rFonts w:ascii="Arial"/>
        <w:sz w:val="21"/>
      </w:rPr>
    </w:pPr>
    <w:r>
      <w:pict>
        <v:shape id="_x0000_s2061" style="width:508.1pt;height:0.75pt;margin-top:79.1pt;margin-left:42.72pt;mso-position-horizontal-relative:page;mso-position-vertical-relative:page;position:absolute;z-index:251671552" coordorigin="0,0" coordsize="10162,15" o:allowincell="f" path="m,14l10161,14l10161,l,l,14xe" filled="t" fillcolor="#336" stroked="f"/>
      </w:pict>
    </w:r>
    <w:r>
      <w:drawing>
        <wp:anchor distT="0" distB="0" distL="0" distR="0" simplePos="0" relativeHeight="251670528" behindDoc="0" locked="0" layoutInCell="0" allowOverlap="1">
          <wp:simplePos x="0" y="0"/>
          <wp:positionH relativeFrom="page">
            <wp:posOffset>5447306</wp:posOffset>
          </wp:positionH>
          <wp:positionV relativeFrom="page">
            <wp:posOffset>541094</wp:posOffset>
          </wp:positionV>
          <wp:extent cx="1502491" cy="365493"/>
          <wp:effectExtent l="0" t="0" r="0" b="0"/>
          <wp:wrapNone/>
          <wp:docPr id="918772031" name="IM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8772031" name="IM 22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502491" cy="3654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spacing w:before="68" w:line="222" w:lineRule="auto"/>
      <w:ind w:left="57"/>
      <w:rPr>
        <w:rFonts w:ascii="KaiTi" w:eastAsia="KaiTi" w:hAnsi="KaiTi" w:cs="KaiTi"/>
        <w:sz w:val="21"/>
        <w:szCs w:val="21"/>
      </w:rPr>
    </w:pPr>
    <w:bookmarkStart w:id="6" w:name="bookmark65_0"/>
    <w:bookmarkEnd w:id="6"/>
    <w:bookmarkStart w:id="7" w:name="bookmark4_0"/>
    <w:bookmarkEnd w:id="7"/>
    <w:r>
      <w:rPr>
        <w:rFonts w:ascii="KaiTi" w:eastAsia="KaiTi" w:hAnsi="KaiTi" w:cs="KaiTi"/>
        <w:color w:val="333366"/>
        <w:sz w:val="21"/>
        <w:szCs w:val="21"/>
        <w14:textOutline w14:w="3831">
          <w14:solidFill>
            <w14:srgbClr w14:val="333366"/>
          </w14:solidFill>
          <w14:prstDash w14:val="solid"/>
          <w14:miter w14:lim="10"/>
        </w14:textOutline>
      </w:rPr>
      <w:t>行业深度研究报告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line="245" w:lineRule="auto"/>
      <w:rPr>
        <w:rFonts w:ascii="Arial"/>
        <w:sz w:val="21"/>
      </w:rPr>
    </w:pPr>
    <w:r>
      <w:pict>
        <v:shape id="_x0000_s2063" style="width:508.1pt;height:0.75pt;margin-top:79.1pt;margin-left:42.72pt;mso-position-horizontal-relative:page;mso-position-vertical-relative:page;position:absolute;z-index:251673600" coordorigin="0,0" coordsize="10162,15" o:allowincell="f" path="m,14l10161,14l10161,l,l,14xe" filled="t" fillcolor="#336" stroked="f"/>
      </w:pict>
    </w:r>
    <w:r>
      <w:drawing>
        <wp:anchor distT="0" distB="0" distL="0" distR="0" simplePos="0" relativeHeight="251672576" behindDoc="0" locked="0" layoutInCell="0" allowOverlap="1">
          <wp:simplePos x="0" y="0"/>
          <wp:positionH relativeFrom="page">
            <wp:posOffset>5447306</wp:posOffset>
          </wp:positionH>
          <wp:positionV relativeFrom="page">
            <wp:posOffset>541094</wp:posOffset>
          </wp:positionV>
          <wp:extent cx="1502491" cy="365493"/>
          <wp:effectExtent l="0" t="0" r="0" b="0"/>
          <wp:wrapNone/>
          <wp:docPr id="645758652" name="IM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758652" name="IM 18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502491" cy="3654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spacing w:before="68" w:line="222" w:lineRule="auto"/>
      <w:ind w:left="57"/>
      <w:rPr>
        <w:rFonts w:ascii="KaiTi" w:eastAsia="KaiTi" w:hAnsi="KaiTi" w:cs="KaiTi"/>
        <w:sz w:val="21"/>
        <w:szCs w:val="21"/>
      </w:rPr>
    </w:pPr>
    <w:r>
      <w:rPr>
        <w:rFonts w:ascii="KaiTi" w:eastAsia="KaiTi" w:hAnsi="KaiTi" w:cs="KaiTi"/>
        <w:color w:val="333366"/>
        <w:sz w:val="21"/>
        <w:szCs w:val="21"/>
        <w14:textOutline w14:w="3831">
          <w14:solidFill>
            <w14:srgbClr w14:val="333366"/>
          </w14:solidFill>
          <w14:prstDash w14:val="solid"/>
          <w14:miter w14:lim="10"/>
        </w14:textOutline>
      </w:rPr>
      <w:t>行业深度研究报告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compat>
    <w:spaceForUL/>
    <w:ulTrailSpace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napToGrid w:val="0"/>
        <w:color w:val="000000"/>
        <w:kern w:val="0"/>
        <w:sz w:val="21"/>
        <w:szCs w:val="21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noProof/>
      <w:snapToGrid w:val="0"/>
      <w:color w:val="000000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Normal"/>
    <w:semiHidden/>
    <w:qFormat/>
    <w:rPr>
      <w:rFonts w:ascii="KaiTi" w:eastAsia="KaiTi" w:hAnsi="KaiTi" w:cs="KaiTi"/>
      <w:sz w:val="21"/>
      <w:szCs w:val="21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Times New Roman" w:eastAsia="Times New Roman" w:hAnsi="Times New Roman" w:cs="Times New Roman"/>
      <w:sz w:val="21"/>
      <w:szCs w:val="21"/>
      <w:lang w:val="en-US" w:eastAsia="en-US" w:bidi="ar-SA"/>
    </w:rPr>
  </w:style>
  <w:style w:type="table" w:customStyle="1" w:styleId="TableNormal0">
    <w:name w:val="Table Normal_0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header" Target="header1.xml" /><Relationship Id="rId13" Type="http://schemas.openxmlformats.org/officeDocument/2006/relationships/footer" Target="footer1.xml" /><Relationship Id="rId14" Type="http://schemas.openxmlformats.org/officeDocument/2006/relationships/header" Target="header2.xml" /><Relationship Id="rId15" Type="http://schemas.openxmlformats.org/officeDocument/2006/relationships/footer" Target="footer2.xml" /><Relationship Id="rId16" Type="http://schemas.openxmlformats.org/officeDocument/2006/relationships/header" Target="header3.xml" /><Relationship Id="rId17" Type="http://schemas.openxmlformats.org/officeDocument/2006/relationships/footer" Target="footer3.xml" /><Relationship Id="rId18" Type="http://schemas.openxmlformats.org/officeDocument/2006/relationships/image" Target="media/image10.jpeg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header" Target="header5.xml" /><Relationship Id="rId22" Type="http://schemas.openxmlformats.org/officeDocument/2006/relationships/footer" Target="footer5.xml" /><Relationship Id="rId23" Type="http://schemas.openxmlformats.org/officeDocument/2006/relationships/header" Target="header6.xml" /><Relationship Id="rId24" Type="http://schemas.openxmlformats.org/officeDocument/2006/relationships/footer" Target="footer6.xml" /><Relationship Id="rId25" Type="http://schemas.openxmlformats.org/officeDocument/2006/relationships/header" Target="header7.xml" /><Relationship Id="rId26" Type="http://schemas.openxmlformats.org/officeDocument/2006/relationships/footer" Target="footer7.xml" /><Relationship Id="rId27" Type="http://schemas.openxmlformats.org/officeDocument/2006/relationships/hyperlink" Target="https://d.book118.com/815110134321011122" TargetMode="External" /><Relationship Id="rId28" Type="http://schemas.openxmlformats.org/officeDocument/2006/relationships/header" Target="header8.xml" /><Relationship Id="rId29" Type="http://schemas.openxmlformats.org/officeDocument/2006/relationships/footer" Target="footer8.xm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styles" Target="styles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9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9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9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9.pn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9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9.pn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9.pn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9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兴业证券-多元金融行业交易所全球图鉴系列一：纳斯达克，从交易所到金融科技领军的行业破局者-240312.pdf</dc:title>
  <cp:revision>0</cp:revision>
  <dcterms:created xsi:type="dcterms:W3CDTF">2024-03-15T09:02:40Z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2024-03-15T09:09:45Z</vt:filetime>
  </property>
  <property fmtid="{D5CDD505-2E9C-101B-9397-08002B2CF9AE}" pid="3" name="CRO">
    <vt:lpwstr>wqlLaW5nc29mdCBQREYgdG8gV1BTIDkw</vt:lpwstr>
  </property>
</Properties>
</file>