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954B3" w14:paraId="24EBF86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954B3" w14:paraId="3F9405A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954B3" w14:paraId="60E97A1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954B3" w:rsidRPr="005954B3" w14:paraId="3E71123D" w14:textId="2CB6468E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954B3">
        <w:rPr>
          <w:rFonts w:ascii="宋体" w:eastAsia="宋体" w:hAnsi="宋体"/>
          <w:b/>
          <w:sz w:val="60"/>
        </w:rPr>
        <w:t>MCL(BCL)系列离心压缩机企业战略商业风险</w:t>
      </w:r>
    </w:p>
    <w:p w:rsidR="005954B3" w:rsidP="005954B3" w14:paraId="002B0A78" w14:textId="5FBF06B4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5954B3">
        <w:rPr>
          <w:rFonts w:ascii="仿宋" w:eastAsia="仿宋" w:hAnsi="仿宋" w:hint="eastAsia"/>
          <w:b/>
          <w:sz w:val="40"/>
        </w:rPr>
        <w:t>目录</w:t>
      </w:r>
    </w:p>
    <w:p w:rsidR="005954B3" w14:paraId="4F741042" w14:textId="65561B08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_Toc155812262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954B3" w14:paraId="32A0A618" w14:textId="4C2D91B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一、发展规划分析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_Toc155812263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954B3" w14:paraId="5810B2B2" w14:textId="4F3861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(一)、公司发展规划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_Toc155812264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954B3" w14:paraId="13A4378D" w14:textId="570089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_Toc155812265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954B3" w14:paraId="1DF3CA62" w14:textId="2BC4EAD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二、MCL(BCL)系列离心压缩机行业企业业务流程管理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_Toc155812266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954B3" w14:paraId="2CA7C0E2" w14:textId="1AA3AB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(一)、业务流程的建立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_Toc155812267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954B3" w14:paraId="3A9F692E" w14:textId="721B3B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(二)、业务流程的优化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_Toc155812268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954B3" w14:paraId="1092E3B4" w14:textId="64D22AA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(三)、业务流程的重组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_Toc155812269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954B3" w14:paraId="6E3629A2" w14:textId="75FE0F6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三、战略制订框架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_Toc155812270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954B3" w14:paraId="2EE8235D" w14:textId="3DB6A3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(一)、战略制订框架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_Toc155812271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954B3" w14:paraId="1AA175D6" w14:textId="1408C59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四、人力资源风险管理过程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_Toc155812272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954B3" w14:paraId="3F325E6C" w14:textId="084C41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_Toc155812273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954B3" w14:paraId="0A5D1A3F" w14:textId="2FA17F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_Toc155812274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954B3" w14:paraId="30C4A187" w14:textId="73AF2F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(三)、风险应对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_Toc155812275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954B3" w14:paraId="02758C31" w14:textId="6333778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五、流程风险的识别和评估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_Toc155812276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5954B3" w14:paraId="728FE699" w14:textId="2C0371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(一)、风险清单识别法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_Toc155812277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5954B3" w14:paraId="158E81A2" w14:textId="186C3C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(二)、流程图法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_Toc155812278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5954B3" w14:paraId="170FEC9C" w14:textId="2ABE247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(三)、风险矩阵评估法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_Toc155812279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5954B3" w14:paraId="58F4DE75" w14:textId="20AAD5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(四)、内部威胁分析法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_Toc155812280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5954B3" w14:paraId="45071AC6" w14:textId="7FB49B7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六、运营风险的含义及其主要内容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_Toc155812281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5954B3" w14:paraId="3C9B09D4" w14:textId="35648CAF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(一)、战略风险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_Toc155812282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5954B3" w14:paraId="22D4D313" w14:textId="3ADBFC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(二)、流程风险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_Toc155812283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5954B3" w14:paraId="59B23733" w14:textId="33B313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(三)、人力资源风险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_Toc155812284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5954B3" w14:paraId="24FC7B51" w14:textId="0F5D4A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(四)、内部技术风险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_Toc155812285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5954B3" w14:paraId="05139976" w14:textId="5D04FD3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_Toc155812286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5954B3" w14:paraId="5BF2FED6" w14:textId="659FDA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_Toc155812287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5954B3" w14:paraId="14272FB6" w14:textId="0C7627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(二)、员工技能培训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_Toc155812288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5954B3" w14:paraId="3E5E1609" w14:textId="01881CE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八、MCL(BCL)系列离心压缩机项目风险分析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_Toc155812289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5954B3" w14:paraId="3A802499" w14:textId="1D6B6B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(一)、政策风险分析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_Toc155812290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5954B3" w14:paraId="6108C670" w14:textId="03B890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_Toc155812291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5954B3" w14:paraId="28B1B41F" w14:textId="2B169B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_Toc155812292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5954B3" w14:paraId="4457BF49" w14:textId="24FBF5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(四)、人才风险分析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_Toc155812293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5954B3" w14:paraId="75522BEF" w14:textId="2989B4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(五)、社会责任风险分析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_Toc155812294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5954B3" w14:paraId="6C6C568C" w14:textId="1F9853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(六)、全球经济不确定性风险分析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_Toc155812295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5954B3" w14:paraId="13413A43" w14:textId="4D394B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(七)、供应链风险分析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_Toc155812296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5954B3" w14:paraId="4864EA7D" w14:textId="38F9A14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(八)、网络安全风险分析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_Toc155812297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5954B3" w14:paraId="6284A88E" w14:textId="6939663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九、人力资源的特点及管理过程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_Toc155812298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5954B3" w14:paraId="1643460D" w14:textId="7035D1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(一)、人力资源本身的特点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_Toc155812299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5954B3" w14:paraId="2DE31ADE" w14:textId="443E4A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_Toc155812300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5954B3" w14:paraId="7C8A8EB0" w14:textId="6F5FDCD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十、员工培训与绩效提升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_Toc155812301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5954B3" w14:paraId="6A90E02F" w14:textId="2C2727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(一)、培训需求分析与计划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_Toc155812302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5954B3" w14:paraId="52F55ACB" w14:textId="0019B7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(二)、绩效评价体系与激励机制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_Toc155812303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5954B3" w14:paraId="29A8F0EB" w14:textId="63F3468B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(三)、职业发展规划与晋升通道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_Toc155812304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5954B3" w14:paraId="512F32AC" w14:textId="329CD7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(四)、员工满意度与团队凝聚力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_Toc155812305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5954B3" w14:paraId="1AB7DF61" w14:textId="720C389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十一、MCL(BCL)系列离心压缩机项目风险对策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_Toc155812306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5954B3" w14:paraId="1B015F7C" w14:textId="3C8F06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(一)、政策风险对策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_Toc155812307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5954B3" w14:paraId="1EB8EA52" w14:textId="26632C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_Toc155812308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5954B3" w14:paraId="37021033" w14:textId="1BE1B1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_Toc155812309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5954B3" w14:paraId="65344825" w14:textId="7002D32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(四)、人才风险对策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_Toc155812310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5954B3" w14:paraId="21C0A88E" w14:textId="737937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(五)、社会责任风险对策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_Toc155812311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5954B3" w14:paraId="770F25C0" w14:textId="097E60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(六)、全球经济不确定性风险对策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_Toc155812312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5954B3" w14:paraId="1B28329C" w14:textId="37BC85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(七)、供应链风险对策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_Toc155812313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5954B3" w14:paraId="702A47E3" w14:textId="0DB1A0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(八)、网络安全风险对策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_Toc155812314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5954B3" w14:paraId="2114B8AB" w14:textId="18E3B11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十二、运营风险管理的一般程序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_Toc155812315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5954B3" w14:paraId="32FD2C7F" w14:textId="035BCD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(一)、运营风险的识别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_Toc155812316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5954B3" w14:paraId="35A0DCB4" w14:textId="45B541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(二)、运营风险的评估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_Toc155812317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5954B3" w14:paraId="773FB3B0" w14:textId="4DD0BD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(三)、运营风险的应对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_Toc155812318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5954B3" w14:paraId="61DD6005" w14:textId="1E91AF3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十三、危机管理与应急响应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_Toc155812319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5954B3" w14:paraId="04B98E0A" w14:textId="1BE425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(一)、危机预警与监测机制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_Toc155812320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5954B3" w14:paraId="5D8AD086" w14:textId="799DCD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(二)、灾难恢复与业务连续性计划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_Toc155812321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5954B3" w14:paraId="316E9C0B" w14:textId="4B91B3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(三)、公关与媒体管理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_Toc155812322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5954B3" w14:paraId="7B651308" w14:textId="72A162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(四)、社会责任危机管理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_Toc155812323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5954B3" w14:paraId="6F980D38" w14:textId="16CEA18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十四、社会责任管理与可持续发展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_Toc155812324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5954B3" w14:paraId="37400C2A" w14:textId="0EE519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(一)、社会责任战略与执行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_Toc155812325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5954B3" w14:paraId="2F1F739C" w14:textId="2AA6CC66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(二)、环保与可持续经济发展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_Toc155812326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5954B3" w14:paraId="64A30508" w14:textId="008DB5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(三)、员工权益与劳工标准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_Toc155812327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5954B3" w14:paraId="5D04EA2F" w14:textId="4D94E88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(四)、社会参与与公益事业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_Toc155812328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5954B3" w14:paraId="2098E498" w14:textId="3989F1E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十五、市场趋势与消费者洞察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_Toc155812329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5954B3" w14:paraId="248654B1" w14:textId="05357BA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(一)、市场趋势分析与预测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_Toc155812330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5954B3" w14:paraId="506BC9FD" w14:textId="45FBB2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(二)、消费者洞察与行为研究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_Toc155812331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5954B3" w14:paraId="5230D7E2" w14:textId="0B4F59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(三)、产品创新与市场适应性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_Toc155812332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5954B3" w14:paraId="36D6E54D" w14:textId="7DF902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(四)、服务体验与客户满意度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_Toc155812333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5954B3" w14:paraId="6D277989" w14:textId="1A7C1DA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十六、战略的定性评价决策方法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_Toc155812334 \h </w:instrText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:rsidR="005954B3" w14:paraId="1E6E7050" w14:textId="4A69D4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(一)、战略的定性评价决策方法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_Toc155812335 \h </w:instrText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:rsidR="005954B3" w14:paraId="0DD76423" w14:textId="426E7EB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十七、差异化战略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_Toc155812336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5954B3" w14:paraId="1B295999" w14:textId="2D13DF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(一)、差异化战略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_Toc155812337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5954B3" w14:paraId="1C5F15FB" w14:textId="2F79348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十八、战略的定量评价决策方法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_Toc155812338 \h </w:instrText>
      </w:r>
      <w:r>
        <w:rPr>
          <w:noProof/>
        </w:rPr>
        <w:fldChar w:fldCharType="separate"/>
      </w:r>
      <w:r>
        <w:rPr>
          <w:noProof/>
        </w:rPr>
        <w:t>75</w:t>
      </w:r>
      <w:r>
        <w:rPr>
          <w:noProof/>
        </w:rPr>
        <w:fldChar w:fldCharType="end"/>
      </w:r>
    </w:p>
    <w:p w:rsidR="005954B3" w14:paraId="06DAF808" w14:textId="4B88F2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(一)、战略的定量评价决策方法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_Toc155812339 \h </w:instrText>
      </w:r>
      <w:r>
        <w:rPr>
          <w:noProof/>
        </w:rPr>
        <w:fldChar w:fldCharType="separate"/>
      </w:r>
      <w:r>
        <w:rPr>
          <w:noProof/>
        </w:rPr>
        <w:t>75</w:t>
      </w:r>
      <w:r>
        <w:rPr>
          <w:noProof/>
        </w:rPr>
        <w:fldChar w:fldCharType="end"/>
      </w:r>
    </w:p>
    <w:p w:rsidR="005954B3" w:rsidP="005954B3" w14:paraId="7BB9075E" w14:textId="196A0714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https://d.book118.com/815243024023011100</w:t>
        </w:r>
      </w:hyperlink>
    </w:p>
    <w:p w:rsidR="005954B3" w:rsidP="005954B3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54B3" w:rsidP="00702BD5" w14:paraId="2E0ECA3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954B3" w14:paraId="1CB4DDF1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54B3" w:rsidP="00702BD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954B3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54B3" w:rsidP="00702BD5" w14:textId="733D9D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5954B3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54B3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54B3" w:rsidP="00702BD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954B3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54B3" w:rsidP="00702BD5" w14:textId="733D9D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5954B3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54B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54B3" w:rsidP="00702BD5" w14:paraId="086FF6EC" w14:textId="733D9D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954B3" w14:paraId="2EEBF0D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54B3" w14:paraId="650AE2F3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54B3" w:rsidP="00702BD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954B3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54B3" w:rsidP="00702BD5" w14:textId="733D9D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954B3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54B3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54B3" w:rsidP="00702BD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954B3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54B3" w:rsidP="00702BD5" w14:textId="733D9D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5954B3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54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54B3" w14:paraId="1503A074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54B3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54B3" w:rsidRPr="005954B3" w:rsidP="005954B3" w14:textId="6DB18228">
    <w:pPr>
      <w:pStyle w:val="Header"/>
      <w:rPr>
        <w:rFonts w:ascii="仿宋" w:eastAsia="仿宋" w:hAnsi="仿宋"/>
      </w:rPr>
    </w:pPr>
    <w:r w:rsidRPr="005954B3">
      <w:rPr>
        <w:rFonts w:ascii="仿宋" w:eastAsia="仿宋" w:hAnsi="仿宋"/>
      </w:rPr>
      <w:t>MCL(BCL)系列离心压缩机企业战略商业风险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54B3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54B3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54B3" w:rsidRPr="005954B3" w:rsidP="005954B3" w14:textId="6DB18228">
    <w:pPr>
      <w:pStyle w:val="Header"/>
      <w:rPr>
        <w:rFonts w:ascii="仿宋" w:eastAsia="仿宋" w:hAnsi="仿宋"/>
      </w:rPr>
    </w:pPr>
    <w:r w:rsidRPr="005954B3">
      <w:rPr>
        <w:rFonts w:ascii="仿宋" w:eastAsia="仿宋" w:hAnsi="仿宋"/>
      </w:rPr>
      <w:t>MCL(BCL)系列离心压缩机企业战略商业风险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54B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54B3" w:rsidRPr="005954B3" w:rsidP="005954B3" w14:paraId="7A6211F8" w14:textId="6DB18228">
    <w:pPr>
      <w:pStyle w:val="Header"/>
      <w:rPr>
        <w:rFonts w:ascii="仿宋" w:eastAsia="仿宋" w:hAnsi="仿宋"/>
      </w:rPr>
    </w:pPr>
    <w:r w:rsidRPr="005954B3">
      <w:rPr>
        <w:rFonts w:ascii="仿宋" w:eastAsia="仿宋" w:hAnsi="仿宋"/>
      </w:rPr>
      <w:t>MCL(BCL)系列离心压缩机企业战略商业风险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54B3" w14:paraId="6249A4B9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54B3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54B3" w:rsidRPr="005954B3" w:rsidP="005954B3" w14:textId="6DB18228">
    <w:pPr>
      <w:pStyle w:val="Header"/>
      <w:rPr>
        <w:rFonts w:ascii="仿宋" w:eastAsia="仿宋" w:hAnsi="仿宋"/>
      </w:rPr>
    </w:pPr>
    <w:r w:rsidRPr="005954B3">
      <w:rPr>
        <w:rFonts w:ascii="仿宋" w:eastAsia="仿宋" w:hAnsi="仿宋"/>
      </w:rPr>
      <w:t>MCL(BCL)系列离心压缩机企业战略商业风险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54B3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54B3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54B3" w:rsidRPr="005954B3" w:rsidP="005954B3" w14:textId="6DB18228">
    <w:pPr>
      <w:pStyle w:val="Header"/>
      <w:rPr>
        <w:rFonts w:ascii="仿宋" w:eastAsia="仿宋" w:hAnsi="仿宋"/>
      </w:rPr>
    </w:pPr>
    <w:r w:rsidRPr="005954B3">
      <w:rPr>
        <w:rFonts w:ascii="仿宋" w:eastAsia="仿宋" w:hAnsi="仿宋"/>
      </w:rPr>
      <w:t>MCL(BCL)系列离心压缩机企业战略商业风险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54B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4B3"/>
    <w:rsid w:val="005954B3"/>
    <w:rsid w:val="00702BD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A9ED5A2"/>
  <w15:chartTrackingRefBased/>
  <w15:docId w15:val="{03675001-B3C3-411E-BD39-073899AA3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5954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5954B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5954B3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5954B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5954B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5954B3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5954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5954B3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954B3"/>
  </w:style>
  <w:style w:type="paragraph" w:styleId="TOC1">
    <w:name w:val="toc 1"/>
    <w:basedOn w:val="Normal"/>
    <w:next w:val="Normal"/>
    <w:autoRedefine/>
    <w:uiPriority w:val="39"/>
    <w:unhideWhenUsed/>
    <w:rsid w:val="005954B3"/>
  </w:style>
  <w:style w:type="paragraph" w:styleId="TOC2">
    <w:name w:val="toc 2"/>
    <w:basedOn w:val="Normal"/>
    <w:next w:val="Normal"/>
    <w:autoRedefine/>
    <w:uiPriority w:val="39"/>
    <w:unhideWhenUsed/>
    <w:rsid w:val="005954B3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815243024023011100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6373</Words>
  <Characters>36332</Characters>
  <Application>Microsoft Office Word</Application>
  <DocSecurity>0</DocSecurity>
  <Lines>302</Lines>
  <Paragraphs>85</Paragraphs>
  <ScaleCrop>false</ScaleCrop>
  <Company/>
  <LinksUpToDate>false</LinksUpToDate>
  <CharactersWithSpaces>42620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15655379906@163.com</dc:creator>
  <cp:lastModifiedBy>15655379906@163.com</cp:lastModifiedBy>
  <cp:revision>1</cp:revision>
  <dcterms:created xsi:type="dcterms:W3CDTF">2024-01-10T12:50:00Z</dcterms:created>
  <dcterms:modified xsi:type="dcterms:W3CDTF">2024-01-10T12:50:00Z</dcterms:modified>
</cp:coreProperties>
</file>