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Theme="minorHAnsi" w:eastAsiaTheme="minorEastAsia" w:hAnsiTheme="minorHAnsi" w:cstheme="minorBidi"/>
          <w:b w:val="0"/>
          <w:bCs w:val="0"/>
          <w:color w:val="auto"/>
          <w:kern w:val="2"/>
          <w:sz w:val="15"/>
          <w:szCs w:val="16"/>
          <w:lang w:val="zh-CN"/>
        </w:rPr>
        <w:id w:val="-1899273426"/>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zh-CN"/>
        </w:rPr>
      </w:sdtEndPr>
      <w:sdtContent>
        <w:p>
          <w:pPr>
            <w:spacing w:line="360" w:lineRule="auto"/>
            <w:jc w:val="center"/>
            <w:rPr>
              <w:rFonts w:ascii="黑体" w:eastAsia="黑体" w:hAnsi="黑体"/>
              <w:sz w:val="36"/>
              <w:szCs w:val="36"/>
            </w:rPr>
          </w:pPr>
          <w:r>
            <w:rPr>
              <w:rFonts w:ascii="黑体" w:eastAsia="黑体" w:hAnsi="黑体" w:hint="eastAsia"/>
              <w:sz w:val="36"/>
              <w:szCs w:val="36"/>
            </w:rPr>
            <w:t>城市社区养老模式研究—以上海市奉贤区为例</w:t>
          </w:r>
        </w:p>
        <w:p>
          <w:pPr>
            <w:pStyle w:val="TOCHeading"/>
            <w:spacing w:before="0"/>
            <w:jc w:val="center"/>
            <w:rPr>
              <w:rFonts w:ascii="黑体" w:eastAsia="黑体" w:hAnsi="黑体"/>
              <w:b w:val="0"/>
              <w:color w:val="auto"/>
              <w:sz w:val="36"/>
              <w:szCs w:val="36"/>
            </w:rPr>
          </w:pPr>
        </w:p>
        <w:p>
          <w:pPr>
            <w:pStyle w:val="TOC1"/>
            <w:tabs>
              <w:tab w:val="right" w:leader="dot" w:pos="8777"/>
            </w:tabs>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TOC \o "1-3" \h \z \u </w:instrText>
          </w:r>
          <w:r>
            <w:rPr>
              <w:rFonts w:asciiTheme="minorEastAsia" w:hAnsiTheme="minorEastAsia"/>
              <w:sz w:val="28"/>
              <w:szCs w:val="28"/>
            </w:rPr>
            <w:fldChar w:fldCharType="separate"/>
          </w:r>
          <w:hyperlink w:anchor="_Toc481921845" w:history="1">
            <w:r>
              <w:rPr>
                <w:rStyle w:val="Hyperlink"/>
                <w:rFonts w:asciiTheme="minorEastAsia" w:hAnsiTheme="minorEastAsia" w:hint="eastAsia"/>
                <w:sz w:val="28"/>
                <w:szCs w:val="28"/>
              </w:rPr>
              <w:t>摘要</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_Toc481921845 \h </w:instrText>
            </w:r>
            <w:r>
              <w:rPr>
                <w:rFonts w:asciiTheme="minorEastAsia" w:hAnsiTheme="minorEastAsia"/>
                <w:sz w:val="28"/>
                <w:szCs w:val="28"/>
              </w:rPr>
              <w:fldChar w:fldCharType="separate"/>
            </w:r>
            <w:r>
              <w:rPr>
                <w:rFonts w:asciiTheme="minorEastAsia" w:hAnsiTheme="minorEastAsia"/>
                <w:sz w:val="28"/>
                <w:szCs w:val="28"/>
              </w:rPr>
              <w:t>2</w:t>
            </w:r>
            <w:r>
              <w:rPr>
                <w:rFonts w:asciiTheme="minorEastAsia" w:hAnsiTheme="minorEastAsia"/>
                <w:sz w:val="28"/>
                <w:szCs w:val="28"/>
              </w:rPr>
              <w:fldChar w:fldCharType="end"/>
            </w:r>
          </w:hyperlink>
        </w:p>
        <w:p>
          <w:pPr>
            <w:pStyle w:val="TOC1"/>
            <w:tabs>
              <w:tab w:val="right" w:leader="dot" w:pos="8777"/>
            </w:tabs>
            <w:rPr>
              <w:rFonts w:asciiTheme="minorEastAsia" w:hAnsiTheme="minorEastAsia"/>
              <w:sz w:val="28"/>
              <w:szCs w:val="28"/>
            </w:rPr>
          </w:pPr>
          <w:hyperlink w:anchor="_Toc481921847" w:history="1">
            <w:r>
              <w:rPr>
                <w:rStyle w:val="Hyperlink"/>
                <w:rFonts w:asciiTheme="minorEastAsia" w:hAnsiTheme="minorEastAsia" w:hint="eastAsia"/>
                <w:sz w:val="28"/>
                <w:szCs w:val="28"/>
              </w:rPr>
              <w:t>一、引言</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_Toc481921847 \h </w:instrText>
            </w:r>
            <w:r>
              <w:rPr>
                <w:rFonts w:asciiTheme="minorEastAsia" w:hAnsiTheme="minorEastAsia"/>
                <w:sz w:val="28"/>
                <w:szCs w:val="28"/>
              </w:rPr>
              <w:fldChar w:fldCharType="separate"/>
            </w:r>
            <w:r>
              <w:rPr>
                <w:rFonts w:asciiTheme="minorEastAsia" w:hAnsiTheme="minorEastAsia"/>
                <w:sz w:val="28"/>
                <w:szCs w:val="28"/>
              </w:rPr>
              <w:t>4</w:t>
            </w:r>
            <w:r>
              <w:rPr>
                <w:rFonts w:asciiTheme="minorEastAsia" w:hAnsiTheme="minorEastAsia"/>
                <w:sz w:val="28"/>
                <w:szCs w:val="28"/>
              </w:rPr>
              <w:fldChar w:fldCharType="end"/>
            </w:r>
          </w:hyperlink>
        </w:p>
        <w:p>
          <w:pPr>
            <w:pStyle w:val="TOC1"/>
            <w:tabs>
              <w:tab w:val="right" w:leader="dot" w:pos="8777"/>
            </w:tabs>
            <w:rPr>
              <w:rFonts w:asciiTheme="minorEastAsia" w:hAnsiTheme="minorEastAsia"/>
              <w:sz w:val="28"/>
              <w:szCs w:val="28"/>
            </w:rPr>
          </w:pPr>
          <w:hyperlink w:anchor="_Toc481921848" w:history="1">
            <w:r>
              <w:rPr>
                <w:rStyle w:val="Hyperlink"/>
                <w:rFonts w:asciiTheme="minorEastAsia" w:hAnsiTheme="minorEastAsia" w:hint="eastAsia"/>
                <w:sz w:val="28"/>
                <w:szCs w:val="28"/>
              </w:rPr>
              <w:t>二、相关概念界定及理论基础</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_Toc481921848 \h </w:instrText>
            </w:r>
            <w:r>
              <w:rPr>
                <w:rFonts w:asciiTheme="minorEastAsia" w:hAnsiTheme="minorEastAsia"/>
                <w:sz w:val="28"/>
                <w:szCs w:val="28"/>
              </w:rPr>
              <w:fldChar w:fldCharType="separate"/>
            </w:r>
            <w:r>
              <w:rPr>
                <w:rFonts w:asciiTheme="minorEastAsia" w:hAnsiTheme="minorEastAsia"/>
                <w:sz w:val="28"/>
                <w:szCs w:val="28"/>
              </w:rPr>
              <w:t>4</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49" w:history="1">
            <w:r>
              <w:rPr>
                <w:rStyle w:val="Hyperlink"/>
                <w:rFonts w:asciiTheme="minorEastAsia" w:hAnsiTheme="minorEastAsia" w:hint="eastAsia"/>
                <w:sz w:val="28"/>
                <w:szCs w:val="28"/>
              </w:rPr>
              <w:t>（一）相关概念界定</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_Toc481921849 \h </w:instrText>
            </w:r>
            <w:r>
              <w:rPr>
                <w:rFonts w:asciiTheme="minorEastAsia" w:hAnsiTheme="minorEastAsia"/>
                <w:sz w:val="28"/>
                <w:szCs w:val="28"/>
              </w:rPr>
              <w:fldChar w:fldCharType="separate"/>
            </w:r>
            <w:r>
              <w:rPr>
                <w:rFonts w:asciiTheme="minorEastAsia" w:hAnsiTheme="minorEastAsia"/>
                <w:sz w:val="28"/>
                <w:szCs w:val="28"/>
              </w:rPr>
              <w:t>4</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53" w:history="1">
            <w:r>
              <w:rPr>
                <w:rStyle w:val="Hyperlink"/>
                <w:rFonts w:asciiTheme="minorEastAsia" w:hAnsiTheme="minorEastAsia" w:hint="eastAsia"/>
                <w:sz w:val="28"/>
                <w:szCs w:val="28"/>
              </w:rPr>
              <w:t>（二）理论基础</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_Toc481921853 \h </w:instrText>
            </w:r>
            <w:r>
              <w:rPr>
                <w:rFonts w:asciiTheme="minorEastAsia" w:hAnsiTheme="minorEastAsia"/>
                <w:sz w:val="28"/>
                <w:szCs w:val="28"/>
              </w:rPr>
              <w:fldChar w:fldCharType="separate"/>
            </w:r>
            <w:r>
              <w:rPr>
                <w:rFonts w:asciiTheme="minorEastAsia" w:hAnsiTheme="minorEastAsia"/>
                <w:sz w:val="28"/>
                <w:szCs w:val="28"/>
              </w:rPr>
              <w:t>5</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56" w:history="1">
            <w:r>
              <w:rPr>
                <w:rStyle w:val="Hyperlink"/>
                <w:rFonts w:asciiTheme="minorEastAsia" w:hAnsiTheme="minorEastAsia" w:hint="eastAsia"/>
                <w:sz w:val="28"/>
                <w:szCs w:val="28"/>
              </w:rPr>
              <w:t>（三）老年生活质量对养老模式选择的评价作用</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_Toc481921856 \h </w:instrText>
            </w:r>
            <w:r>
              <w:rPr>
                <w:rFonts w:asciiTheme="minorEastAsia" w:hAnsiTheme="minorEastAsia"/>
                <w:sz w:val="28"/>
                <w:szCs w:val="28"/>
              </w:rPr>
              <w:fldChar w:fldCharType="separate"/>
            </w:r>
            <w:r>
              <w:rPr>
                <w:rFonts w:asciiTheme="minorEastAsia" w:hAnsiTheme="minorEastAsia"/>
                <w:sz w:val="28"/>
                <w:szCs w:val="28"/>
              </w:rPr>
              <w:t>6</w:t>
            </w:r>
            <w:r>
              <w:rPr>
                <w:rFonts w:asciiTheme="minorEastAsia" w:hAnsiTheme="minorEastAsia"/>
                <w:sz w:val="28"/>
                <w:szCs w:val="28"/>
              </w:rPr>
              <w:fldChar w:fldCharType="end"/>
            </w:r>
          </w:hyperlink>
        </w:p>
        <w:p>
          <w:pPr>
            <w:pStyle w:val="TOC1"/>
            <w:tabs>
              <w:tab w:val="right" w:leader="dot" w:pos="8777"/>
            </w:tabs>
            <w:rPr>
              <w:rFonts w:asciiTheme="minorEastAsia" w:hAnsiTheme="minorEastAsia"/>
              <w:sz w:val="28"/>
              <w:szCs w:val="28"/>
            </w:rPr>
          </w:pPr>
          <w:hyperlink w:anchor="_Toc481921857" w:history="1">
            <w:r>
              <w:rPr>
                <w:rStyle w:val="Hyperlink"/>
                <w:rFonts w:asciiTheme="minorEastAsia" w:hAnsiTheme="minorEastAsia" w:hint="eastAsia"/>
                <w:sz w:val="28"/>
                <w:szCs w:val="28"/>
              </w:rPr>
              <w:t>三、当前我国城市社区养老现状及问题分析——以上海奉贤区为例</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_Toc481921857 \h </w:instrText>
            </w:r>
            <w:r>
              <w:rPr>
                <w:rFonts w:asciiTheme="minorEastAsia" w:hAnsiTheme="minorEastAsia"/>
                <w:sz w:val="28"/>
                <w:szCs w:val="28"/>
              </w:rPr>
              <w:fldChar w:fldCharType="separate"/>
            </w:r>
            <w:r>
              <w:rPr>
                <w:rFonts w:asciiTheme="minorEastAsia" w:hAnsiTheme="minorEastAsia"/>
                <w:sz w:val="28"/>
                <w:szCs w:val="28"/>
              </w:rPr>
              <w:t>7</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58" w:history="1">
            <w:r>
              <w:rPr>
                <w:rStyle w:val="Hyperlink"/>
                <w:rFonts w:asciiTheme="minorEastAsia" w:hAnsiTheme="minorEastAsia" w:hint="eastAsia"/>
                <w:sz w:val="28"/>
                <w:szCs w:val="28"/>
              </w:rPr>
              <w:t>（一）上海奉贤区老年人对城市社区服务的需求</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_Toc481921858 \h </w:instrText>
            </w:r>
            <w:r>
              <w:rPr>
                <w:rFonts w:asciiTheme="minorEastAsia" w:hAnsiTheme="minorEastAsia"/>
                <w:sz w:val="28"/>
                <w:szCs w:val="28"/>
              </w:rPr>
              <w:fldChar w:fldCharType="separate"/>
            </w:r>
            <w:r>
              <w:rPr>
                <w:rFonts w:asciiTheme="minorEastAsia" w:hAnsiTheme="minorEastAsia"/>
                <w:sz w:val="28"/>
                <w:szCs w:val="28"/>
              </w:rPr>
              <w:t>7</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62" w:history="1">
            <w:r>
              <w:rPr>
                <w:rStyle w:val="Hyperlink"/>
                <w:rFonts w:asciiTheme="minorEastAsia" w:hAnsiTheme="minorEastAsia" w:hint="eastAsia"/>
                <w:sz w:val="28"/>
                <w:szCs w:val="28"/>
              </w:rPr>
              <w:t>（二）上海奉贤区社区养老存在的问题</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_Toc481921862 \h </w:instrText>
            </w:r>
            <w:r>
              <w:rPr>
                <w:rFonts w:asciiTheme="minorEastAsia" w:hAnsiTheme="minorEastAsia"/>
                <w:sz w:val="28"/>
                <w:szCs w:val="28"/>
              </w:rPr>
              <w:fldChar w:fldCharType="separate"/>
            </w:r>
            <w:r>
              <w:rPr>
                <w:rFonts w:asciiTheme="minorEastAsia" w:hAnsiTheme="minorEastAsia"/>
                <w:sz w:val="28"/>
                <w:szCs w:val="28"/>
              </w:rPr>
              <w:t>12</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67" w:history="1">
            <w:r>
              <w:rPr>
                <w:rStyle w:val="Hyperlink"/>
                <w:rFonts w:asciiTheme="minorEastAsia" w:hAnsiTheme="minorEastAsia" w:hint="eastAsia"/>
                <w:sz w:val="28"/>
                <w:szCs w:val="28"/>
              </w:rPr>
              <w:t>（三）上海奉贤区社区养老存在问题的原因</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_Toc481921867 \h </w:instrText>
            </w:r>
            <w:r>
              <w:rPr>
                <w:rFonts w:asciiTheme="minorEastAsia" w:hAnsiTheme="minorEastAsia"/>
                <w:sz w:val="28"/>
                <w:szCs w:val="28"/>
              </w:rPr>
              <w:fldChar w:fldCharType="separate"/>
            </w:r>
            <w:r>
              <w:rPr>
                <w:rFonts w:asciiTheme="minorEastAsia" w:hAnsiTheme="minorEastAsia"/>
                <w:sz w:val="28"/>
                <w:szCs w:val="28"/>
              </w:rPr>
              <w:t>13</w:t>
            </w:r>
            <w:r>
              <w:rPr>
                <w:rFonts w:asciiTheme="minorEastAsia" w:hAnsiTheme="minorEastAsia"/>
                <w:sz w:val="28"/>
                <w:szCs w:val="28"/>
              </w:rPr>
              <w:fldChar w:fldCharType="end"/>
            </w:r>
          </w:hyperlink>
        </w:p>
        <w:p>
          <w:pPr>
            <w:pStyle w:val="TOC1"/>
            <w:tabs>
              <w:tab w:val="right" w:leader="dot" w:pos="8777"/>
            </w:tabs>
            <w:rPr>
              <w:rFonts w:asciiTheme="minorEastAsia" w:hAnsiTheme="minorEastAsia"/>
              <w:sz w:val="28"/>
              <w:szCs w:val="28"/>
            </w:rPr>
          </w:pPr>
          <w:hyperlink w:anchor="_Toc481921872" w:history="1">
            <w:r>
              <w:rPr>
                <w:rStyle w:val="Hyperlink"/>
                <w:rFonts w:asciiTheme="minorEastAsia" w:hAnsiTheme="minorEastAsia" w:hint="eastAsia"/>
                <w:sz w:val="28"/>
                <w:szCs w:val="28"/>
              </w:rPr>
              <w:t>四、完善城市社区养老模式、提高老年生活质量的策略</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_Toc481921872 \h </w:instrText>
            </w:r>
            <w:r>
              <w:rPr>
                <w:rFonts w:asciiTheme="minorEastAsia" w:hAnsiTheme="minorEastAsia"/>
                <w:sz w:val="28"/>
                <w:szCs w:val="28"/>
              </w:rPr>
              <w:fldChar w:fldCharType="separate"/>
            </w:r>
            <w:r>
              <w:rPr>
                <w:rFonts w:asciiTheme="minorEastAsia" w:hAnsiTheme="minorEastAsia"/>
                <w:sz w:val="28"/>
                <w:szCs w:val="28"/>
              </w:rPr>
              <w:t>14</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73" w:history="1">
            <w:r>
              <w:rPr>
                <w:rStyle w:val="Hyperlink"/>
                <w:rFonts w:asciiTheme="minorEastAsia" w:hAnsiTheme="minorEastAsia" w:hint="eastAsia"/>
                <w:sz w:val="28"/>
                <w:szCs w:val="28"/>
              </w:rPr>
              <w:t>（一）有效利用社区已有的资源</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_Toc481921873 \h </w:instrText>
            </w:r>
            <w:r>
              <w:rPr>
                <w:rFonts w:asciiTheme="minorEastAsia" w:hAnsiTheme="minorEastAsia"/>
                <w:sz w:val="28"/>
                <w:szCs w:val="28"/>
              </w:rPr>
              <w:fldChar w:fldCharType="separate"/>
            </w:r>
            <w:r>
              <w:rPr>
                <w:rFonts w:asciiTheme="minorEastAsia" w:hAnsiTheme="minorEastAsia"/>
                <w:sz w:val="28"/>
                <w:szCs w:val="28"/>
              </w:rPr>
              <w:t>14</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74" w:history="1">
            <w:r>
              <w:rPr>
                <w:rStyle w:val="Hyperlink"/>
                <w:rFonts w:asciiTheme="minorEastAsia" w:hAnsiTheme="minorEastAsia" w:hint="eastAsia"/>
                <w:sz w:val="28"/>
                <w:szCs w:val="28"/>
              </w:rPr>
              <w:t>（二）完善社区养老设施的建设</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_Toc481921874 \h </w:instrText>
            </w:r>
            <w:r>
              <w:rPr>
                <w:rFonts w:asciiTheme="minorEastAsia" w:hAnsiTheme="minorEastAsia"/>
                <w:sz w:val="28"/>
                <w:szCs w:val="28"/>
              </w:rPr>
              <w:fldChar w:fldCharType="separate"/>
            </w:r>
            <w:r>
              <w:rPr>
                <w:rFonts w:asciiTheme="minorEastAsia" w:hAnsiTheme="minorEastAsia"/>
                <w:sz w:val="28"/>
                <w:szCs w:val="28"/>
              </w:rPr>
              <w:t>15</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77" w:history="1">
            <w:r>
              <w:rPr>
                <w:rStyle w:val="Hyperlink"/>
                <w:rFonts w:asciiTheme="minorEastAsia" w:hAnsiTheme="minorEastAsia" w:hint="eastAsia"/>
                <w:sz w:val="28"/>
                <w:szCs w:val="28"/>
              </w:rPr>
              <w:t>（三）培养从事社区养老服务的专业人才</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_Toc481921877 \h </w:instrText>
            </w:r>
            <w:r>
              <w:rPr>
                <w:rFonts w:asciiTheme="minorEastAsia" w:hAnsiTheme="minorEastAsia"/>
                <w:sz w:val="28"/>
                <w:szCs w:val="28"/>
              </w:rPr>
              <w:fldChar w:fldCharType="separate"/>
            </w:r>
            <w:r>
              <w:rPr>
                <w:rFonts w:asciiTheme="minorEastAsia" w:hAnsiTheme="minorEastAsia"/>
                <w:sz w:val="28"/>
                <w:szCs w:val="28"/>
              </w:rPr>
              <w:t>16</w:t>
            </w:r>
            <w:r>
              <w:rPr>
                <w:rFonts w:asciiTheme="minorEastAsia" w:hAnsiTheme="minorEastAsia"/>
                <w:sz w:val="28"/>
                <w:szCs w:val="28"/>
              </w:rPr>
              <w:fldChar w:fldCharType="end"/>
            </w:r>
          </w:hyperlink>
        </w:p>
        <w:p>
          <w:pPr>
            <w:pStyle w:val="TOC2"/>
            <w:tabs>
              <w:tab w:val="right" w:leader="dot" w:pos="8777"/>
            </w:tabs>
            <w:rPr>
              <w:rFonts w:asciiTheme="minorEastAsia" w:hAnsiTheme="minorEastAsia"/>
              <w:sz w:val="28"/>
              <w:szCs w:val="28"/>
            </w:rPr>
          </w:pPr>
          <w:hyperlink w:anchor="_Toc481921878" w:history="1">
            <w:r>
              <w:rPr>
                <w:rStyle w:val="Hyperlink"/>
                <w:rFonts w:asciiTheme="minorEastAsia" w:hAnsiTheme="minorEastAsia" w:hint="eastAsia"/>
                <w:sz w:val="28"/>
                <w:szCs w:val="28"/>
              </w:rPr>
              <w:t>（四）健全社区养老模式相关的法律法规</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_Toc481921878 \h </w:instrText>
            </w:r>
            <w:r>
              <w:rPr>
                <w:rFonts w:asciiTheme="minorEastAsia" w:hAnsiTheme="minorEastAsia"/>
                <w:sz w:val="28"/>
                <w:szCs w:val="28"/>
              </w:rPr>
              <w:fldChar w:fldCharType="separate"/>
            </w:r>
            <w:r>
              <w:rPr>
                <w:rFonts w:asciiTheme="minorEastAsia" w:hAnsiTheme="minorEastAsia"/>
                <w:sz w:val="28"/>
                <w:szCs w:val="28"/>
              </w:rPr>
              <w:t>16</w:t>
            </w:r>
            <w:r>
              <w:rPr>
                <w:rFonts w:asciiTheme="minorEastAsia" w:hAnsiTheme="minorEastAsia"/>
                <w:sz w:val="28"/>
                <w:szCs w:val="28"/>
              </w:rPr>
              <w:fldChar w:fldCharType="end"/>
            </w:r>
          </w:hyperlink>
        </w:p>
        <w:p>
          <w:pPr>
            <w:pStyle w:val="TOC1"/>
            <w:tabs>
              <w:tab w:val="right" w:leader="dot" w:pos="8777"/>
            </w:tabs>
            <w:rPr>
              <w:rFonts w:asciiTheme="minorEastAsia" w:hAnsiTheme="minorEastAsia"/>
              <w:sz w:val="28"/>
              <w:szCs w:val="28"/>
            </w:rPr>
          </w:pPr>
          <w:hyperlink w:anchor="_Toc481921881" w:history="1">
            <w:r>
              <w:rPr>
                <w:rStyle w:val="Hyperlink"/>
                <w:rFonts w:asciiTheme="minorEastAsia" w:hAnsiTheme="minorEastAsia" w:hint="eastAsia"/>
                <w:sz w:val="28"/>
                <w:szCs w:val="28"/>
              </w:rPr>
              <w:t>结论</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_Toc481921881 \h </w:instrText>
            </w:r>
            <w:r>
              <w:rPr>
                <w:rFonts w:asciiTheme="minorEastAsia" w:hAnsiTheme="minorEastAsia"/>
                <w:sz w:val="28"/>
                <w:szCs w:val="28"/>
              </w:rPr>
              <w:fldChar w:fldCharType="separate"/>
            </w:r>
            <w:r>
              <w:rPr>
                <w:rFonts w:asciiTheme="minorEastAsia" w:hAnsiTheme="minorEastAsia"/>
                <w:sz w:val="28"/>
                <w:szCs w:val="28"/>
              </w:rPr>
              <w:t>17</w:t>
            </w:r>
            <w:r>
              <w:rPr>
                <w:rFonts w:asciiTheme="minorEastAsia" w:hAnsiTheme="minorEastAsia"/>
                <w:sz w:val="28"/>
                <w:szCs w:val="28"/>
              </w:rPr>
              <w:fldChar w:fldCharType="end"/>
            </w:r>
          </w:hyperlink>
        </w:p>
        <w:p>
          <w:pPr>
            <w:pStyle w:val="TOC1"/>
            <w:tabs>
              <w:tab w:val="right" w:leader="dot" w:pos="8777"/>
            </w:tabs>
            <w:rPr>
              <w:rFonts w:asciiTheme="minorEastAsia" w:hAnsiTheme="minorEastAsia"/>
              <w:sz w:val="28"/>
              <w:szCs w:val="28"/>
            </w:rPr>
          </w:pPr>
          <w:hyperlink w:anchor="_Toc481921882" w:history="1">
            <w:r>
              <w:rPr>
                <w:rStyle w:val="Hyperlink"/>
                <w:rFonts w:asciiTheme="minorEastAsia" w:hAnsiTheme="minorEastAsia" w:hint="eastAsia"/>
                <w:sz w:val="28"/>
                <w:szCs w:val="28"/>
              </w:rPr>
              <w:t>参考文献</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_Toc481921882 \h </w:instrText>
            </w:r>
            <w:r>
              <w:rPr>
                <w:rFonts w:asciiTheme="minorEastAsia" w:hAnsiTheme="minorEastAsia"/>
                <w:sz w:val="28"/>
                <w:szCs w:val="28"/>
              </w:rPr>
              <w:fldChar w:fldCharType="separate"/>
            </w:r>
            <w:r>
              <w:rPr>
                <w:rFonts w:asciiTheme="minorEastAsia" w:hAnsiTheme="minorEastAsia"/>
                <w:sz w:val="28"/>
                <w:szCs w:val="28"/>
              </w:rPr>
              <w:t>18</w:t>
            </w:r>
            <w:r>
              <w:rPr>
                <w:rFonts w:asciiTheme="minorEastAsia" w:hAnsiTheme="minorEastAsia"/>
                <w:sz w:val="28"/>
                <w:szCs w:val="28"/>
              </w:rPr>
              <w:fldChar w:fldCharType="end"/>
            </w:r>
          </w:hyperlink>
        </w:p>
        <w:p>
          <w:pPr>
            <w:pStyle w:val="TOC1"/>
            <w:tabs>
              <w:tab w:val="right" w:leader="dot" w:pos="8777"/>
            </w:tabs>
            <w:rPr>
              <w:rFonts w:asciiTheme="minorEastAsia" w:hAnsiTheme="minorEastAsia"/>
              <w:sz w:val="28"/>
              <w:szCs w:val="28"/>
            </w:rPr>
          </w:pPr>
          <w:bookmarkStart w:id="0" w:name="_GoBack"/>
          <w:bookmarkEnd w:id="0"/>
          <w:hyperlink w:anchor="_Toc481921884" w:history="1">
            <w:r>
              <w:rPr>
                <w:rStyle w:val="Hyperlink"/>
                <w:rFonts w:asciiTheme="minorEastAsia" w:hAnsiTheme="minorEastAsia" w:hint="eastAsia"/>
                <w:sz w:val="28"/>
                <w:szCs w:val="28"/>
              </w:rPr>
              <w:t>附录：老年人需求与社区服务调查问卷</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_Toc481921884 \h </w:instrText>
            </w:r>
            <w:r>
              <w:rPr>
                <w:rFonts w:asciiTheme="minorEastAsia" w:hAnsiTheme="minorEastAsia"/>
                <w:sz w:val="28"/>
                <w:szCs w:val="28"/>
              </w:rPr>
              <w:fldChar w:fldCharType="separate"/>
            </w:r>
            <w:r>
              <w:rPr>
                <w:rFonts w:asciiTheme="minorEastAsia" w:hAnsiTheme="minorEastAsia"/>
                <w:sz w:val="28"/>
                <w:szCs w:val="28"/>
              </w:rPr>
              <w:t>20</w:t>
            </w:r>
            <w:r>
              <w:rPr>
                <w:rFonts w:asciiTheme="minorEastAsia" w:hAnsiTheme="minorEastAsia"/>
                <w:sz w:val="28"/>
                <w:szCs w:val="28"/>
              </w:rPr>
              <w:fldChar w:fldCharType="end"/>
            </w:r>
          </w:hyperlink>
        </w:p>
        <w:p>
          <w:pPr>
            <w:spacing w:line="360" w:lineRule="auto"/>
          </w:pPr>
          <w:r>
            <w:rPr>
              <w:rFonts w:asciiTheme="minorEastAsia" w:hAnsiTheme="minorEastAsia"/>
              <w:bCs/>
              <w:sz w:val="28"/>
              <w:szCs w:val="28"/>
              <w:lang w:val="zh-CN"/>
            </w:rPr>
            <w:fldChar w:fldCharType="end"/>
          </w:r>
        </w:p>
      </w:sdtContent>
    </w:sdt>
    <w:p>
      <w:pPr>
        <w:spacing w:line="360" w:lineRule="auto"/>
        <w:jc w:val="center"/>
        <w:rPr>
          <w:rFonts w:ascii="黑体" w:eastAsia="黑体" w:hAnsi="黑体"/>
          <w:sz w:val="52"/>
          <w:szCs w:val="52"/>
        </w:rPr>
        <w:sectPr>
          <w:footerReference w:type="default" r:id="rId6"/>
          <w:pgSz w:w="11906" w:h="16838"/>
          <w:pgMar w:top="1418" w:right="1418" w:bottom="1134" w:left="1701" w:header="851" w:footer="992" w:gutter="0"/>
          <w:cols w:num="1" w:space="425"/>
          <w:docGrid w:type="lines" w:linePitch="312" w:charSpace="0"/>
        </w:sectPr>
      </w:pPr>
    </w:p>
    <w:p>
      <w:pPr>
        <w:spacing w:line="360" w:lineRule="auto"/>
        <w:jc w:val="center"/>
        <w:rPr>
          <w:rFonts w:ascii="黑体" w:eastAsia="黑体" w:hAnsi="黑体"/>
          <w:sz w:val="52"/>
          <w:szCs w:val="52"/>
        </w:rPr>
      </w:pPr>
      <w:r>
        <w:rPr>
          <w:rFonts w:ascii="黑体" w:eastAsia="黑体" w:hAnsi="黑体" w:hint="eastAsia"/>
          <w:sz w:val="52"/>
          <w:szCs w:val="52"/>
        </w:rPr>
        <w:t>城市社区养老模式研究—以上海市奉贤区为例</w:t>
      </w:r>
    </w:p>
    <w:p>
      <w:pPr>
        <w:spacing w:line="360" w:lineRule="auto"/>
        <w:jc w:val="center"/>
        <w:outlineLvl w:val="0"/>
        <w:rPr>
          <w:rFonts w:asciiTheme="minorEastAsia" w:hAnsiTheme="minorEastAsia"/>
          <w:color w:val="FFFFFF" w:themeColor="background1"/>
          <w:sz w:val="24"/>
          <w:szCs w:val="24"/>
          <w14:textFill>
            <w14:solidFill>
              <w14:schemeClr w14:val="bg1"/>
            </w14:solidFill>
          </w14:textFill>
        </w:rPr>
      </w:pPr>
      <w:bookmarkStart w:id="1" w:name="_Toc481921845"/>
      <w:r>
        <w:rPr>
          <w:rFonts w:asciiTheme="minorEastAsia" w:hAnsiTheme="minorEastAsia" w:hint="eastAsia"/>
          <w:color w:val="FFFFFF" w:themeColor="background1"/>
          <w:sz w:val="24"/>
          <w:szCs w:val="24"/>
          <w14:textFill>
            <w14:solidFill>
              <w14:schemeClr w14:val="bg1"/>
            </w14:solidFill>
          </w14:textFill>
        </w:rPr>
        <w:t>摘要</w:t>
      </w:r>
      <w:bookmarkEnd w:id="1"/>
    </w:p>
    <w:p>
      <w:pPr>
        <w:spacing w:line="360" w:lineRule="auto"/>
        <w:rPr>
          <w:rFonts w:asciiTheme="minorEastAsia" w:hAnsiTheme="minorEastAsia"/>
          <w:sz w:val="24"/>
          <w:szCs w:val="24"/>
        </w:rPr>
      </w:pPr>
      <w:r>
        <w:rPr>
          <w:rFonts w:ascii="黑体" w:eastAsia="黑体" w:hAnsi="黑体" w:hint="eastAsia"/>
          <w:sz w:val="36"/>
          <w:szCs w:val="36"/>
        </w:rPr>
        <w:t>摘要：</w:t>
      </w:r>
      <w:r>
        <w:rPr>
          <w:rFonts w:asciiTheme="minorEastAsia" w:hAnsiTheme="minorEastAsia" w:hint="eastAsia"/>
          <w:sz w:val="24"/>
          <w:szCs w:val="24"/>
        </w:rPr>
        <w:t>20世纪70年代以来，人□老龄化逐渐成为全球范围的普遍趋势，随着我国人□老龄化的加剧，老年人的养老问题已成为我国社会生活中存在的一个不容忽视的问题，然而由于家庭结构的变化，传统的家庭养老和社会养老己经不能适应我国目前的形势，社区的发展使其逐渐成为各种服务的依托和载体，在这样条件下，社区服务在养老中的地位变得越来越重要，城市社区养老服务也随之蓬勃的发展起来。社区养老在一定程度上将家庭养老与社会养老相结合，使得老年人在家，或熟悉的社区环境中享受到多层次的社区养老服务，社区养老加强了对老年人经济支持、社区照顾、老年人精神慰藉、社会参与等多方面的养老服务功能。城市社区养老是一种新型的养老模式，能够提高老年生活质量，能弥补我国养老体系的不足。本文主要以上海市奉贤区为例，研究基于老年生活质量的城市社区养老模式，提出完善城市社区养老模式、提高老年生活质量的策略，以期通过本文的研究为城市社区养老服务提供相关参考依据。</w:t>
      </w:r>
    </w:p>
    <w:p>
      <w:pPr>
        <w:spacing w:line="360" w:lineRule="auto"/>
        <w:rPr>
          <w:rFonts w:asciiTheme="minorEastAsia" w:hAnsiTheme="minorEastAsia"/>
          <w:sz w:val="24"/>
          <w:szCs w:val="24"/>
        </w:rPr>
      </w:pPr>
      <w:r>
        <w:rPr>
          <w:rFonts w:ascii="黑体" w:eastAsia="黑体" w:hAnsi="黑体" w:hint="eastAsia"/>
          <w:sz w:val="36"/>
          <w:szCs w:val="36"/>
        </w:rPr>
        <w:t>关键词：</w:t>
      </w:r>
      <w:r>
        <w:rPr>
          <w:rFonts w:asciiTheme="minorEastAsia" w:hAnsiTheme="minorEastAsia" w:hint="eastAsia"/>
          <w:sz w:val="24"/>
          <w:szCs w:val="24"/>
        </w:rPr>
        <w:t>城市社区；养老模式；老年生活质量</w:t>
      </w:r>
    </w:p>
    <w:p>
      <w:pPr>
        <w:spacing w:line="360" w:lineRule="auto"/>
        <w:outlineLvl w:val="0"/>
        <w:rPr>
          <w:rFonts w:asciiTheme="minorEastAsia" w:hAnsiTheme="minorEastAsia"/>
          <w:color w:val="FFFFFF" w:themeColor="background1"/>
          <w:szCs w:val="24"/>
          <w14:textFill>
            <w14:solidFill>
              <w14:schemeClr w14:val="bg1"/>
            </w14:solidFill>
          </w14:textFill>
        </w:rPr>
      </w:pPr>
      <w:bookmarkStart w:id="2" w:name="_Toc481921846"/>
      <w:r>
        <w:rPr>
          <w:rFonts w:ascii="Times New Roman" w:hAnsi="Times New Roman" w:cs="Times New Roman"/>
          <w:color w:val="FFFFFF" w:themeColor="background1"/>
          <w:sz w:val="28"/>
          <w:szCs w:val="36"/>
          <w14:textFill>
            <w14:solidFill>
              <w14:schemeClr w14:val="bg1"/>
            </w14:solidFill>
          </w14:textFill>
        </w:rPr>
        <w:t>Abstract</w:t>
      </w:r>
      <w:bookmarkEnd w:id="2"/>
    </w:p>
    <w:p>
      <w:pPr>
        <w:spacing w:line="360" w:lineRule="auto"/>
        <w:rPr>
          <w:rFonts w:ascii="Times New Roman" w:hAnsi="Times New Roman" w:cs="Times New Roman"/>
          <w:sz w:val="24"/>
          <w:szCs w:val="24"/>
        </w:rPr>
        <w:sectPr>
          <w:footerReference w:type="default" r:id="rId7"/>
          <w:type w:val="nextPage"/>
          <w:pgSz w:w="11906" w:h="16838"/>
          <w:pgMar w:top="1418" w:right="1418" w:bottom="1134" w:left="1701" w:header="851" w:footer="992" w:gutter="0"/>
          <w:pgNumType w:start="2"/>
          <w:cols w:num="1" w:space="425"/>
          <w:titlePg w:val="0"/>
          <w:docGrid w:type="lines" w:linePitch="312" w:charSpace="0"/>
        </w:sectPr>
      </w:pPr>
      <w:r>
        <w:rPr>
          <w:rFonts w:ascii="Times New Roman" w:hAnsi="Times New Roman" w:cs="Times New Roman"/>
          <w:sz w:val="36"/>
          <w:szCs w:val="36"/>
        </w:rPr>
        <w:t>Abstract</w:t>
      </w:r>
      <w:r>
        <w:rPr>
          <w:rFonts w:ascii="Times New Roman" w:hAnsi="Times New Roman" w:cs="Times New Roman" w:hint="eastAsia"/>
          <w:sz w:val="36"/>
          <w:szCs w:val="36"/>
        </w:rPr>
        <w:t>：</w:t>
      </w:r>
      <w:r>
        <w:rPr>
          <w:rFonts w:ascii="Times New Roman" w:hAnsi="Times New Roman" w:cs="Times New Roman"/>
          <w:sz w:val="24"/>
          <w:szCs w:val="24"/>
        </w:rPr>
        <w:t>Since</w:t>
      </w:r>
      <w:r>
        <w:rPr>
          <w:rFonts w:ascii="Times New Roman" w:hAnsi="Times New Roman" w:cs="Times New Roman"/>
          <w:sz w:val="24"/>
          <w:szCs w:val="24"/>
        </w:rPr>
        <w:t xml:space="preserve"> 1970s,</w:t>
      </w:r>
      <w:r>
        <w:rPr>
          <w:rFonts w:ascii="Times New Roman" w:hAnsi="Times New Roman" w:cs="Times New Roman"/>
          <w:sz w:val="24"/>
          <w:szCs w:val="24"/>
        </w:rPr>
        <w:t xml:space="preserve"> the</w:t>
      </w:r>
      <w:r>
        <w:rPr>
          <w:rFonts w:ascii="Times New Roman" w:hAnsi="Times New Roman" w:cs="Times New Roman"/>
          <w:sz w:val="24"/>
          <w:szCs w:val="24"/>
        </w:rPr>
        <w:t xml:space="preserve"> aging</w:t>
      </w:r>
      <w:r>
        <w:rPr>
          <w:rFonts w:ascii="Times New Roman" w:hAnsi="Times New Roman" w:cs="Times New Roman"/>
          <w:sz w:val="24"/>
          <w:szCs w:val="24"/>
        </w:rPr>
        <w:t xml:space="preserve"> of</w:t>
      </w:r>
      <w:r>
        <w:rPr>
          <w:rFonts w:ascii="Times New Roman" w:hAnsi="Times New Roman" w:cs="Times New Roman"/>
          <w:sz w:val="24"/>
          <w:szCs w:val="24"/>
        </w:rPr>
        <w:t xml:space="preserve"> the</w:t>
      </w:r>
      <w:r>
        <w:rPr>
          <w:rFonts w:ascii="Times New Roman" w:hAnsi="Times New Roman" w:cs="Times New Roman"/>
          <w:sz w:val="24"/>
          <w:szCs w:val="24"/>
        </w:rPr>
        <w:t xml:space="preserve"> population</w:t>
      </w:r>
      <w:r>
        <w:rPr>
          <w:rFonts w:ascii="Times New Roman" w:hAnsi="Times New Roman" w:cs="Times New Roman"/>
          <w:sz w:val="24"/>
          <w:szCs w:val="24"/>
        </w:rPr>
        <w:t xml:space="preserve"> has</w:t>
      </w:r>
      <w:r>
        <w:rPr>
          <w:rFonts w:ascii="Times New Roman" w:hAnsi="Times New Roman" w:cs="Times New Roman"/>
          <w:sz w:val="24"/>
          <w:szCs w:val="24"/>
        </w:rPr>
        <w:t xml:space="preserve"> become</w:t>
      </w:r>
      <w:r>
        <w:rPr>
          <w:rFonts w:ascii="Times New Roman" w:hAnsi="Times New Roman" w:cs="Times New Roman"/>
          <w:sz w:val="24"/>
          <w:szCs w:val="24"/>
        </w:rPr>
        <w:t xml:space="preserve"> a</w:t>
      </w:r>
      <w:r>
        <w:rPr>
          <w:rFonts w:ascii="Times New Roman" w:hAnsi="Times New Roman" w:cs="Times New Roman"/>
          <w:sz w:val="24"/>
          <w:szCs w:val="24"/>
        </w:rPr>
        <w:t xml:space="preserve"> common</w:t>
      </w:r>
      <w:r>
        <w:rPr>
          <w:rFonts w:ascii="Times New Roman" w:hAnsi="Times New Roman" w:cs="Times New Roman"/>
          <w:sz w:val="24"/>
          <w:szCs w:val="24"/>
        </w:rPr>
        <w:t xml:space="preserve"> trend</w:t>
      </w:r>
      <w:r>
        <w:rPr>
          <w:rFonts w:ascii="Times New Roman" w:hAnsi="Times New Roman" w:cs="Times New Roman"/>
          <w:sz w:val="24"/>
          <w:szCs w:val="24"/>
        </w:rPr>
        <w:t xml:space="preserve"> in</w:t>
      </w:r>
      <w:r>
        <w:rPr>
          <w:rFonts w:ascii="Times New Roman" w:hAnsi="Times New Roman" w:cs="Times New Roman"/>
          <w:sz w:val="24"/>
          <w:szCs w:val="24"/>
        </w:rPr>
        <w:t xml:space="preserve"> the</w:t>
      </w:r>
      <w:r>
        <w:rPr>
          <w:rFonts w:ascii="Times New Roman" w:hAnsi="Times New Roman" w:cs="Times New Roman"/>
          <w:sz w:val="24"/>
          <w:szCs w:val="24"/>
        </w:rPr>
        <w:t xml:space="preserve"> world,</w:t>
      </w:r>
      <w:r>
        <w:rPr>
          <w:rFonts w:ascii="Times New Roman" w:hAnsi="Times New Roman" w:cs="Times New Roman"/>
          <w:sz w:val="24"/>
          <w:szCs w:val="24"/>
        </w:rPr>
        <w:t xml:space="preserve"> with</w:t>
      </w:r>
      <w:r>
        <w:rPr>
          <w:rFonts w:ascii="Times New Roman" w:hAnsi="Times New Roman" w:cs="Times New Roman"/>
          <w:sz w:val="24"/>
          <w:szCs w:val="24"/>
        </w:rPr>
        <w:t xml:space="preserve"> the</w:t>
      </w:r>
      <w:r>
        <w:rPr>
          <w:rFonts w:ascii="Times New Roman" w:hAnsi="Times New Roman" w:cs="Times New Roman"/>
          <w:sz w:val="24"/>
          <w:szCs w:val="24"/>
        </w:rPr>
        <w:t xml:space="preserve"> intensification</w:t>
      </w:r>
      <w:r>
        <w:rPr>
          <w:rFonts w:ascii="Times New Roman" w:hAnsi="Times New Roman" w:cs="Times New Roman"/>
          <w:sz w:val="24"/>
          <w:szCs w:val="24"/>
        </w:rPr>
        <w:t xml:space="preserve"> of</w:t>
      </w:r>
      <w:r>
        <w:rPr>
          <w:rFonts w:ascii="Times New Roman" w:hAnsi="Times New Roman" w:cs="Times New Roman"/>
          <w:sz w:val="24"/>
          <w:szCs w:val="24"/>
        </w:rPr>
        <w:t xml:space="preserve"> China's</w:t>
      </w:r>
      <w:r>
        <w:rPr>
          <w:rFonts w:ascii="Times New Roman" w:hAnsi="Times New Roman" w:cs="Times New Roman"/>
          <w:sz w:val="24"/>
          <w:szCs w:val="24"/>
        </w:rPr>
        <w:t xml:space="preserve"> aging</w:t>
      </w:r>
      <w:r>
        <w:rPr>
          <w:rFonts w:ascii="Times New Roman" w:hAnsi="Times New Roman" w:cs="Times New Roman"/>
          <w:sz w:val="24"/>
          <w:szCs w:val="24"/>
        </w:rPr>
        <w:t xml:space="preserve"> population,</w:t>
      </w:r>
      <w:r>
        <w:rPr>
          <w:rFonts w:ascii="Times New Roman" w:hAnsi="Times New Roman" w:cs="Times New Roman"/>
          <w:sz w:val="24"/>
          <w:szCs w:val="24"/>
        </w:rPr>
        <w:t xml:space="preserve"> the</w:t>
      </w:r>
      <w:r>
        <w:rPr>
          <w:rFonts w:ascii="Times New Roman" w:hAnsi="Times New Roman" w:cs="Times New Roman"/>
          <w:sz w:val="24"/>
          <w:szCs w:val="24"/>
        </w:rPr>
        <w:t xml:space="preserve"> elderly</w:t>
      </w:r>
      <w:r>
        <w:rPr>
          <w:rFonts w:ascii="Times New Roman" w:hAnsi="Times New Roman" w:cs="Times New Roman"/>
          <w:sz w:val="24"/>
          <w:szCs w:val="24"/>
        </w:rPr>
        <w:t xml:space="preserve"> pension</w:t>
      </w:r>
      <w:r>
        <w:rPr>
          <w:rFonts w:ascii="Times New Roman" w:hAnsi="Times New Roman" w:cs="Times New Roman"/>
          <w:sz w:val="24"/>
          <w:szCs w:val="24"/>
        </w:rPr>
        <w:t xml:space="preserve"> issue</w:t>
      </w:r>
      <w:r>
        <w:rPr>
          <w:rFonts w:ascii="Times New Roman" w:hAnsi="Times New Roman" w:cs="Times New Roman"/>
          <w:sz w:val="24"/>
          <w:szCs w:val="24"/>
        </w:rPr>
        <w:t xml:space="preserve"> has</w:t>
      </w:r>
      <w:r>
        <w:rPr>
          <w:rFonts w:ascii="Times New Roman" w:hAnsi="Times New Roman" w:cs="Times New Roman"/>
          <w:sz w:val="24"/>
          <w:szCs w:val="24"/>
        </w:rPr>
        <w:t xml:space="preserve"> become</w:t>
      </w:r>
      <w:r>
        <w:rPr>
          <w:rFonts w:ascii="Times New Roman" w:hAnsi="Times New Roman" w:cs="Times New Roman"/>
          <w:sz w:val="24"/>
          <w:szCs w:val="24"/>
        </w:rPr>
        <w:t xml:space="preserve"> an</w:t>
      </w:r>
      <w:r>
        <w:rPr>
          <w:rFonts w:ascii="Times New Roman" w:hAnsi="Times New Roman" w:cs="Times New Roman"/>
          <w:sz w:val="24"/>
          <w:szCs w:val="24"/>
        </w:rPr>
        <w:t xml:space="preserve"> unneglectable</w:t>
      </w:r>
      <w:r>
        <w:rPr>
          <w:rFonts w:ascii="Times New Roman" w:hAnsi="Times New Roman" w:cs="Times New Roman"/>
          <w:sz w:val="24"/>
          <w:szCs w:val="24"/>
        </w:rPr>
        <w:t xml:space="preserve"> issue</w:t>
      </w:r>
      <w:r>
        <w:rPr>
          <w:rFonts w:ascii="Times New Roman" w:hAnsi="Times New Roman" w:cs="Times New Roman"/>
          <w:sz w:val="24"/>
          <w:szCs w:val="24"/>
        </w:rPr>
        <w:t xml:space="preserve"> in</w:t>
      </w:r>
      <w:r>
        <w:rPr>
          <w:rFonts w:ascii="Times New Roman" w:hAnsi="Times New Roman" w:cs="Times New Roman"/>
          <w:sz w:val="24"/>
          <w:szCs w:val="24"/>
        </w:rPr>
        <w:t xml:space="preserve"> our</w:t>
      </w:r>
      <w:r>
        <w:rPr>
          <w:rFonts w:ascii="Times New Roman" w:hAnsi="Times New Roman" w:cs="Times New Roman"/>
          <w:sz w:val="24"/>
          <w:szCs w:val="24"/>
        </w:rPr>
        <w:t xml:space="preserve"> social</w:t>
      </w:r>
      <w:r>
        <w:rPr>
          <w:rFonts w:ascii="Times New Roman" w:hAnsi="Times New Roman" w:cs="Times New Roman"/>
          <w:sz w:val="24"/>
          <w:szCs w:val="24"/>
        </w:rPr>
        <w:t xml:space="preserve"> life,</w:t>
      </w:r>
      <w:r>
        <w:rPr>
          <w:rFonts w:ascii="Times New Roman" w:hAnsi="Times New Roman" w:cs="Times New Roman"/>
          <w:sz w:val="24"/>
          <w:szCs w:val="24"/>
        </w:rPr>
        <w:t xml:space="preserve"> but</w:t>
      </w:r>
      <w:r>
        <w:rPr>
          <w:rFonts w:ascii="Times New Roman" w:hAnsi="Times New Roman" w:cs="Times New Roman"/>
          <w:sz w:val="24"/>
          <w:szCs w:val="24"/>
        </w:rPr>
        <w:t xml:space="preserve"> as</w:t>
      </w:r>
      <w:r>
        <w:rPr>
          <w:rFonts w:ascii="Times New Roman" w:hAnsi="Times New Roman" w:cs="Times New Roman"/>
          <w:sz w:val="24"/>
          <w:szCs w:val="24"/>
        </w:rPr>
        <w:t xml:space="preserve"> the</w:t>
      </w:r>
      <w:r>
        <w:rPr>
          <w:rFonts w:ascii="Times New Roman" w:hAnsi="Times New Roman" w:cs="Times New Roman"/>
          <w:sz w:val="24"/>
          <w:szCs w:val="24"/>
        </w:rPr>
        <w:t xml:space="preserve"> family</w:t>
      </w:r>
      <w:r>
        <w:rPr>
          <w:rFonts w:ascii="Times New Roman" w:hAnsi="Times New Roman" w:cs="Times New Roman"/>
          <w:sz w:val="24"/>
          <w:szCs w:val="24"/>
        </w:rPr>
        <w:t xml:space="preserve"> structure</w:t>
      </w:r>
      <w:r>
        <w:rPr>
          <w:rFonts w:ascii="Times New Roman" w:hAnsi="Times New Roman" w:cs="Times New Roman"/>
          <w:sz w:val="24"/>
          <w:szCs w:val="24"/>
        </w:rPr>
        <w:t xml:space="preserve"> changes,</w:t>
      </w:r>
      <w:r>
        <w:rPr>
          <w:rFonts w:ascii="Times New Roman" w:hAnsi="Times New Roman" w:cs="Times New Roman"/>
          <w:sz w:val="24"/>
          <w:szCs w:val="24"/>
        </w:rPr>
        <w:t xml:space="preserve"> the</w:t>
      </w:r>
      <w:r>
        <w:rPr>
          <w:rFonts w:ascii="Times New Roman" w:hAnsi="Times New Roman" w:cs="Times New Roman"/>
          <w:sz w:val="24"/>
          <w:szCs w:val="24"/>
        </w:rPr>
        <w:t xml:space="preserve"> traditional</w:t>
      </w:r>
      <w:r>
        <w:rPr>
          <w:rFonts w:ascii="Times New Roman" w:hAnsi="Times New Roman" w:cs="Times New Roman"/>
          <w:sz w:val="24"/>
          <w:szCs w:val="24"/>
        </w:rPr>
        <w:t xml:space="preserve"> family</w:t>
      </w:r>
      <w:r>
        <w:rPr>
          <w:rFonts w:ascii="Times New Roman" w:hAnsi="Times New Roman" w:cs="Times New Roman"/>
          <w:sz w:val="24"/>
          <w:szCs w:val="24"/>
        </w:rPr>
        <w:t xml:space="preserve"> pension</w:t>
      </w:r>
      <w:r>
        <w:rPr>
          <w:rFonts w:ascii="Times New Roman" w:hAnsi="Times New Roman" w:cs="Times New Roman"/>
          <w:sz w:val="24"/>
          <w:szCs w:val="24"/>
        </w:rPr>
        <w:t xml:space="preserve"> and</w:t>
      </w:r>
      <w:r>
        <w:rPr>
          <w:rFonts w:ascii="Times New Roman" w:hAnsi="Times New Roman" w:cs="Times New Roman"/>
          <w:sz w:val="24"/>
          <w:szCs w:val="24"/>
        </w:rPr>
        <w:t xml:space="preserve"> social</w:t>
      </w:r>
      <w:r>
        <w:rPr>
          <w:rFonts w:ascii="Times New Roman" w:hAnsi="Times New Roman" w:cs="Times New Roman"/>
          <w:sz w:val="24"/>
          <w:szCs w:val="24"/>
        </w:rPr>
        <w:t xml:space="preserve"> pension</w:t>
      </w:r>
      <w:r>
        <w:rPr>
          <w:rFonts w:ascii="Times New Roman" w:hAnsi="Times New Roman" w:cs="Times New Roman"/>
          <w:sz w:val="24"/>
          <w:szCs w:val="24"/>
        </w:rPr>
        <w:t xml:space="preserve"> has</w:t>
      </w:r>
      <w:r>
        <w:rPr>
          <w:rFonts w:ascii="Times New Roman" w:hAnsi="Times New Roman" w:cs="Times New Roman"/>
          <w:sz w:val="24"/>
          <w:szCs w:val="24"/>
        </w:rPr>
        <w:t xml:space="preserve"> been</w:t>
      </w:r>
      <w:r>
        <w:rPr>
          <w:rFonts w:ascii="Times New Roman" w:hAnsi="Times New Roman" w:cs="Times New Roman"/>
          <w:sz w:val="24"/>
          <w:szCs w:val="24"/>
        </w:rPr>
        <w:t xml:space="preserve"> unable</w:t>
      </w:r>
      <w:r>
        <w:rPr>
          <w:rFonts w:ascii="Times New Roman" w:hAnsi="Times New Roman" w:cs="Times New Roman"/>
          <w:sz w:val="24"/>
          <w:szCs w:val="24"/>
        </w:rPr>
        <w:t xml:space="preserve"> to</w:t>
      </w:r>
      <w:r>
        <w:rPr>
          <w:rFonts w:ascii="Times New Roman" w:hAnsi="Times New Roman" w:cs="Times New Roman"/>
          <w:sz w:val="24"/>
          <w:szCs w:val="24"/>
        </w:rPr>
        <w:t xml:space="preserve"> meet</w:t>
      </w:r>
      <w:r>
        <w:rPr>
          <w:rFonts w:ascii="Times New Roman" w:hAnsi="Times New Roman" w:cs="Times New Roman"/>
          <w:sz w:val="24"/>
          <w:szCs w:val="24"/>
        </w:rPr>
        <w:t xml:space="preserve"> me</w:t>
      </w:r>
      <w:r>
        <w:rPr>
          <w:rFonts w:ascii="Times New Roman" w:hAnsi="Times New Roman" w:cs="Times New Roman"/>
          <w:sz w:val="24"/>
          <w:szCs w:val="24"/>
        </w:rPr>
        <w:t xml:space="preserve"> in</w:t>
      </w:r>
      <w:r>
        <w:rPr>
          <w:rFonts w:ascii="Times New Roman" w:hAnsi="Times New Roman" w:cs="Times New Roman"/>
          <w:sz w:val="24"/>
          <w:szCs w:val="24"/>
        </w:rPr>
        <w:t xml:space="preserve"> the</w:t>
      </w:r>
      <w:r>
        <w:rPr>
          <w:rFonts w:ascii="Times New Roman" w:hAnsi="Times New Roman" w:cs="Times New Roman"/>
          <w:sz w:val="24"/>
          <w:szCs w:val="24"/>
        </w:rPr>
        <w:t xml:space="preserve"> current</w:t>
      </w:r>
      <w:r>
        <w:rPr>
          <w:rFonts w:ascii="Times New Roman" w:hAnsi="Times New Roman" w:cs="Times New Roman"/>
          <w:sz w:val="24"/>
          <w:szCs w:val="24"/>
        </w:rPr>
        <w:t xml:space="preserve"> situation,</w:t>
      </w:r>
      <w:r>
        <w:rPr>
          <w:rFonts w:ascii="Times New Roman" w:hAnsi="Times New Roman" w:cs="Times New Roman"/>
          <w:sz w:val="24"/>
          <w:szCs w:val="24"/>
        </w:rPr>
        <w:t xml:space="preserve"> the</w:t>
      </w:r>
      <w:r>
        <w:rPr>
          <w:rFonts w:ascii="Times New Roman" w:hAnsi="Times New Roman" w:cs="Times New Roman"/>
          <w:sz w:val="24"/>
          <w:szCs w:val="24"/>
        </w:rPr>
        <w:t xml:space="preserve"> development</w:t>
      </w:r>
      <w:r>
        <w:rPr>
          <w:rFonts w:ascii="Times New Roman" w:hAnsi="Times New Roman" w:cs="Times New Roman"/>
          <w:sz w:val="24"/>
          <w:szCs w:val="24"/>
        </w:rPr>
        <w:t xml:space="preserve"> of</w:t>
      </w:r>
      <w:r>
        <w:rPr>
          <w:rFonts w:ascii="Times New Roman" w:hAnsi="Times New Roman" w:cs="Times New Roman"/>
          <w:sz w:val="24"/>
          <w:szCs w:val="24"/>
        </w:rPr>
        <w:t xml:space="preserve"> community</w:t>
      </w:r>
      <w:r>
        <w:rPr>
          <w:rFonts w:ascii="Times New Roman" w:hAnsi="Times New Roman" w:cs="Times New Roman"/>
          <w:sz w:val="24"/>
          <w:szCs w:val="24"/>
        </w:rPr>
        <w:t xml:space="preserve"> becomes</w:t>
      </w:r>
      <w:r>
        <w:rPr>
          <w:rFonts w:ascii="Times New Roman" w:hAnsi="Times New Roman" w:cs="Times New Roman"/>
          <w:sz w:val="24"/>
          <w:szCs w:val="24"/>
        </w:rPr>
        <w:t xml:space="preserve"> the</w:t>
      </w:r>
      <w:r>
        <w:rPr>
          <w:rFonts w:ascii="Times New Roman" w:hAnsi="Times New Roman" w:cs="Times New Roman"/>
          <w:sz w:val="24"/>
          <w:szCs w:val="24"/>
        </w:rPr>
        <w:t xml:space="preserve"> base</w:t>
      </w:r>
      <w:r>
        <w:rPr>
          <w:rFonts w:ascii="Times New Roman" w:hAnsi="Times New Roman" w:cs="Times New Roman"/>
          <w:sz w:val="24"/>
          <w:szCs w:val="24"/>
        </w:rPr>
        <w:t xml:space="preserve"> and</w:t>
      </w:r>
      <w:r>
        <w:rPr>
          <w:rFonts w:ascii="Times New Roman" w:hAnsi="Times New Roman" w:cs="Times New Roman"/>
          <w:sz w:val="24"/>
          <w:szCs w:val="24"/>
        </w:rPr>
        <w:t xml:space="preserve"> carrier</w:t>
      </w:r>
      <w:r>
        <w:rPr>
          <w:rFonts w:ascii="Times New Roman" w:hAnsi="Times New Roman" w:cs="Times New Roman"/>
          <w:sz w:val="24"/>
          <w:szCs w:val="24"/>
        </w:rPr>
        <w:t xml:space="preserve"> of</w:t>
      </w:r>
      <w:r>
        <w:rPr>
          <w:rFonts w:ascii="Times New Roman" w:hAnsi="Times New Roman" w:cs="Times New Roman"/>
          <w:sz w:val="24"/>
          <w:szCs w:val="24"/>
        </w:rPr>
        <w:t xml:space="preserve"> various</w:t>
      </w:r>
      <w:r>
        <w:rPr>
          <w:rFonts w:ascii="Times New Roman" w:hAnsi="Times New Roman" w:cs="Times New Roman"/>
          <w:sz w:val="24"/>
          <w:szCs w:val="24"/>
        </w:rPr>
        <w:t xml:space="preserve"> services,</w:t>
      </w:r>
      <w:r>
        <w:rPr>
          <w:rFonts w:ascii="Times New Roman" w:hAnsi="Times New Roman" w:cs="Times New Roman"/>
          <w:sz w:val="24"/>
          <w:szCs w:val="24"/>
        </w:rPr>
        <w:t xml:space="preserve"> in</w:t>
      </w:r>
      <w:r>
        <w:rPr>
          <w:rFonts w:ascii="Times New Roman" w:hAnsi="Times New Roman" w:cs="Times New Roman"/>
          <w:sz w:val="24"/>
          <w:szCs w:val="24"/>
        </w:rPr>
        <w:t xml:space="preserve"> such</w:t>
      </w:r>
      <w:r>
        <w:rPr>
          <w:rFonts w:ascii="Times New Roman" w:hAnsi="Times New Roman" w:cs="Times New Roman"/>
          <w:sz w:val="24"/>
          <w:szCs w:val="24"/>
        </w:rPr>
        <w:t xml:space="preserve"> conditions,</w:t>
      </w:r>
      <w:r>
        <w:rPr>
          <w:rFonts w:ascii="Times New Roman" w:hAnsi="Times New Roman" w:cs="Times New Roman"/>
          <w:sz w:val="24"/>
          <w:szCs w:val="24"/>
        </w:rPr>
        <w:t xml:space="preserve"> the</w:t>
      </w:r>
      <w:r>
        <w:rPr>
          <w:rFonts w:ascii="Times New Roman" w:hAnsi="Times New Roman" w:cs="Times New Roman"/>
          <w:sz w:val="24"/>
          <w:szCs w:val="24"/>
        </w:rPr>
        <w:t xml:space="preserve"> community</w:t>
      </w:r>
      <w:r>
        <w:rPr>
          <w:rFonts w:ascii="Times New Roman" w:hAnsi="Times New Roman" w:cs="Times New Roman"/>
          <w:sz w:val="24"/>
          <w:szCs w:val="24"/>
        </w:rPr>
        <w:t xml:space="preserve"> service</w:t>
      </w:r>
      <w:r>
        <w:rPr>
          <w:rFonts w:ascii="Times New Roman" w:hAnsi="Times New Roman" w:cs="Times New Roman"/>
          <w:sz w:val="24"/>
          <w:szCs w:val="24"/>
        </w:rPr>
        <w:t xml:space="preserve"> pension</w:t>
      </w:r>
      <w:r>
        <w:rPr>
          <w:rFonts w:ascii="Times New Roman" w:hAnsi="Times New Roman" w:cs="Times New Roman"/>
          <w:sz w:val="24"/>
          <w:szCs w:val="24"/>
        </w:rPr>
        <w:t xml:space="preserve"> status</w:t>
      </w:r>
      <w:r>
        <w:rPr>
          <w:rFonts w:ascii="Times New Roman" w:hAnsi="Times New Roman" w:cs="Times New Roman"/>
          <w:sz w:val="24"/>
          <w:szCs w:val="24"/>
        </w:rPr>
        <w:t xml:space="preserve"> in</w:t>
      </w:r>
      <w:r>
        <w:rPr>
          <w:rFonts w:ascii="Times New Roman" w:hAnsi="Times New Roman" w:cs="Times New Roman"/>
          <w:sz w:val="24"/>
          <w:szCs w:val="24"/>
        </w:rPr>
        <w:t xml:space="preserve"> the</w:t>
      </w:r>
      <w:r>
        <w:rPr>
          <w:rFonts w:ascii="Times New Roman" w:hAnsi="Times New Roman" w:cs="Times New Roman"/>
          <w:sz w:val="24"/>
          <w:szCs w:val="24"/>
        </w:rPr>
        <w:t xml:space="preserve"> city</w:t>
      </w:r>
      <w:r>
        <w:rPr>
          <w:rFonts w:ascii="Times New Roman" w:hAnsi="Times New Roman" w:cs="Times New Roman"/>
          <w:sz w:val="24"/>
          <w:szCs w:val="24"/>
        </w:rPr>
        <w:t xml:space="preserve"> becomes</w:t>
      </w:r>
      <w:r>
        <w:rPr>
          <w:rFonts w:ascii="Times New Roman" w:hAnsi="Times New Roman" w:cs="Times New Roman"/>
          <w:sz w:val="24"/>
          <w:szCs w:val="24"/>
        </w:rPr>
        <w:t xml:space="preserve"> more</w:t>
      </w:r>
      <w:r>
        <w:rPr>
          <w:rFonts w:ascii="Times New Roman" w:hAnsi="Times New Roman" w:cs="Times New Roman"/>
          <w:sz w:val="24"/>
          <w:szCs w:val="24"/>
        </w:rPr>
        <w:t xml:space="preserve"> and</w:t>
      </w:r>
      <w:r>
        <w:rPr>
          <w:rFonts w:ascii="Times New Roman" w:hAnsi="Times New Roman" w:cs="Times New Roman"/>
          <w:sz w:val="24"/>
          <w:szCs w:val="24"/>
        </w:rPr>
        <w:t xml:space="preserve"> more</w:t>
      </w:r>
      <w:r>
        <w:rPr>
          <w:rFonts w:ascii="Times New Roman" w:hAnsi="Times New Roman" w:cs="Times New Roman"/>
          <w:sz w:val="24"/>
          <w:szCs w:val="24"/>
        </w:rPr>
        <w:t xml:space="preserve"> important,</w:t>
      </w:r>
      <w:r>
        <w:rPr>
          <w:rFonts w:ascii="Times New Roman" w:hAnsi="Times New Roman" w:cs="Times New Roman"/>
          <w:sz w:val="24"/>
          <w:szCs w:val="24"/>
        </w:rPr>
        <w:t xml:space="preserve"> the</w:t>
      </w:r>
      <w:r>
        <w:rPr>
          <w:rFonts w:ascii="Times New Roman" w:hAnsi="Times New Roman" w:cs="Times New Roman"/>
          <w:sz w:val="24"/>
          <w:szCs w:val="24"/>
        </w:rPr>
        <w:t xml:space="preserve"> community</w:t>
      </w:r>
      <w:r>
        <w:rPr>
          <w:rFonts w:ascii="Times New Roman" w:hAnsi="Times New Roman" w:cs="Times New Roman"/>
          <w:sz w:val="24"/>
          <w:szCs w:val="24"/>
        </w:rPr>
        <w:t xml:space="preserve"> endowment</w:t>
      </w:r>
      <w:r>
        <w:rPr>
          <w:rFonts w:ascii="Times New Roman" w:hAnsi="Times New Roman" w:cs="Times New Roman"/>
          <w:sz w:val="24"/>
          <w:szCs w:val="24"/>
        </w:rPr>
        <w:t xml:space="preserve"> service</w:t>
      </w:r>
      <w:r>
        <w:rPr>
          <w:rFonts w:ascii="Times New Roman" w:hAnsi="Times New Roman" w:cs="Times New Roman"/>
          <w:sz w:val="24"/>
          <w:szCs w:val="24"/>
        </w:rPr>
        <w:t xml:space="preserve"> also</w:t>
      </w:r>
      <w:r>
        <w:rPr>
          <w:rFonts w:ascii="Times New Roman" w:hAnsi="Times New Roman" w:cs="Times New Roman"/>
          <w:sz w:val="24"/>
          <w:szCs w:val="24"/>
        </w:rPr>
        <w:t xml:space="preserve"> will</w:t>
      </w:r>
      <w:r>
        <w:rPr>
          <w:rFonts w:ascii="Times New Roman" w:hAnsi="Times New Roman" w:cs="Times New Roman"/>
          <w:sz w:val="24"/>
          <w:szCs w:val="24"/>
        </w:rPr>
        <w:t xml:space="preserve"> be</w:t>
      </w:r>
      <w:r>
        <w:rPr>
          <w:rFonts w:ascii="Times New Roman" w:hAnsi="Times New Roman" w:cs="Times New Roman"/>
          <w:sz w:val="24"/>
          <w:szCs w:val="24"/>
        </w:rPr>
        <w:t xml:space="preserve"> vigorously</w:t>
      </w:r>
      <w:r>
        <w:rPr>
          <w:rFonts w:ascii="Times New Roman" w:hAnsi="Times New Roman" w:cs="Times New Roman"/>
          <w:sz w:val="24"/>
          <w:szCs w:val="24"/>
        </w:rPr>
        <w:t xml:space="preserve"> developed.</w:t>
      </w:r>
      <w:r>
        <w:rPr>
          <w:rFonts w:ascii="Times New Roman" w:hAnsi="Times New Roman" w:cs="Times New Roman"/>
          <w:sz w:val="24"/>
          <w:szCs w:val="24"/>
        </w:rPr>
        <w:t xml:space="preserve"> Community</w:t>
      </w:r>
      <w:r>
        <w:rPr>
          <w:rFonts w:ascii="Times New Roman" w:hAnsi="Times New Roman" w:cs="Times New Roman"/>
          <w:sz w:val="24"/>
          <w:szCs w:val="24"/>
        </w:rPr>
        <w:t xml:space="preserve"> endowment</w:t>
      </w:r>
      <w:r>
        <w:rPr>
          <w:rFonts w:ascii="Times New Roman" w:hAnsi="Times New Roman" w:cs="Times New Roman"/>
          <w:sz w:val="24"/>
          <w:szCs w:val="24"/>
        </w:rPr>
        <w:t xml:space="preserve"> to</w:t>
      </w:r>
      <w:r>
        <w:rPr>
          <w:rFonts w:ascii="Times New Roman" w:hAnsi="Times New Roman" w:cs="Times New Roman"/>
          <w:sz w:val="24"/>
          <w:szCs w:val="24"/>
        </w:rPr>
        <w:t xml:space="preserve"> a</w:t>
      </w:r>
      <w:r>
        <w:rPr>
          <w:rFonts w:ascii="Times New Roman" w:hAnsi="Times New Roman" w:cs="Times New Roman"/>
          <w:sz w:val="24"/>
          <w:szCs w:val="24"/>
        </w:rPr>
        <w:t xml:space="preserve"> certain</w:t>
      </w:r>
      <w:r>
        <w:rPr>
          <w:rFonts w:ascii="Times New Roman" w:hAnsi="Times New Roman" w:cs="Times New Roman"/>
          <w:sz w:val="24"/>
          <w:szCs w:val="24"/>
        </w:rPr>
        <w:t xml:space="preserve"> extent,</w:t>
      </w:r>
      <w:r>
        <w:rPr>
          <w:rFonts w:ascii="Times New Roman" w:hAnsi="Times New Roman" w:cs="Times New Roman"/>
          <w:sz w:val="24"/>
          <w:szCs w:val="24"/>
        </w:rPr>
        <w:t xml:space="preserve"> family</w:t>
      </w:r>
      <w:r>
        <w:rPr>
          <w:rFonts w:ascii="Times New Roman" w:hAnsi="Times New Roman" w:cs="Times New Roman"/>
          <w:sz w:val="24"/>
          <w:szCs w:val="24"/>
        </w:rPr>
        <w:t xml:space="preserve"> pension</w:t>
      </w:r>
      <w:r>
        <w:rPr>
          <w:rFonts w:ascii="Times New Roman" w:hAnsi="Times New Roman" w:cs="Times New Roman"/>
          <w:sz w:val="24"/>
          <w:szCs w:val="24"/>
        </w:rPr>
        <w:t xml:space="preserve"> and</w:t>
      </w:r>
      <w:r>
        <w:rPr>
          <w:rFonts w:ascii="Times New Roman" w:hAnsi="Times New Roman" w:cs="Times New Roman"/>
          <w:sz w:val="24"/>
          <w:szCs w:val="24"/>
        </w:rPr>
        <w:t xml:space="preserve"> social</w:t>
      </w:r>
      <w:r>
        <w:rPr>
          <w:rFonts w:ascii="Times New Roman" w:hAnsi="Times New Roman" w:cs="Times New Roman"/>
          <w:sz w:val="24"/>
          <w:szCs w:val="24"/>
        </w:rPr>
        <w:t xml:space="preserve"> pension</w:t>
      </w:r>
      <w:r>
        <w:rPr>
          <w:rFonts w:ascii="Times New Roman" w:hAnsi="Times New Roman" w:cs="Times New Roman"/>
          <w:sz w:val="24"/>
          <w:szCs w:val="24"/>
        </w:rPr>
        <w:t xml:space="preserve"> combined,</w:t>
      </w:r>
      <w:r>
        <w:rPr>
          <w:rFonts w:ascii="Times New Roman" w:hAnsi="Times New Roman" w:cs="Times New Roman"/>
          <w:sz w:val="24"/>
          <w:szCs w:val="24"/>
        </w:rPr>
        <w:t xml:space="preserve"> making</w:t>
      </w:r>
      <w:r>
        <w:rPr>
          <w:rFonts w:ascii="Times New Roman" w:hAnsi="Times New Roman" w:cs="Times New Roman"/>
          <w:sz w:val="24"/>
          <w:szCs w:val="24"/>
        </w:rPr>
        <w:t xml:space="preserve"> the</w:t>
      </w:r>
      <w:r>
        <w:rPr>
          <w:rFonts w:ascii="Times New Roman" w:hAnsi="Times New Roman" w:cs="Times New Roman"/>
          <w:sz w:val="24"/>
          <w:szCs w:val="24"/>
        </w:rPr>
        <w:t xml:space="preserve"> elderly</w:t>
      </w:r>
      <w:r>
        <w:rPr>
          <w:rFonts w:ascii="Times New Roman" w:hAnsi="Times New Roman" w:cs="Times New Roman"/>
          <w:sz w:val="24"/>
          <w:szCs w:val="24"/>
        </w:rPr>
        <w:t xml:space="preserve"> at</w:t>
      </w:r>
      <w:r>
        <w:rPr>
          <w:rFonts w:ascii="Times New Roman" w:hAnsi="Times New Roman" w:cs="Times New Roman"/>
          <w:sz w:val="24"/>
          <w:szCs w:val="24"/>
        </w:rPr>
        <w:t xml:space="preserve"> home,</w:t>
      </w:r>
      <w:r>
        <w:rPr>
          <w:rFonts w:ascii="Times New Roman" w:hAnsi="Times New Roman" w:cs="Times New Roman"/>
          <w:sz w:val="24"/>
          <w:szCs w:val="24"/>
        </w:rPr>
        <w:t xml:space="preserve"> enjoy</w:t>
      </w:r>
      <w:r>
        <w:rPr>
          <w:rFonts w:ascii="Times New Roman" w:hAnsi="Times New Roman" w:cs="Times New Roman"/>
          <w:sz w:val="24"/>
          <w:szCs w:val="24"/>
        </w:rPr>
        <w:t xml:space="preserve"> the</w:t>
      </w:r>
      <w:r>
        <w:rPr>
          <w:rFonts w:ascii="Times New Roman" w:hAnsi="Times New Roman" w:cs="Times New Roman"/>
          <w:sz w:val="24"/>
          <w:szCs w:val="24"/>
        </w:rPr>
        <w:t xml:space="preserve"> multi-level</w:t>
      </w:r>
      <w:r>
        <w:rPr>
          <w:rFonts w:ascii="Times New Roman" w:hAnsi="Times New Roman" w:cs="Times New Roman"/>
          <w:sz w:val="24"/>
          <w:szCs w:val="24"/>
        </w:rPr>
        <w:t xml:space="preserve"> community</w:t>
      </w:r>
      <w:r>
        <w:rPr>
          <w:rFonts w:ascii="Times New Roman" w:hAnsi="Times New Roman" w:cs="Times New Roman"/>
          <w:sz w:val="24"/>
          <w:szCs w:val="24"/>
        </w:rPr>
        <w:t xml:space="preserve"> endowment</w:t>
      </w:r>
      <w:r>
        <w:rPr>
          <w:rFonts w:ascii="Times New Roman" w:hAnsi="Times New Roman" w:cs="Times New Roman"/>
          <w:sz w:val="24"/>
          <w:szCs w:val="24"/>
        </w:rPr>
        <w:t xml:space="preserve"> service</w:t>
      </w:r>
      <w:r>
        <w:rPr>
          <w:rFonts w:ascii="Times New Roman" w:hAnsi="Times New Roman" w:cs="Times New Roman"/>
          <w:sz w:val="24"/>
          <w:szCs w:val="24"/>
        </w:rPr>
        <w:t xml:space="preserve"> or</w:t>
      </w:r>
      <w:r>
        <w:rPr>
          <w:rFonts w:ascii="Times New Roman" w:hAnsi="Times New Roman" w:cs="Times New Roman"/>
          <w:sz w:val="24"/>
          <w:szCs w:val="24"/>
        </w:rPr>
        <w:t xml:space="preserve"> familiar</w:t>
      </w:r>
      <w:r>
        <w:rPr>
          <w:rFonts w:ascii="Times New Roman" w:hAnsi="Times New Roman" w:cs="Times New Roman"/>
          <w:sz w:val="24"/>
          <w:szCs w:val="24"/>
        </w:rPr>
        <w:t xml:space="preserve"> with</w:t>
      </w:r>
      <w:r>
        <w:rPr>
          <w:rFonts w:ascii="Times New Roman" w:hAnsi="Times New Roman" w:cs="Times New Roman"/>
          <w:sz w:val="24"/>
          <w:szCs w:val="24"/>
        </w:rPr>
        <w:t xml:space="preserve"> community</w:t>
      </w:r>
      <w:r>
        <w:rPr>
          <w:rFonts w:ascii="Times New Roman" w:hAnsi="Times New Roman" w:cs="Times New Roman"/>
          <w:sz w:val="24"/>
          <w:szCs w:val="24"/>
        </w:rPr>
        <w:t xml:space="preserve"> environment,</w:t>
      </w:r>
      <w:r>
        <w:rPr>
          <w:rFonts w:ascii="Times New Roman" w:hAnsi="Times New Roman" w:cs="Times New Roman"/>
          <w:sz w:val="24"/>
          <w:szCs w:val="24"/>
        </w:rPr>
        <w:t xml:space="preserve"> strengthen</w:t>
      </w:r>
      <w:r>
        <w:rPr>
          <w:rFonts w:ascii="Times New Roman" w:hAnsi="Times New Roman" w:cs="Times New Roman"/>
          <w:sz w:val="24"/>
          <w:szCs w:val="24"/>
        </w:rPr>
        <w:t xml:space="preserve"> the</w:t>
      </w:r>
      <w:r>
        <w:rPr>
          <w:rFonts w:ascii="Times New Roman" w:hAnsi="Times New Roman" w:cs="Times New Roman"/>
          <w:sz w:val="24"/>
          <w:szCs w:val="24"/>
        </w:rPr>
        <w:t xml:space="preserve"> community</w:t>
      </w:r>
      <w:r>
        <w:rPr>
          <w:rFonts w:ascii="Times New Roman" w:hAnsi="Times New Roman" w:cs="Times New Roman"/>
          <w:sz w:val="24"/>
          <w:szCs w:val="24"/>
        </w:rPr>
        <w:t xml:space="preserve"> endowment</w:t>
      </w:r>
      <w:r>
        <w:rPr>
          <w:rFonts w:ascii="Times New Roman" w:hAnsi="Times New Roman" w:cs="Times New Roman"/>
          <w:sz w:val="24"/>
          <w:szCs w:val="24"/>
        </w:rPr>
        <w:t xml:space="preserve"> for</w:t>
      </w:r>
      <w:r>
        <w:rPr>
          <w:rFonts w:ascii="Times New Roman" w:hAnsi="Times New Roman" w:cs="Times New Roman"/>
          <w:sz w:val="24"/>
          <w:szCs w:val="24"/>
        </w:rPr>
        <w:t xml:space="preserve"> the</w:t>
      </w:r>
      <w:r>
        <w:rPr>
          <w:rFonts w:ascii="Times New Roman" w:hAnsi="Times New Roman" w:cs="Times New Roman"/>
          <w:sz w:val="24"/>
          <w:szCs w:val="24"/>
        </w:rPr>
        <w:t xml:space="preserve"> elderly</w:t>
      </w:r>
      <w:r>
        <w:rPr>
          <w:rFonts w:ascii="Times New Roman" w:hAnsi="Times New Roman" w:cs="Times New Roman"/>
          <w:sz w:val="24"/>
          <w:szCs w:val="24"/>
        </w:rPr>
        <w:t xml:space="preserve"> economic</w:t>
      </w:r>
      <w:r>
        <w:rPr>
          <w:rFonts w:ascii="Times New Roman" w:hAnsi="Times New Roman" w:cs="Times New Roman"/>
          <w:sz w:val="24"/>
          <w:szCs w:val="24"/>
        </w:rPr>
        <w:t xml:space="preserve"> support,</w:t>
      </w:r>
      <w:r>
        <w:rPr>
          <w:rFonts w:ascii="Times New Roman" w:hAnsi="Times New Roman" w:cs="Times New Roman"/>
          <w:sz w:val="24"/>
          <w:szCs w:val="24"/>
        </w:rPr>
        <w:t xml:space="preserve"> elderly</w:t>
      </w:r>
      <w:r>
        <w:rPr>
          <w:rFonts w:ascii="Times New Roman" w:hAnsi="Times New Roman" w:cs="Times New Roman"/>
          <w:sz w:val="24"/>
          <w:szCs w:val="24"/>
        </w:rPr>
        <w:t xml:space="preserve"> community</w:t>
      </w:r>
      <w:r>
        <w:rPr>
          <w:rFonts w:ascii="Times New Roman" w:hAnsi="Times New Roman" w:cs="Times New Roman"/>
          <w:sz w:val="24"/>
          <w:szCs w:val="24"/>
        </w:rPr>
        <w:t xml:space="preserve"> care,</w:t>
      </w:r>
      <w:r>
        <w:rPr>
          <w:rFonts w:ascii="Times New Roman" w:hAnsi="Times New Roman" w:cs="Times New Roman"/>
          <w:sz w:val="24"/>
          <w:szCs w:val="24"/>
        </w:rPr>
        <w:t xml:space="preserve"> spiritual</w:t>
      </w:r>
      <w:r>
        <w:rPr>
          <w:rFonts w:ascii="Times New Roman" w:hAnsi="Times New Roman" w:cs="Times New Roman"/>
          <w:sz w:val="24"/>
          <w:szCs w:val="24"/>
        </w:rPr>
        <w:t xml:space="preserve"> comfort,</w:t>
      </w:r>
      <w:r>
        <w:rPr>
          <w:rFonts w:ascii="Times New Roman" w:hAnsi="Times New Roman" w:cs="Times New Roman"/>
          <w:sz w:val="24"/>
          <w:szCs w:val="24"/>
        </w:rPr>
        <w:t xml:space="preserve"> social</w:t>
      </w:r>
      <w:r>
        <w:rPr>
          <w:rFonts w:ascii="Times New Roman" w:hAnsi="Times New Roman" w:cs="Times New Roman"/>
          <w:sz w:val="24"/>
          <w:szCs w:val="24"/>
        </w:rPr>
        <w:t xml:space="preserve"> participation</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and</w:t>
      </w:r>
      <w:r>
        <w:rPr>
          <w:rFonts w:ascii="Times New Roman" w:hAnsi="Times New Roman" w:cs="Times New Roman"/>
          <w:sz w:val="24"/>
          <w:szCs w:val="24"/>
        </w:rPr>
        <w:t xml:space="preserve"> other</w:t>
      </w:r>
      <w:r>
        <w:rPr>
          <w:rFonts w:ascii="Times New Roman" w:hAnsi="Times New Roman" w:cs="Times New Roman"/>
          <w:sz w:val="24"/>
          <w:szCs w:val="24"/>
        </w:rPr>
        <w:t xml:space="preserve"> aspects</w:t>
      </w:r>
      <w:r>
        <w:rPr>
          <w:rFonts w:ascii="Times New Roman" w:hAnsi="Times New Roman" w:cs="Times New Roman"/>
          <w:sz w:val="24"/>
          <w:szCs w:val="24"/>
        </w:rPr>
        <w:t xml:space="preserve"> of</w:t>
      </w:r>
      <w:r>
        <w:rPr>
          <w:rFonts w:ascii="Times New Roman" w:hAnsi="Times New Roman" w:cs="Times New Roman"/>
          <w:sz w:val="24"/>
          <w:szCs w:val="24"/>
        </w:rPr>
        <w:t xml:space="preserve"> the</w:t>
      </w:r>
      <w:r>
        <w:rPr>
          <w:rFonts w:ascii="Times New Roman" w:hAnsi="Times New Roman" w:cs="Times New Roman"/>
          <w:sz w:val="24"/>
          <w:szCs w:val="24"/>
        </w:rPr>
        <w:t xml:space="preserve"> pension</w:t>
      </w:r>
      <w:r>
        <w:rPr>
          <w:rFonts w:ascii="Times New Roman" w:hAnsi="Times New Roman" w:cs="Times New Roman"/>
          <w:sz w:val="24"/>
          <w:szCs w:val="24"/>
        </w:rPr>
        <w:t xml:space="preserve"> service</w:t>
      </w:r>
      <w:r>
        <w:rPr>
          <w:rFonts w:ascii="Times New Roman" w:hAnsi="Times New Roman" w:cs="Times New Roman"/>
          <w:sz w:val="24"/>
          <w:szCs w:val="24"/>
        </w:rPr>
        <w:t xml:space="preserve"> function.</w:t>
      </w:r>
      <w:r>
        <w:rPr>
          <w:rFonts w:ascii="Times New Roman" w:hAnsi="Times New Roman" w:cs="Times New Roman"/>
          <w:sz w:val="24"/>
          <w:szCs w:val="24"/>
        </w:rPr>
        <w:t xml:space="preserve"> Urban</w:t>
      </w:r>
      <w:r>
        <w:rPr>
          <w:rFonts w:ascii="Times New Roman" w:hAnsi="Times New Roman" w:cs="Times New Roman"/>
          <w:sz w:val="24"/>
          <w:szCs w:val="24"/>
        </w:rPr>
        <w:t xml:space="preserve"> community</w:t>
      </w:r>
      <w:r>
        <w:rPr>
          <w:rFonts w:ascii="Times New Roman" w:hAnsi="Times New Roman" w:cs="Times New Roman"/>
          <w:sz w:val="24"/>
          <w:szCs w:val="24"/>
        </w:rPr>
        <w:t xml:space="preserve"> endowment</w:t>
      </w:r>
      <w:r>
        <w:rPr>
          <w:rFonts w:ascii="Times New Roman" w:hAnsi="Times New Roman" w:cs="Times New Roman"/>
          <w:sz w:val="24"/>
          <w:szCs w:val="24"/>
        </w:rPr>
        <w:t xml:space="preserve"> is</w:t>
      </w:r>
      <w:r>
        <w:rPr>
          <w:rFonts w:ascii="Times New Roman" w:hAnsi="Times New Roman" w:cs="Times New Roman"/>
          <w:sz w:val="24"/>
          <w:szCs w:val="24"/>
        </w:rPr>
        <w:t xml:space="preserve"> a</w:t>
      </w:r>
      <w:r>
        <w:rPr>
          <w:rFonts w:ascii="Times New Roman" w:hAnsi="Times New Roman" w:cs="Times New Roman"/>
          <w:sz w:val="24"/>
          <w:szCs w:val="24"/>
        </w:rPr>
        <w:t xml:space="preserve"> new</w:t>
      </w:r>
      <w:r>
        <w:rPr>
          <w:rFonts w:ascii="Times New Roman" w:hAnsi="Times New Roman" w:cs="Times New Roman"/>
          <w:sz w:val="24"/>
          <w:szCs w:val="24"/>
        </w:rPr>
        <w:t xml:space="preserve"> type</w:t>
      </w:r>
      <w:r>
        <w:rPr>
          <w:rFonts w:ascii="Times New Roman" w:hAnsi="Times New Roman" w:cs="Times New Roman"/>
          <w:sz w:val="24"/>
          <w:szCs w:val="24"/>
        </w:rPr>
        <w:t xml:space="preserve"> of</w:t>
      </w:r>
      <w:r>
        <w:rPr>
          <w:rFonts w:ascii="Times New Roman" w:hAnsi="Times New Roman" w:cs="Times New Roman"/>
          <w:sz w:val="24"/>
          <w:szCs w:val="24"/>
        </w:rPr>
        <w:t xml:space="preserve"> pension</w:t>
      </w:r>
      <w:r>
        <w:rPr>
          <w:rFonts w:ascii="Times New Roman" w:hAnsi="Times New Roman" w:cs="Times New Roman"/>
          <w:sz w:val="24"/>
          <w:szCs w:val="24"/>
        </w:rPr>
        <w:t xml:space="preserve"> model,</w:t>
      </w:r>
      <w:r>
        <w:rPr>
          <w:rFonts w:ascii="Times New Roman" w:hAnsi="Times New Roman" w:cs="Times New Roman"/>
          <w:sz w:val="24"/>
          <w:szCs w:val="24"/>
        </w:rPr>
        <w:t xml:space="preserve"> can</w:t>
      </w:r>
      <w:r>
        <w:rPr>
          <w:rFonts w:ascii="Times New Roman" w:hAnsi="Times New Roman" w:cs="Times New Roman"/>
          <w:sz w:val="24"/>
          <w:szCs w:val="24"/>
        </w:rPr>
        <w:t xml:space="preserve"> improve</w:t>
      </w:r>
      <w:r>
        <w:rPr>
          <w:rFonts w:ascii="Times New Roman" w:hAnsi="Times New Roman" w:cs="Times New Roman"/>
          <w:sz w:val="24"/>
          <w:szCs w:val="24"/>
        </w:rPr>
        <w:t xml:space="preserve"> the</w:t>
      </w:r>
      <w:r>
        <w:rPr>
          <w:rFonts w:ascii="Times New Roman" w:hAnsi="Times New Roman" w:cs="Times New Roman"/>
          <w:sz w:val="24"/>
          <w:szCs w:val="24"/>
        </w:rPr>
        <w:t xml:space="preserve"> quality</w:t>
      </w:r>
      <w:r>
        <w:rPr>
          <w:rFonts w:ascii="Times New Roman" w:hAnsi="Times New Roman" w:cs="Times New Roman"/>
          <w:sz w:val="24"/>
          <w:szCs w:val="24"/>
        </w:rPr>
        <w:t xml:space="preserve"> of</w:t>
      </w:r>
      <w:r>
        <w:rPr>
          <w:rFonts w:ascii="Times New Roman" w:hAnsi="Times New Roman" w:cs="Times New Roman"/>
          <w:sz w:val="24"/>
          <w:szCs w:val="24"/>
        </w:rPr>
        <w:t xml:space="preserve"> life</w:t>
      </w:r>
      <w:r>
        <w:rPr>
          <w:rFonts w:ascii="Times New Roman" w:hAnsi="Times New Roman" w:cs="Times New Roman"/>
          <w:sz w:val="24"/>
          <w:szCs w:val="24"/>
        </w:rPr>
        <w:t xml:space="preserve"> of</w:t>
      </w:r>
      <w:r>
        <w:rPr>
          <w:rFonts w:ascii="Times New Roman" w:hAnsi="Times New Roman" w:cs="Times New Roman"/>
          <w:sz w:val="24"/>
          <w:szCs w:val="24"/>
        </w:rPr>
        <w:t xml:space="preserve"> the</w:t>
      </w:r>
      <w:r>
        <w:rPr>
          <w:rFonts w:ascii="Times New Roman" w:hAnsi="Times New Roman" w:cs="Times New Roman"/>
          <w:sz w:val="24"/>
          <w:szCs w:val="24"/>
        </w:rPr>
        <w:t xml:space="preserve"> elderly,</w:t>
      </w:r>
      <w:r>
        <w:rPr>
          <w:rFonts w:ascii="Times New Roman" w:hAnsi="Times New Roman" w:cs="Times New Roman"/>
          <w:sz w:val="24"/>
          <w:szCs w:val="24"/>
        </w:rPr>
        <w:t xml:space="preserve"> can</w:t>
      </w:r>
      <w:r>
        <w:rPr>
          <w:rFonts w:ascii="Times New Roman" w:hAnsi="Times New Roman" w:cs="Times New Roman"/>
          <w:sz w:val="24"/>
          <w:szCs w:val="24"/>
        </w:rPr>
        <w:t xml:space="preserve"> make</w:t>
      </w:r>
      <w:r>
        <w:rPr>
          <w:rFonts w:ascii="Times New Roman" w:hAnsi="Times New Roman" w:cs="Times New Roman"/>
          <w:sz w:val="24"/>
          <w:szCs w:val="24"/>
        </w:rPr>
        <w:t xml:space="preserve"> up</w:t>
      </w:r>
      <w:r>
        <w:rPr>
          <w:rFonts w:ascii="Times New Roman" w:hAnsi="Times New Roman" w:cs="Times New Roman"/>
          <w:sz w:val="24"/>
          <w:szCs w:val="24"/>
        </w:rPr>
        <w:t xml:space="preserve"> for</w:t>
      </w:r>
      <w:r>
        <w:rPr>
          <w:rFonts w:ascii="Times New Roman" w:hAnsi="Times New Roman" w:cs="Times New Roman"/>
          <w:sz w:val="24"/>
          <w:szCs w:val="24"/>
        </w:rPr>
        <w:t xml:space="preserve"> the</w:t>
      </w:r>
      <w:r>
        <w:rPr>
          <w:rFonts w:ascii="Times New Roman" w:hAnsi="Times New Roman" w:cs="Times New Roman"/>
          <w:sz w:val="24"/>
          <w:szCs w:val="24"/>
        </w:rPr>
        <w:t xml:space="preserve"> shortage</w:t>
      </w:r>
      <w:r>
        <w:rPr>
          <w:rFonts w:ascii="Times New Roman" w:hAnsi="Times New Roman" w:cs="Times New Roman"/>
          <w:sz w:val="24"/>
          <w:szCs w:val="24"/>
        </w:rPr>
        <w:t xml:space="preserve"> of</w:t>
      </w:r>
      <w:r>
        <w:rPr>
          <w:rFonts w:ascii="Times New Roman" w:hAnsi="Times New Roman" w:cs="Times New Roman"/>
          <w:sz w:val="24"/>
          <w:szCs w:val="24"/>
        </w:rPr>
        <w:t xml:space="preserve"> pension</w:t>
      </w:r>
      <w:r>
        <w:rPr>
          <w:rFonts w:ascii="Times New Roman" w:hAnsi="Times New Roman" w:cs="Times New Roman"/>
          <w:sz w:val="24"/>
          <w:szCs w:val="24"/>
        </w:rPr>
        <w:t xml:space="preserve"> system</w:t>
      </w:r>
      <w:r>
        <w:rPr>
          <w:rFonts w:ascii="Times New Roman" w:hAnsi="Times New Roman" w:cs="Times New Roman"/>
          <w:sz w:val="24"/>
          <w:szCs w:val="24"/>
        </w:rPr>
        <w:t xml:space="preserve"> in</w:t>
      </w:r>
      <w:r>
        <w:rPr>
          <w:rFonts w:ascii="Times New Roman" w:hAnsi="Times New Roman" w:cs="Times New Roman"/>
          <w:sz w:val="24"/>
          <w:szCs w:val="24"/>
        </w:rPr>
        <w:t xml:space="preserve"> china.</w:t>
      </w:r>
      <w:r>
        <w:rPr>
          <w:rFonts w:ascii="Times New Roman" w:hAnsi="Times New Roman" w:cs="Times New Roman"/>
          <w:sz w:val="24"/>
          <w:szCs w:val="24"/>
        </w:rPr>
        <w:t xml:space="preserve"> This</w:t>
      </w:r>
      <w:r>
        <w:rPr>
          <w:rFonts w:ascii="Times New Roman" w:hAnsi="Times New Roman" w:cs="Times New Roman"/>
          <w:sz w:val="24"/>
          <w:szCs w:val="24"/>
        </w:rPr>
        <w:t xml:space="preserve"> paper</w:t>
      </w:r>
      <w:r>
        <w:rPr>
          <w:rFonts w:ascii="Times New Roman" w:hAnsi="Times New Roman" w:cs="Times New Roman"/>
          <w:sz w:val="24"/>
          <w:szCs w:val="24"/>
        </w:rPr>
        <w:t xml:space="preserve"> takes</w:t>
      </w:r>
      <w:r>
        <w:rPr>
          <w:rFonts w:ascii="Times New Roman" w:hAnsi="Times New Roman" w:cs="Times New Roman"/>
          <w:sz w:val="24"/>
          <w:szCs w:val="24"/>
        </w:rPr>
        <w:t xml:space="preserve"> Shanghai</w:t>
      </w:r>
      <w:r>
        <w:rPr>
          <w:rFonts w:ascii="Times New Roman" w:hAnsi="Times New Roman" w:cs="Times New Roman"/>
          <w:sz w:val="24"/>
          <w:szCs w:val="24"/>
        </w:rPr>
        <w:t xml:space="preserve"> city</w:t>
      </w:r>
      <w:r>
        <w:rPr>
          <w:rFonts w:ascii="Times New Roman" w:hAnsi="Times New Roman" w:cs="Times New Roman"/>
          <w:sz w:val="24"/>
          <w:szCs w:val="24"/>
        </w:rPr>
        <w:t xml:space="preserve"> of</w:t>
      </w:r>
      <w:r>
        <w:rPr>
          <w:rFonts w:ascii="Times New Roman" w:hAnsi="Times New Roman" w:cs="Times New Roman"/>
          <w:sz w:val="24"/>
          <w:szCs w:val="24"/>
        </w:rPr>
        <w:t xml:space="preserve"> Fengxian</w:t>
      </w:r>
      <w:r>
        <w:rPr>
          <w:rFonts w:ascii="Times New Roman" w:hAnsi="Times New Roman" w:cs="Times New Roman"/>
          <w:sz w:val="24"/>
          <w:szCs w:val="24"/>
        </w:rPr>
        <w:t xml:space="preserve"> District</w:t>
      </w:r>
      <w:r>
        <w:rPr>
          <w:rFonts w:ascii="Times New Roman" w:hAnsi="Times New Roman" w:cs="Times New Roman"/>
          <w:sz w:val="24"/>
          <w:szCs w:val="24"/>
        </w:rPr>
        <w:t xml:space="preserve"> as</w:t>
      </w:r>
      <w:r>
        <w:rPr>
          <w:rFonts w:ascii="Times New Roman" w:hAnsi="Times New Roman" w:cs="Times New Roman"/>
          <w:sz w:val="24"/>
          <w:szCs w:val="24"/>
        </w:rPr>
        <w:t xml:space="preserve"> an</w:t>
      </w:r>
      <w:r>
        <w:rPr>
          <w:rFonts w:ascii="Times New Roman" w:hAnsi="Times New Roman" w:cs="Times New Roman"/>
          <w:sz w:val="24"/>
          <w:szCs w:val="24"/>
        </w:rPr>
        <w:t xml:space="preserve"> example,</w:t>
      </w:r>
      <w:r>
        <w:rPr>
          <w:rFonts w:ascii="Times New Roman" w:hAnsi="Times New Roman" w:cs="Times New Roman"/>
          <w:sz w:val="24"/>
          <w:szCs w:val="24"/>
        </w:rPr>
        <w:t xml:space="preserve"> study</w:t>
      </w:r>
      <w:r>
        <w:rPr>
          <w:rFonts w:ascii="Times New Roman" w:hAnsi="Times New Roman" w:cs="Times New Roman"/>
          <w:sz w:val="24"/>
          <w:szCs w:val="24"/>
        </w:rPr>
        <w:t xml:space="preserve"> the</w:t>
      </w:r>
      <w:r>
        <w:rPr>
          <w:rFonts w:ascii="Times New Roman" w:hAnsi="Times New Roman" w:cs="Times New Roman"/>
          <w:sz w:val="24"/>
          <w:szCs w:val="24"/>
        </w:rPr>
        <w:t xml:space="preserve"> quality</w:t>
      </w:r>
      <w:r>
        <w:rPr>
          <w:rFonts w:ascii="Times New Roman" w:hAnsi="Times New Roman" w:cs="Times New Roman"/>
          <w:sz w:val="24"/>
          <w:szCs w:val="24"/>
        </w:rPr>
        <w:t xml:space="preserve"> of</w:t>
      </w:r>
      <w:r>
        <w:rPr>
          <w:rFonts w:ascii="Times New Roman" w:hAnsi="Times New Roman" w:cs="Times New Roman"/>
          <w:sz w:val="24"/>
          <w:szCs w:val="24"/>
        </w:rPr>
        <w:t xml:space="preserve"> life</w:t>
      </w:r>
      <w:r>
        <w:rPr>
          <w:rFonts w:ascii="Times New Roman" w:hAnsi="Times New Roman" w:cs="Times New Roman"/>
          <w:sz w:val="24"/>
          <w:szCs w:val="24"/>
        </w:rPr>
        <w:t xml:space="preserve"> of</w:t>
      </w:r>
      <w:r>
        <w:rPr>
          <w:rFonts w:ascii="Times New Roman" w:hAnsi="Times New Roman" w:cs="Times New Roman"/>
          <w:sz w:val="24"/>
          <w:szCs w:val="24"/>
        </w:rPr>
        <w:t xml:space="preserve"> elderly</w:t>
      </w:r>
      <w:r>
        <w:rPr>
          <w:rFonts w:ascii="Times New Roman" w:hAnsi="Times New Roman" w:cs="Times New Roman"/>
          <w:sz w:val="24"/>
          <w:szCs w:val="24"/>
        </w:rPr>
        <w:t xml:space="preserve"> pension</w:t>
      </w:r>
      <w:r>
        <w:rPr>
          <w:rFonts w:ascii="Times New Roman" w:hAnsi="Times New Roman" w:cs="Times New Roman"/>
          <w:sz w:val="24"/>
          <w:szCs w:val="24"/>
        </w:rPr>
        <w:t xml:space="preserve"> model</w:t>
      </w:r>
      <w:r>
        <w:rPr>
          <w:rFonts w:ascii="Times New Roman" w:hAnsi="Times New Roman" w:cs="Times New Roman"/>
          <w:sz w:val="24"/>
          <w:szCs w:val="24"/>
        </w:rPr>
        <w:t xml:space="preserve"> based</w:t>
      </w:r>
      <w:r>
        <w:rPr>
          <w:rFonts w:ascii="Times New Roman" w:hAnsi="Times New Roman" w:cs="Times New Roman"/>
          <w:sz w:val="24"/>
          <w:szCs w:val="24"/>
        </w:rPr>
        <w:t xml:space="preserve"> on</w:t>
      </w:r>
      <w:r>
        <w:rPr>
          <w:rFonts w:ascii="Times New Roman" w:hAnsi="Times New Roman" w:cs="Times New Roman"/>
          <w:sz w:val="24"/>
          <w:szCs w:val="24"/>
        </w:rPr>
        <w:t xml:space="preserve"> city</w:t>
      </w:r>
      <w:r>
        <w:rPr>
          <w:rFonts w:ascii="Times New Roman" w:hAnsi="Times New Roman" w:cs="Times New Roman"/>
          <w:sz w:val="24"/>
          <w:szCs w:val="24"/>
        </w:rPr>
        <w:t xml:space="preserve"> community,</w:t>
      </w:r>
      <w:r>
        <w:rPr>
          <w:rFonts w:ascii="Times New Roman" w:hAnsi="Times New Roman" w:cs="Times New Roman"/>
          <w:sz w:val="24"/>
          <w:szCs w:val="24"/>
        </w:rPr>
        <w:t xml:space="preserve"> put</w:t>
      </w:r>
      <w:r>
        <w:rPr>
          <w:rFonts w:ascii="Times New Roman" w:hAnsi="Times New Roman" w:cs="Times New Roman"/>
          <w:sz w:val="24"/>
          <w:szCs w:val="24"/>
        </w:rPr>
        <w:t xml:space="preserve"> forward</w:t>
      </w:r>
      <w:r>
        <w:rPr>
          <w:rFonts w:ascii="Times New Roman" w:hAnsi="Times New Roman" w:cs="Times New Roman"/>
          <w:sz w:val="24"/>
          <w:szCs w:val="24"/>
        </w:rPr>
        <w:t xml:space="preserve"> to</w:t>
      </w:r>
      <w:r>
        <w:rPr>
          <w:rFonts w:ascii="Times New Roman" w:hAnsi="Times New Roman" w:cs="Times New Roman"/>
          <w:sz w:val="24"/>
          <w:szCs w:val="24"/>
        </w:rPr>
        <w:t xml:space="preserve"> perfect</w:t>
      </w:r>
      <w:r>
        <w:rPr>
          <w:rFonts w:ascii="Times New Roman" w:hAnsi="Times New Roman" w:cs="Times New Roman"/>
          <w:sz w:val="24"/>
          <w:szCs w:val="24"/>
        </w:rPr>
        <w:t xml:space="preserve"> the</w:t>
      </w:r>
      <w:r>
        <w:rPr>
          <w:rFonts w:ascii="Times New Roman" w:hAnsi="Times New Roman" w:cs="Times New Roman"/>
          <w:sz w:val="24"/>
          <w:szCs w:val="24"/>
        </w:rPr>
        <w:t xml:space="preserve"> endowment</w:t>
      </w:r>
      <w:r>
        <w:rPr>
          <w:rFonts w:ascii="Times New Roman" w:hAnsi="Times New Roman" w:cs="Times New Roman"/>
          <w:sz w:val="24"/>
          <w:szCs w:val="24"/>
        </w:rPr>
        <w:t xml:space="preserve"> mode,</w:t>
      </w:r>
      <w:r>
        <w:rPr>
          <w:rFonts w:ascii="Times New Roman" w:hAnsi="Times New Roman" w:cs="Times New Roman"/>
          <w:sz w:val="24"/>
          <w:szCs w:val="24"/>
        </w:rPr>
        <w:t xml:space="preserve"> city</w:t>
      </w:r>
      <w:r>
        <w:rPr>
          <w:rFonts w:ascii="Times New Roman" w:hAnsi="Times New Roman" w:cs="Times New Roman"/>
          <w:sz w:val="24"/>
          <w:szCs w:val="24"/>
        </w:rPr>
        <w:t xml:space="preserve"> community</w:t>
      </w:r>
      <w:r>
        <w:rPr>
          <w:rFonts w:ascii="Times New Roman" w:hAnsi="Times New Roman" w:cs="Times New Roman"/>
          <w:sz w:val="24"/>
          <w:szCs w:val="24"/>
        </w:rPr>
        <w:t xml:space="preserve"> to</w:t>
      </w:r>
      <w:r>
        <w:rPr>
          <w:rFonts w:ascii="Times New Roman" w:hAnsi="Times New Roman" w:cs="Times New Roman"/>
          <w:sz w:val="24"/>
          <w:szCs w:val="24"/>
        </w:rPr>
        <w:t xml:space="preserve"> improve</w:t>
      </w:r>
      <w:r>
        <w:rPr>
          <w:rFonts w:ascii="Times New Roman" w:hAnsi="Times New Roman" w:cs="Times New Roman"/>
          <w:sz w:val="24"/>
          <w:szCs w:val="24"/>
        </w:rPr>
        <w:t xml:space="preserve"> the</w:t>
      </w:r>
      <w:r>
        <w:rPr>
          <w:rFonts w:ascii="Times New Roman" w:hAnsi="Times New Roman" w:cs="Times New Roman"/>
          <w:sz w:val="24"/>
          <w:szCs w:val="24"/>
        </w:rPr>
        <w:t xml:space="preserve"> quality</w:t>
      </w:r>
      <w:r>
        <w:rPr>
          <w:rFonts w:ascii="Times New Roman" w:hAnsi="Times New Roman" w:cs="Times New Roman"/>
          <w:sz w:val="24"/>
          <w:szCs w:val="24"/>
        </w:rPr>
        <w:t xml:space="preserve"> of</w:t>
      </w:r>
      <w:r>
        <w:rPr>
          <w:rFonts w:ascii="Times New Roman" w:hAnsi="Times New Roman" w:cs="Times New Roman"/>
          <w:sz w:val="24"/>
          <w:szCs w:val="24"/>
        </w:rPr>
        <w:t xml:space="preserve"> life</w:t>
      </w:r>
      <w:r>
        <w:rPr>
          <w:rFonts w:ascii="Times New Roman" w:hAnsi="Times New Roman" w:cs="Times New Roman"/>
          <w:sz w:val="24"/>
          <w:szCs w:val="24"/>
        </w:rPr>
        <w:t xml:space="preserve"> of</w:t>
      </w:r>
      <w:r>
        <w:rPr>
          <w:rFonts w:ascii="Times New Roman" w:hAnsi="Times New Roman" w:cs="Times New Roman"/>
          <w:sz w:val="24"/>
          <w:szCs w:val="24"/>
        </w:rPr>
        <w:t xml:space="preserve"> the</w:t>
      </w:r>
      <w:r>
        <w:rPr>
          <w:rFonts w:ascii="Times New Roman" w:hAnsi="Times New Roman" w:cs="Times New Roman"/>
          <w:sz w:val="24"/>
          <w:szCs w:val="24"/>
        </w:rPr>
        <w:t xml:space="preserve"> elder's</w:t>
      </w:r>
      <w:r>
        <w:rPr>
          <w:rFonts w:ascii="Times New Roman" w:hAnsi="Times New Roman" w:cs="Times New Roman"/>
          <w:sz w:val="24"/>
          <w:szCs w:val="24"/>
        </w:rPr>
        <w:t xml:space="preserve"> strategy,</w:t>
      </w:r>
      <w:r>
        <w:rPr>
          <w:rFonts w:ascii="Times New Roman" w:hAnsi="Times New Roman" w:cs="Times New Roman"/>
          <w:sz w:val="24"/>
          <w:szCs w:val="24"/>
        </w:rPr>
        <w:t xml:space="preserve"> through</w:t>
      </w:r>
      <w:r>
        <w:rPr>
          <w:rFonts w:ascii="Times New Roman" w:hAnsi="Times New Roman" w:cs="Times New Roman"/>
          <w:sz w:val="24"/>
          <w:szCs w:val="24"/>
        </w:rPr>
        <w:t xml:space="preserve"> this</w:t>
      </w:r>
      <w:r>
        <w:rPr>
          <w:rFonts w:ascii="Times New Roman" w:hAnsi="Times New Roman" w:cs="Times New Roman"/>
          <w:sz w:val="24"/>
          <w:szCs w:val="24"/>
        </w:rPr>
        <w:t xml:space="preserve"> research</w:t>
      </w:r>
      <w:r>
        <w:rPr>
          <w:rFonts w:ascii="Times New Roman" w:hAnsi="Times New Roman" w:cs="Times New Roman"/>
          <w:sz w:val="24"/>
          <w:szCs w:val="24"/>
        </w:rPr>
        <w:t xml:space="preserve"> provide</w:t>
      </w:r>
      <w:r>
        <w:rPr>
          <w:rFonts w:ascii="Times New Roman" w:hAnsi="Times New Roman" w:cs="Times New Roman"/>
          <w:sz w:val="24"/>
          <w:szCs w:val="24"/>
        </w:rPr>
        <w:t xml:space="preserve"> reference</w:t>
      </w:r>
      <w:r>
        <w:rPr>
          <w:rFonts w:ascii="Times New Roman" w:hAnsi="Times New Roman" w:cs="Times New Roman"/>
          <w:sz w:val="24"/>
          <w:szCs w:val="24"/>
        </w:rPr>
        <w:t xml:space="preserve"> for</w:t>
      </w:r>
      <w:r>
        <w:rPr>
          <w:rFonts w:ascii="Times New Roman" w:hAnsi="Times New Roman" w:cs="Times New Roman"/>
          <w:sz w:val="24"/>
          <w:szCs w:val="24"/>
        </w:rPr>
        <w:t xml:space="preserve"> city</w:t>
      </w:r>
      <w:r>
        <w:rPr>
          <w:rFonts w:ascii="Times New Roman" w:hAnsi="Times New Roman" w:cs="Times New Roman"/>
          <w:sz w:val="24"/>
          <w:szCs w:val="24"/>
        </w:rPr>
        <w:t xml:space="preserve"> community</w:t>
      </w:r>
      <w:r>
        <w:rPr>
          <w:rFonts w:ascii="Times New Roman" w:hAnsi="Times New Roman" w:cs="Times New Roman"/>
          <w:sz w:val="24"/>
          <w:szCs w:val="24"/>
        </w:rPr>
        <w:t xml:space="preserve"> endowment</w:t>
      </w:r>
      <w:r>
        <w:rPr>
          <w:rFonts w:ascii="Times New Roman" w:hAnsi="Times New Roman" w:cs="Times New Roman"/>
          <w:sz w:val="24"/>
          <w:szCs w:val="24"/>
        </w:rPr>
        <w:t xml:space="preserve"> service.</w:t>
      </w:r>
    </w:p>
    <w:p>
      <w:pPr>
        <w:spacing w:line="360" w:lineRule="auto"/>
        <w:rPr>
          <w:rFonts w:ascii="Times New Roman" w:hAnsi="Times New Roman" w:cs="Times New Roman"/>
          <w:sz w:val="24"/>
          <w:szCs w:val="24"/>
        </w:rPr>
        <w:sectPr>
          <w:footerReference w:type="default" r:id="rId8"/>
          <w:type w:val="nextPage"/>
          <w:pgSz w:w="11906" w:h="16838"/>
          <w:pgMar w:top="1418" w:right="1418" w:bottom="1134" w:left="1701" w:header="851" w:footer="992" w:gutter="0"/>
          <w:pgNumType w:start="3"/>
          <w:cols w:num="1" w:space="425"/>
          <w:titlePg w:val="0"/>
          <w:docGrid w:type="lines" w:linePitch="312" w:charSpace="0"/>
        </w:sectPr>
      </w:pPr>
      <w:r>
        <w:rPr>
          <w:rFonts w:ascii="Times New Roman" w:hAnsi="Times New Roman" w:cs="Times New Roman"/>
          <w:sz w:val="36"/>
          <w:szCs w:val="36"/>
        </w:rPr>
        <w:t xml:space="preserve">Key words: </w:t>
      </w:r>
      <w:r>
        <w:rPr>
          <w:rFonts w:ascii="Times New Roman" w:hAnsi="Times New Roman" w:cs="Times New Roman"/>
          <w:sz w:val="24"/>
          <w:szCs w:val="24"/>
        </w:rPr>
        <w:t>urban community； pension model； quality of life</w:t>
      </w:r>
    </w:p>
    <w:p>
      <w:pPr>
        <w:spacing w:line="360" w:lineRule="auto"/>
        <w:ind w:firstLine="540" w:firstLineChars="150"/>
        <w:outlineLvl w:val="0"/>
        <w:rPr>
          <w:rFonts w:ascii="黑体" w:eastAsia="黑体" w:hAnsi="黑体"/>
          <w:sz w:val="36"/>
          <w:szCs w:val="36"/>
        </w:rPr>
      </w:pPr>
      <w:bookmarkStart w:id="3" w:name="_Toc481921847"/>
      <w:r>
        <w:rPr>
          <w:rFonts w:ascii="黑体" w:eastAsia="黑体" w:hAnsi="黑体" w:hint="eastAsia"/>
          <w:sz w:val="36"/>
          <w:szCs w:val="36"/>
        </w:rPr>
        <w:t>一、引言</w:t>
      </w:r>
      <w:bookmarkEnd w:id="3"/>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21世纪人□老龄化问题日益严峻，在全球范围内已成为普遍趋势。随着我国人□老龄化的加剧，社会发展伴随着老年人养老需求的不断增加，养老问题已成为我国不容忽视的问题。家庭养老模式仍然是我国城市目前主要的养老形式。但随着社会的发展，人们家庭观念的变化、生活和居住方式的改变，越来越多的子女与老年人分开居住，以及在计划生育政策的影响下，家庭规模日趋小型化，家庭人□结构日益核心化，在众多因素的影响下传统的家庭养老功能逐渐削弱，家庭养老供养人数减少，被供养者人数相对增加，使得家庭养老负担加剧。从社会养老的角度出发，保障机制尚不健全，虽然经过多年的努力我国养老保险覆盖面不断提升，但是面对巨大的养老压力与需求，养老保险水平较低，不能满足多层次的养老需求，在现阶段社会养老尚不能弥补由于传统家庭养老功能削弱而形成的对养老需求的巨大“空缺”，社会养老机制存在诸多问题。我国必须积极的探寻与建立新型的养老模式以弥补传统家庭养老与社会养老的不足，来满足老年人的养老需求。与此同时，与家庭密切联系的社区作为社会养老的重要载体而受到多方关注的。社区养老在一定程度上将家庭养老与社会养老相结合，使得老年人在家，或熟悉的社区环境中享受到多层次的社区养老服务，社区养老加强了对老年人经济支持、社区照顾、老年人精神慰藉、社会参与等多方面的养老服务功能。城市社区养老是一种新型的养老模式，能弥补我国养老体系的不足。</w:t>
      </w:r>
    </w:p>
    <w:p>
      <w:pPr>
        <w:spacing w:line="360" w:lineRule="auto"/>
        <w:ind w:firstLine="540" w:firstLineChars="150"/>
        <w:outlineLvl w:val="0"/>
        <w:rPr>
          <w:rFonts w:ascii="黑体" w:eastAsia="黑体" w:hAnsi="黑体"/>
          <w:sz w:val="36"/>
          <w:szCs w:val="36"/>
        </w:rPr>
      </w:pPr>
      <w:bookmarkStart w:id="4" w:name="_Toc481921848"/>
      <w:r>
        <w:rPr>
          <w:rFonts w:ascii="黑体" w:eastAsia="黑体" w:hAnsi="黑体" w:hint="eastAsia"/>
          <w:sz w:val="36"/>
          <w:szCs w:val="36"/>
        </w:rPr>
        <w:t>二、相关概念界定及理论基础</w:t>
      </w:r>
      <w:bookmarkEnd w:id="4"/>
    </w:p>
    <w:p>
      <w:pPr>
        <w:spacing w:line="360" w:lineRule="auto"/>
        <w:ind w:firstLine="300" w:firstLineChars="100"/>
        <w:outlineLvl w:val="1"/>
        <w:rPr>
          <w:rFonts w:ascii="黑体" w:eastAsia="黑体" w:hAnsi="黑体"/>
          <w:sz w:val="30"/>
          <w:szCs w:val="30"/>
        </w:rPr>
      </w:pPr>
      <w:bookmarkStart w:id="5" w:name="_Toc481921849"/>
      <w:r>
        <w:rPr>
          <w:rFonts w:ascii="黑体" w:eastAsia="黑体" w:hAnsi="黑体" w:hint="eastAsia"/>
          <w:sz w:val="30"/>
          <w:szCs w:val="30"/>
        </w:rPr>
        <w:t>（一）相关概念界定</w:t>
      </w:r>
      <w:bookmarkEnd w:id="5"/>
    </w:p>
    <w:p>
      <w:pPr>
        <w:spacing w:line="360" w:lineRule="auto"/>
        <w:ind w:firstLine="420" w:firstLineChars="150"/>
        <w:outlineLvl w:val="2"/>
        <w:rPr>
          <w:rFonts w:ascii="黑体" w:eastAsia="黑体" w:hAnsi="黑体"/>
          <w:sz w:val="28"/>
          <w:szCs w:val="24"/>
        </w:rPr>
      </w:pPr>
      <w:bookmarkStart w:id="6" w:name="_Toc481921850"/>
      <w:bookmarkStart w:id="7" w:name="_Toc481921674"/>
      <w:r>
        <w:rPr>
          <w:rFonts w:ascii="黑体" w:eastAsia="黑体" w:hAnsi="黑体" w:hint="eastAsia"/>
          <w:sz w:val="28"/>
          <w:szCs w:val="24"/>
        </w:rPr>
        <w:t>1.养老模式</w:t>
      </w:r>
      <w:bookmarkEnd w:id="6"/>
      <w:bookmarkEnd w:id="7"/>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养老模式有三种最基本的方式，即家庭养老、社会养老和自我养老。但是家庭养老和社会养老这两种基本的形式已经被大部分人所认同，也是目前普遍存在的养老模式。简单来讲，养老模式是一种较为固定的养老办法。</w:t>
      </w:r>
    </w:p>
    <w:p>
      <w:pPr>
        <w:spacing w:line="360" w:lineRule="auto"/>
        <w:ind w:firstLine="420" w:firstLineChars="150"/>
        <w:outlineLvl w:val="2"/>
        <w:rPr>
          <w:rFonts w:ascii="黑体" w:eastAsia="黑体" w:hAnsi="黑体"/>
          <w:sz w:val="28"/>
          <w:szCs w:val="24"/>
        </w:rPr>
      </w:pPr>
      <w:bookmarkStart w:id="8" w:name="_Toc481921675"/>
      <w:bookmarkStart w:id="9" w:name="_Toc481921851"/>
      <w:r>
        <w:rPr>
          <w:rFonts w:ascii="黑体" w:eastAsia="黑体" w:hAnsi="黑体" w:hint="eastAsia"/>
          <w:sz w:val="28"/>
          <w:szCs w:val="24"/>
        </w:rPr>
        <w:t>2.社区养老</w:t>
      </w:r>
      <w:bookmarkEnd w:id="8"/>
      <w:bookmarkEnd w:id="9"/>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关于社区养老的涵义，有以下几种解释：</w:t>
      </w:r>
    </w:p>
    <w:p>
      <w:pPr>
        <w:spacing w:line="360" w:lineRule="auto"/>
        <w:ind w:firstLine="480" w:firstLineChars="200"/>
        <w:rPr>
          <w:rFonts w:asciiTheme="minorEastAsia" w:hAnsiTheme="minorEastAsia"/>
          <w:sz w:val="24"/>
          <w:szCs w:val="24"/>
        </w:rPr>
        <w:sectPr>
          <w:footerReference w:type="default" r:id="rId9"/>
          <w:type w:val="nextPage"/>
          <w:pgSz w:w="11906" w:h="16838"/>
          <w:pgMar w:top="1418" w:right="1418" w:bottom="1134" w:left="1701" w:header="851" w:footer="992" w:gutter="0"/>
          <w:pgNumType w:start="4"/>
          <w:cols w:num="1" w:space="425"/>
          <w:titlePg w:val="0"/>
          <w:docGrid w:type="lines" w:linePitch="312" w:charSpace="0"/>
        </w:sectPr>
      </w:pP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梁新颖把社区养老定义为，由社区成立养老服务机构，为那些生活不能自理、或不能完全自理的老人提供有偿又有效的生活服务。这种社区养老服务，可以说，既是家庭养老的一种变形，也是社会养老的一种变通，它能够弥补家庭养老之不足，并充分发挥家庭养老与社会养老二者的长处。</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史柏年认为“老人社区照顾是指由正规服务、社区志愿者及社会支持网络为有需要的老人提供帮助和支援，使他们能在其熟悉的社区环境下维持自己的生活，避免不必要的住院或隔离。”因此，“它是介于老人家庭照顾和老人社会机构照顾之间的一种运用社区资源开展的老人照顾方式。”</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社区养老模式即政府和非政府组织以及其他机构在老人所属的社区建立养老中心，采取非营利组织的运作方式，为社区老人提供家政服务和医疗卫生服务。社区养老模式是以居家老人照料为主，社区养老机构照料为辅。在为居家老人照料服务方面，又以上门服务为主，托老所服务为辅的一种整合社会各界力量的养老模式。</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对社区养老的定义还有很多，不过可以发现他们都达成了一个一致，即社区养老不是家庭养老，而是社区中的在家养老模式。社区养老不是社会养老，而是将社会机构养老中的服务引人社区，实行社区的在家养老。</w:t>
      </w:r>
    </w:p>
    <w:p>
      <w:pPr>
        <w:spacing w:line="360" w:lineRule="auto"/>
        <w:ind w:firstLine="420" w:firstLineChars="150"/>
        <w:outlineLvl w:val="2"/>
        <w:rPr>
          <w:rFonts w:ascii="黑体" w:eastAsia="黑体" w:hAnsi="黑体"/>
          <w:sz w:val="28"/>
          <w:szCs w:val="24"/>
        </w:rPr>
      </w:pPr>
      <w:bookmarkStart w:id="10" w:name="_Toc481921852"/>
      <w:bookmarkStart w:id="11" w:name="_Toc481921676"/>
      <w:r>
        <w:rPr>
          <w:rFonts w:ascii="黑体" w:eastAsia="黑体" w:hAnsi="黑体" w:hint="eastAsia"/>
          <w:sz w:val="28"/>
          <w:szCs w:val="24"/>
        </w:rPr>
        <w:t>3.老年生活质量</w:t>
      </w:r>
      <w:bookmarkEnd w:id="10"/>
      <w:bookmarkEnd w:id="11"/>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老年生活质量是老年人生存和养老需要的各方面情况的综合反映，是建立在一定的物质条件上老年个体对自身及社会环境的认同感。特别突出了老年物质生活与精神生活的统一，因此它是客观与主观的综合评价。客观是实际生活状况和环境的具体表现，可以度量；而主观是凭借自我感受直接评估生活质量，特别是老年人对生活需求的满足程度是通过老年人的心理状态、情绪、意愿等主观感受进行度量</w:t>
      </w:r>
      <w:r>
        <w:rPr>
          <w:rStyle w:val="FootnoteReference"/>
          <w:rFonts w:asciiTheme="minorEastAsia" w:hAnsiTheme="minorEastAsia"/>
          <w:sz w:val="24"/>
          <w:szCs w:val="24"/>
        </w:rPr>
        <w:footnoteReference w:id="2"/>
      </w:r>
      <w:r>
        <w:rPr>
          <w:rFonts w:asciiTheme="minorEastAsia" w:hAnsiTheme="minorEastAsia" w:hint="eastAsia"/>
          <w:sz w:val="24"/>
          <w:szCs w:val="24"/>
        </w:rPr>
        <w:t>。</w:t>
      </w:r>
    </w:p>
    <w:p>
      <w:pPr>
        <w:spacing w:line="360" w:lineRule="auto"/>
        <w:ind w:firstLine="300" w:firstLineChars="100"/>
        <w:outlineLvl w:val="1"/>
        <w:rPr>
          <w:rFonts w:ascii="黑体" w:eastAsia="黑体" w:hAnsi="黑体"/>
          <w:sz w:val="30"/>
          <w:szCs w:val="30"/>
        </w:rPr>
      </w:pPr>
      <w:bookmarkStart w:id="12" w:name="_Toc481921853"/>
      <w:r>
        <w:rPr>
          <w:rFonts w:ascii="黑体" w:eastAsia="黑体" w:hAnsi="黑体" w:hint="eastAsia"/>
          <w:sz w:val="30"/>
          <w:szCs w:val="30"/>
        </w:rPr>
        <w:t>（二）理论基础</w:t>
      </w:r>
      <w:bookmarkEnd w:id="12"/>
    </w:p>
    <w:p>
      <w:pPr>
        <w:spacing w:line="360" w:lineRule="auto"/>
        <w:ind w:firstLine="420" w:firstLineChars="150"/>
        <w:outlineLvl w:val="2"/>
        <w:rPr>
          <w:rFonts w:ascii="黑体" w:eastAsia="黑体" w:hAnsi="黑体"/>
          <w:sz w:val="28"/>
          <w:szCs w:val="24"/>
        </w:rPr>
      </w:pPr>
      <w:bookmarkStart w:id="13" w:name="_Toc481921678"/>
      <w:bookmarkStart w:id="14" w:name="_Toc481921854"/>
      <w:r>
        <w:rPr>
          <w:rFonts w:ascii="黑体" w:eastAsia="黑体" w:hAnsi="黑体" w:hint="eastAsia"/>
          <w:sz w:val="28"/>
          <w:szCs w:val="24"/>
        </w:rPr>
        <w:t>1.社区照顾理论</w:t>
      </w:r>
      <w:bookmarkEnd w:id="13"/>
      <w:bookmarkEnd w:id="14"/>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“社区照顾”(community</w:t>
      </w:r>
      <w:r>
        <w:rPr>
          <w:rFonts w:asciiTheme="minorEastAsia" w:hAnsiTheme="minorEastAsia"/>
          <w:sz w:val="24"/>
          <w:szCs w:val="24"/>
        </w:rPr>
        <w:br/>
      </w:r>
      <w:r>
        <w:rPr>
          <w:rFonts w:asciiTheme="minorEastAsia" w:hAnsiTheme="minor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https://d.book118.com/815300301244011124</w:t>
        </w:r>
      </w:hyperlink>
    </w:p>
    <w:p>
      <w:pPr>
        <w:spacing w:line="360" w:lineRule="auto"/>
        <w:ind w:firstLine="480" w:firstLineChars="200"/>
        <w:rPr>
          <w:rFonts w:asciiTheme="minorEastAsia" w:hAnsiTheme="minorEastAsia"/>
          <w:sz w:val="24"/>
          <w:szCs w:val="24"/>
        </w:rPr>
      </w:pPr>
    </w:p>
    <w:sectPr>
      <w:footerReference w:type="default" r:id="rId11"/>
      <w:type w:val="nextPage"/>
      <w:pgSz w:w="11906" w:h="16838"/>
      <w:pgMar w:top="1418" w:right="1418" w:bottom="1134" w:left="1701"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23535125"/>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37241658"/>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3637720"/>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00292232"/>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82221730"/>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FootnoteText"/>
      </w:pPr>
      <w:r>
        <w:rPr>
          <w:rStyle w:val="FootnoteReference"/>
        </w:rPr>
        <w:footnoteRef/>
      </w:r>
      <w:r>
        <w:t xml:space="preserve"> </w:t>
      </w:r>
      <w:r>
        <w:rPr>
          <w:rFonts w:hint="eastAsia"/>
        </w:rPr>
        <w:t>刘渝琳.养老质量测评——中国老年人口生活质量评价与保障制度</w:t>
      </w:r>
      <w:r>
        <w:rPr>
          <w:rFonts w:asciiTheme="minorEastAsia" w:hAnsiTheme="minorEastAsia" w:hint="eastAsia"/>
        </w:rPr>
        <w:t>[M]</w:t>
      </w:r>
      <w:r>
        <w:rPr>
          <w:rFonts w:hint="eastAsia"/>
        </w:rPr>
        <w:t>.北京:商务印书馆，2007：47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6E1"/>
    <w:rsid w:val="00042CF1"/>
    <w:rsid w:val="00067335"/>
    <w:rsid w:val="001841C2"/>
    <w:rsid w:val="001A1638"/>
    <w:rsid w:val="00236586"/>
    <w:rsid w:val="0023778C"/>
    <w:rsid w:val="00241194"/>
    <w:rsid w:val="00285AF6"/>
    <w:rsid w:val="002D40D8"/>
    <w:rsid w:val="003477CE"/>
    <w:rsid w:val="00354F49"/>
    <w:rsid w:val="00392DB3"/>
    <w:rsid w:val="003A0A46"/>
    <w:rsid w:val="003A0ABD"/>
    <w:rsid w:val="003A372F"/>
    <w:rsid w:val="00404BAE"/>
    <w:rsid w:val="0043534E"/>
    <w:rsid w:val="00523891"/>
    <w:rsid w:val="005D08BC"/>
    <w:rsid w:val="005F16E1"/>
    <w:rsid w:val="00600AD8"/>
    <w:rsid w:val="006507B1"/>
    <w:rsid w:val="00655755"/>
    <w:rsid w:val="0066570B"/>
    <w:rsid w:val="006829C7"/>
    <w:rsid w:val="00717939"/>
    <w:rsid w:val="00975759"/>
    <w:rsid w:val="009A057D"/>
    <w:rsid w:val="009D0D8A"/>
    <w:rsid w:val="00A33149"/>
    <w:rsid w:val="00A463F7"/>
    <w:rsid w:val="00A576F9"/>
    <w:rsid w:val="00A70C5B"/>
    <w:rsid w:val="00B07BC2"/>
    <w:rsid w:val="00B137A8"/>
    <w:rsid w:val="00B519CB"/>
    <w:rsid w:val="00B82706"/>
    <w:rsid w:val="00BA271B"/>
    <w:rsid w:val="00BD482A"/>
    <w:rsid w:val="00BE44E8"/>
    <w:rsid w:val="00C461B6"/>
    <w:rsid w:val="00CC2DEF"/>
    <w:rsid w:val="00D26C44"/>
    <w:rsid w:val="00D348B8"/>
    <w:rsid w:val="00D52153"/>
    <w:rsid w:val="00DA69AC"/>
    <w:rsid w:val="00E25224"/>
    <w:rsid w:val="00E4537D"/>
    <w:rsid w:val="00E65D11"/>
    <w:rsid w:val="00E87F54"/>
    <w:rsid w:val="00E90337"/>
    <w:rsid w:val="00EC26CB"/>
    <w:rsid w:val="00F74239"/>
    <w:rsid w:val="00F9140D"/>
    <w:rsid w:val="00F970F7"/>
    <w:rsid w:val="00FB322E"/>
    <w:rsid w:val="55B75CCE"/>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outlineLvl w:val="0"/>
    </w:pPr>
    <w:rPr>
      <w:b/>
      <w:bCs/>
      <w:kern w:val="44"/>
      <w:sz w:val="44"/>
      <w:szCs w:val="44"/>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0"/>
    <w:uiPriority w:val="99"/>
    <w:semiHidden/>
    <w:unhideWhenUsed/>
    <w:rPr>
      <w:sz w:val="18"/>
      <w:szCs w:val="18"/>
    </w:rPr>
  </w:style>
  <w:style w:type="paragraph" w:styleId="Footer">
    <w:name w:val="footer"/>
    <w:basedOn w:val="Normal"/>
    <w:link w:val="Char2"/>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FootnoteText">
    <w:name w:val="footnote text"/>
    <w:basedOn w:val="Normal"/>
    <w:link w:val="Char"/>
    <w:uiPriority w:val="99"/>
    <w:semiHidden/>
    <w:unhideWhenUsed/>
    <w:pPr>
      <w:snapToGrid w:val="0"/>
      <w:jc w:val="left"/>
    </w:pPr>
    <w:rPr>
      <w:sz w:val="18"/>
      <w:szCs w:val="18"/>
    </w:rPr>
  </w:style>
  <w:style w:type="paragraph" w:styleId="TOC2">
    <w:name w:val="toc 2"/>
    <w:basedOn w:val="Normal"/>
    <w:next w:val="Normal"/>
    <w:autoRedefine/>
    <w:uiPriority w:val="39"/>
    <w:unhideWhenUsed/>
    <w:pPr>
      <w:ind w:left="420" w:leftChars="200"/>
    </w:p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FootnoteReference">
    <w:name w:val="footnote reference"/>
    <w:basedOn w:val="DefaultParagraphFont"/>
    <w:uiPriority w:val="99"/>
    <w:semiHidden/>
    <w:unhideWhenUsed/>
    <w:rPr>
      <w:vertAlign w:val="superscript"/>
    </w:rPr>
  </w:style>
  <w:style w:type="character" w:customStyle="1" w:styleId="Char">
    <w:name w:val="脚注文本 Char"/>
    <w:basedOn w:val="DefaultParagraphFont"/>
    <w:link w:val="FootnoteText"/>
    <w:uiPriority w:val="99"/>
    <w:semiHidden/>
    <w:rPr>
      <w:sz w:val="18"/>
      <w:szCs w:val="18"/>
    </w:rPr>
  </w:style>
  <w:style w:type="character" w:customStyle="1" w:styleId="Char0">
    <w:name w:val="批注框文本 Char"/>
    <w:basedOn w:val="DefaultParagraphFont"/>
    <w:link w:val="BalloonText"/>
    <w:autoRedefine/>
    <w:uiPriority w:val="99"/>
    <w:semiHidden/>
    <w:qFormat/>
    <w:rPr>
      <w:sz w:val="18"/>
      <w:szCs w:val="18"/>
    </w:rPr>
  </w:style>
  <w:style w:type="character" w:customStyle="1" w:styleId="1Char">
    <w:name w:val="标题 1 Char"/>
    <w:basedOn w:val="DefaultParagraphFont"/>
    <w:link w:val="Heading1"/>
    <w:autoRedefine/>
    <w:uiPriority w:val="9"/>
    <w:qFormat/>
    <w:rPr>
      <w:b/>
      <w:bCs/>
      <w:kern w:val="44"/>
      <w:sz w:val="44"/>
      <w:szCs w:val="44"/>
    </w:rPr>
  </w:style>
  <w:style w:type="paragraph" w:customStyle="1" w:styleId="TOCHeading">
    <w:name w:val="TOC Heading"/>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Char1">
    <w:name w:val="页眉 Char"/>
    <w:basedOn w:val="DefaultParagraphFont"/>
    <w:link w:val="Header"/>
    <w:autoRedefine/>
    <w:uiPriority w:val="99"/>
    <w:qFormat/>
    <w:rPr>
      <w:sz w:val="18"/>
      <w:szCs w:val="18"/>
    </w:rPr>
  </w:style>
  <w:style w:type="character" w:customStyle="1" w:styleId="Char2">
    <w:name w:val="页脚 Char"/>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d.book118.com/815300301244011124" TargetMode="External" /><Relationship Id="rId11" Type="http://schemas.openxmlformats.org/officeDocument/2006/relationships/footer" Target="footer5.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E75548-B29C-4F54-885F-2FC9E40FCEC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2535</Words>
  <Characters>14456</Characters>
  <Application>Microsoft Office Word</Application>
  <DocSecurity>0</DocSecurity>
  <Lines>120</Lines>
  <Paragraphs>33</Paragraphs>
  <ScaleCrop>false</ScaleCrop>
  <Company/>
  <LinksUpToDate>false</LinksUpToDate>
  <CharactersWithSpaces>16958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ABEEL</cp:lastModifiedBy>
  <cp:revision>26</cp:revision>
  <dcterms:created xsi:type="dcterms:W3CDTF">2017-05-07T02:22:00Z</dcterms:created>
  <dcterms:modified xsi:type="dcterms:W3CDTF">2024-03-19T03:11:33Z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006E545D176B4A5498DC4B94A0CAEB36_13</vt:lpwstr>
  </property>
  <property fmtid="{D5CDD505-2E9C-101B-9397-08002B2CF9AE}" pid="3" name="KSOProductBuildVer">
    <vt:lpwstr>2052-12.1.0.16388</vt:lpwstr>
  </property>
</Properties>
</file>