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脱硝催化剂项目计划设计方案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54" w:history="1">
        <w:r>
          <w:rPr>
            <w:rFonts w:ascii="仿宋" w:eastAsia="仿宋" w:hAnsi="仿宋" w:cs="仿宋" w:hint="eastAsia"/>
            <w:lang w:eastAsia="zh-CN"/>
          </w:rPr>
          <w:t>概论</w:t>
        </w:r>
        <w:r>
          <w:tab/>
        </w:r>
        <w:r>
          <w:fldChar w:fldCharType="begin"/>
        </w:r>
        <w:r>
          <w:instrText xml:space="preserve"> PAGEREF _Toc18954 \h </w:instrText>
        </w:r>
        <w:r>
          <w:fldChar w:fldCharType="separate"/>
        </w:r>
        <w:r>
          <w:t>3</w:t>
        </w:r>
        <w:r>
          <w:fldChar w:fldCharType="end"/>
        </w:r>
      </w:hyperlink>
    </w:p>
    <w:p>
      <w:pPr>
        <w:pStyle w:val="TOC1"/>
        <w:tabs>
          <w:tab w:val="right" w:leader="dot" w:pos="8306"/>
        </w:tabs>
      </w:pPr>
      <w:hyperlink w:anchor="_Toc26172" w:history="1">
        <w:r>
          <w:rPr>
            <w:rFonts w:ascii="仿宋" w:eastAsia="仿宋" w:hAnsi="仿宋" w:cs="仿宋" w:hint="eastAsia"/>
            <w:lang w:eastAsia="zh-CN"/>
          </w:rPr>
          <w:t>一、产品规划分析</w:t>
        </w:r>
        <w:r>
          <w:tab/>
        </w:r>
        <w:r>
          <w:fldChar w:fldCharType="begin"/>
        </w:r>
        <w:r>
          <w:instrText xml:space="preserve"> PAGEREF _Toc26172 \h </w:instrText>
        </w:r>
        <w:r>
          <w:fldChar w:fldCharType="separate"/>
        </w:r>
        <w:r>
          <w:t>3</w:t>
        </w:r>
        <w:r>
          <w:fldChar w:fldCharType="end"/>
        </w:r>
      </w:hyperlink>
    </w:p>
    <w:p>
      <w:pPr>
        <w:pStyle w:val="TOC2"/>
        <w:tabs>
          <w:tab w:val="right" w:leader="dot" w:pos="8306"/>
        </w:tabs>
      </w:pPr>
      <w:hyperlink w:anchor="_Toc1765" w:history="1">
        <w:r>
          <w:rPr>
            <w:rFonts w:ascii="仿宋" w:eastAsia="仿宋" w:hAnsi="仿宋" w:cs="仿宋" w:hint="eastAsia"/>
            <w:lang w:eastAsia="zh-CN"/>
          </w:rPr>
          <w:t>(一)、产品规划</w:t>
        </w:r>
        <w:r>
          <w:tab/>
        </w:r>
        <w:r>
          <w:fldChar w:fldCharType="begin"/>
        </w:r>
        <w:r>
          <w:instrText xml:space="preserve"> PAGEREF _Toc1765 \h </w:instrText>
        </w:r>
        <w:r>
          <w:fldChar w:fldCharType="separate"/>
        </w:r>
        <w:r>
          <w:t>3</w:t>
        </w:r>
        <w:r>
          <w:fldChar w:fldCharType="end"/>
        </w:r>
      </w:hyperlink>
    </w:p>
    <w:p>
      <w:pPr>
        <w:pStyle w:val="TOC2"/>
        <w:tabs>
          <w:tab w:val="right" w:leader="dot" w:pos="8306"/>
        </w:tabs>
      </w:pPr>
      <w:hyperlink w:anchor="_Toc4317" w:history="1">
        <w:r>
          <w:rPr>
            <w:rFonts w:ascii="仿宋" w:eastAsia="仿宋" w:hAnsi="仿宋" w:cs="仿宋" w:hint="eastAsia"/>
            <w:lang w:eastAsia="zh-CN"/>
          </w:rPr>
          <w:t>(二)、建设规模</w:t>
        </w:r>
        <w:r>
          <w:tab/>
        </w:r>
        <w:r>
          <w:fldChar w:fldCharType="begin"/>
        </w:r>
        <w:r>
          <w:instrText xml:space="preserve"> PAGEREF _Toc4317 \h </w:instrText>
        </w:r>
        <w:r>
          <w:fldChar w:fldCharType="separate"/>
        </w:r>
        <w:r>
          <w:t>4</w:t>
        </w:r>
        <w:r>
          <w:fldChar w:fldCharType="end"/>
        </w:r>
      </w:hyperlink>
    </w:p>
    <w:p>
      <w:pPr>
        <w:pStyle w:val="TOC1"/>
        <w:tabs>
          <w:tab w:val="right" w:leader="dot" w:pos="8306"/>
        </w:tabs>
      </w:pPr>
      <w:hyperlink w:anchor="_Toc3087" w:history="1">
        <w:r>
          <w:rPr>
            <w:rFonts w:ascii="仿宋" w:eastAsia="仿宋" w:hAnsi="仿宋" w:cs="仿宋" w:hint="eastAsia"/>
            <w:lang w:eastAsia="zh-CN"/>
          </w:rPr>
          <w:t>二、脱硝催化剂项目可持续发展</w:t>
        </w:r>
        <w:r>
          <w:tab/>
        </w:r>
        <w:r>
          <w:fldChar w:fldCharType="begin"/>
        </w:r>
        <w:r>
          <w:instrText xml:space="preserve"> PAGEREF _Toc3087 \h </w:instrText>
        </w:r>
        <w:r>
          <w:fldChar w:fldCharType="separate"/>
        </w:r>
        <w:r>
          <w:t>5</w:t>
        </w:r>
        <w:r>
          <w:fldChar w:fldCharType="end"/>
        </w:r>
      </w:hyperlink>
    </w:p>
    <w:p>
      <w:pPr>
        <w:pStyle w:val="TOC2"/>
        <w:tabs>
          <w:tab w:val="right" w:leader="dot" w:pos="8306"/>
        </w:tabs>
      </w:pPr>
      <w:hyperlink w:anchor="_Toc30815" w:history="1">
        <w:r>
          <w:rPr>
            <w:rFonts w:ascii="仿宋" w:eastAsia="仿宋" w:hAnsi="仿宋" w:cs="仿宋" w:hint="eastAsia"/>
            <w:lang w:eastAsia="zh-CN"/>
          </w:rPr>
          <w:t>(一)、可持续战略与实践</w:t>
        </w:r>
        <w:r>
          <w:tab/>
        </w:r>
        <w:r>
          <w:fldChar w:fldCharType="begin"/>
        </w:r>
        <w:r>
          <w:instrText xml:space="preserve"> PAGEREF _Toc30815 \h </w:instrText>
        </w:r>
        <w:r>
          <w:fldChar w:fldCharType="separate"/>
        </w:r>
        <w:r>
          <w:t>5</w:t>
        </w:r>
        <w:r>
          <w:fldChar w:fldCharType="end"/>
        </w:r>
      </w:hyperlink>
    </w:p>
    <w:p>
      <w:pPr>
        <w:pStyle w:val="TOC2"/>
        <w:tabs>
          <w:tab w:val="right" w:leader="dot" w:pos="8306"/>
        </w:tabs>
      </w:pPr>
      <w:hyperlink w:anchor="_Toc24108" w:history="1">
        <w:r>
          <w:rPr>
            <w:rFonts w:ascii="仿宋" w:eastAsia="仿宋" w:hAnsi="仿宋" w:cs="仿宋" w:hint="eastAsia"/>
            <w:lang w:eastAsia="zh-CN"/>
          </w:rPr>
          <w:t>(二)、环保与社会责任</w:t>
        </w:r>
        <w:r>
          <w:tab/>
        </w:r>
        <w:r>
          <w:fldChar w:fldCharType="begin"/>
        </w:r>
        <w:r>
          <w:instrText xml:space="preserve"> PAGEREF _Toc24108 \h </w:instrText>
        </w:r>
        <w:r>
          <w:fldChar w:fldCharType="separate"/>
        </w:r>
        <w:r>
          <w:t>6</w:t>
        </w:r>
        <w:r>
          <w:fldChar w:fldCharType="end"/>
        </w:r>
      </w:hyperlink>
    </w:p>
    <w:p>
      <w:pPr>
        <w:pStyle w:val="TOC1"/>
        <w:tabs>
          <w:tab w:val="right" w:leader="dot" w:pos="8306"/>
        </w:tabs>
      </w:pPr>
      <w:hyperlink w:anchor="_Toc7997" w:history="1">
        <w:r>
          <w:rPr>
            <w:rFonts w:ascii="仿宋" w:eastAsia="仿宋" w:hAnsi="仿宋" w:cs="仿宋" w:hint="eastAsia"/>
            <w:lang w:eastAsia="zh-CN"/>
          </w:rPr>
          <w:t>三、脱硝催化剂项目危机管理</w:t>
        </w:r>
        <w:r>
          <w:tab/>
        </w:r>
        <w:r>
          <w:fldChar w:fldCharType="begin"/>
        </w:r>
        <w:r>
          <w:instrText xml:space="preserve"> PAGEREF _Toc7997 \h </w:instrText>
        </w:r>
        <w:r>
          <w:fldChar w:fldCharType="separate"/>
        </w:r>
        <w:r>
          <w:t>6</w:t>
        </w:r>
        <w:r>
          <w:fldChar w:fldCharType="end"/>
        </w:r>
      </w:hyperlink>
    </w:p>
    <w:p>
      <w:pPr>
        <w:pStyle w:val="TOC2"/>
        <w:tabs>
          <w:tab w:val="right" w:leader="dot" w:pos="8306"/>
        </w:tabs>
      </w:pPr>
      <w:hyperlink w:anchor="_Toc27791" w:history="1">
        <w:r>
          <w:rPr>
            <w:rFonts w:ascii="仿宋" w:eastAsia="仿宋" w:hAnsi="仿宋" w:cs="仿宋" w:hint="eastAsia"/>
            <w:lang w:eastAsia="zh-CN"/>
          </w:rPr>
          <w:t>(一)、危机预警与识别</w:t>
        </w:r>
        <w:r>
          <w:tab/>
        </w:r>
        <w:r>
          <w:fldChar w:fldCharType="begin"/>
        </w:r>
        <w:r>
          <w:instrText xml:space="preserve"> PAGEREF _Toc27791 \h </w:instrText>
        </w:r>
        <w:r>
          <w:fldChar w:fldCharType="separate"/>
        </w:r>
        <w:r>
          <w:t>6</w:t>
        </w:r>
        <w:r>
          <w:fldChar w:fldCharType="end"/>
        </w:r>
      </w:hyperlink>
    </w:p>
    <w:p>
      <w:pPr>
        <w:pStyle w:val="TOC2"/>
        <w:tabs>
          <w:tab w:val="right" w:leader="dot" w:pos="8306"/>
        </w:tabs>
      </w:pPr>
      <w:hyperlink w:anchor="_Toc23357" w:history="1">
        <w:r>
          <w:rPr>
            <w:rFonts w:ascii="仿宋" w:eastAsia="仿宋" w:hAnsi="仿宋" w:cs="仿宋" w:hint="eastAsia"/>
            <w:lang w:eastAsia="zh-CN"/>
          </w:rPr>
          <w:t>(二)、危机应对与恢复</w:t>
        </w:r>
        <w:r>
          <w:tab/>
        </w:r>
        <w:r>
          <w:fldChar w:fldCharType="begin"/>
        </w:r>
        <w:r>
          <w:instrText xml:space="preserve"> PAGEREF _Toc23357 \h </w:instrText>
        </w:r>
        <w:r>
          <w:fldChar w:fldCharType="separate"/>
        </w:r>
        <w:r>
          <w:t>7</w:t>
        </w:r>
        <w:r>
          <w:fldChar w:fldCharType="end"/>
        </w:r>
      </w:hyperlink>
    </w:p>
    <w:p>
      <w:pPr>
        <w:pStyle w:val="TOC1"/>
        <w:tabs>
          <w:tab w:val="right" w:leader="dot" w:pos="8306"/>
        </w:tabs>
      </w:pPr>
      <w:hyperlink w:anchor="_Toc12985" w:history="1">
        <w:r>
          <w:rPr>
            <w:rFonts w:ascii="仿宋" w:eastAsia="仿宋" w:hAnsi="仿宋" w:cs="仿宋" w:hint="eastAsia"/>
            <w:lang w:eastAsia="zh-CN"/>
          </w:rPr>
          <w:t>四、脱硝催化剂项目概论</w:t>
        </w:r>
        <w:r>
          <w:tab/>
        </w:r>
        <w:r>
          <w:fldChar w:fldCharType="begin"/>
        </w:r>
        <w:r>
          <w:instrText xml:space="preserve"> PAGEREF _Toc12985 \h </w:instrText>
        </w:r>
        <w:r>
          <w:fldChar w:fldCharType="separate"/>
        </w:r>
        <w:r>
          <w:t>9</w:t>
        </w:r>
        <w:r>
          <w:fldChar w:fldCharType="end"/>
        </w:r>
      </w:hyperlink>
    </w:p>
    <w:p>
      <w:pPr>
        <w:pStyle w:val="TOC2"/>
        <w:tabs>
          <w:tab w:val="right" w:leader="dot" w:pos="8306"/>
        </w:tabs>
      </w:pPr>
      <w:hyperlink w:anchor="_Toc2911" w:history="1">
        <w:r>
          <w:rPr>
            <w:rFonts w:ascii="仿宋" w:eastAsia="仿宋" w:hAnsi="仿宋" w:cs="仿宋" w:hint="eastAsia"/>
            <w:lang w:eastAsia="zh-CN"/>
          </w:rPr>
          <w:t>(一)、脱硝催化剂项目概况</w:t>
        </w:r>
        <w:r>
          <w:tab/>
        </w:r>
        <w:r>
          <w:fldChar w:fldCharType="begin"/>
        </w:r>
        <w:r>
          <w:instrText xml:space="preserve"> PAGEREF _Toc2911 \h </w:instrText>
        </w:r>
        <w:r>
          <w:fldChar w:fldCharType="separate"/>
        </w:r>
        <w:r>
          <w:t>9</w:t>
        </w:r>
        <w:r>
          <w:fldChar w:fldCharType="end"/>
        </w:r>
      </w:hyperlink>
    </w:p>
    <w:p>
      <w:pPr>
        <w:pStyle w:val="TOC2"/>
        <w:tabs>
          <w:tab w:val="right" w:leader="dot" w:pos="8306"/>
        </w:tabs>
      </w:pPr>
      <w:hyperlink w:anchor="_Toc18186" w:history="1">
        <w:r>
          <w:rPr>
            <w:rFonts w:ascii="仿宋" w:eastAsia="仿宋" w:hAnsi="仿宋" w:cs="仿宋" w:hint="eastAsia"/>
            <w:lang w:eastAsia="zh-CN"/>
          </w:rPr>
          <w:t>(二)、脱硝催化剂项目目标</w:t>
        </w:r>
        <w:r>
          <w:tab/>
        </w:r>
        <w:r>
          <w:fldChar w:fldCharType="begin"/>
        </w:r>
        <w:r>
          <w:instrText xml:space="preserve"> PAGEREF _Toc18186 \h </w:instrText>
        </w:r>
        <w:r>
          <w:fldChar w:fldCharType="separate"/>
        </w:r>
        <w:r>
          <w:t>11</w:t>
        </w:r>
        <w:r>
          <w:fldChar w:fldCharType="end"/>
        </w:r>
      </w:hyperlink>
    </w:p>
    <w:p>
      <w:pPr>
        <w:pStyle w:val="TOC2"/>
        <w:tabs>
          <w:tab w:val="right" w:leader="dot" w:pos="8306"/>
        </w:tabs>
      </w:pPr>
      <w:hyperlink w:anchor="_Toc23141" w:history="1">
        <w:r>
          <w:rPr>
            <w:rFonts w:ascii="仿宋" w:eastAsia="仿宋" w:hAnsi="仿宋" w:cs="仿宋" w:hint="eastAsia"/>
            <w:lang w:eastAsia="zh-CN"/>
          </w:rPr>
          <w:t>(三)、脱硝催化剂项目提出的理由</w:t>
        </w:r>
        <w:r>
          <w:tab/>
        </w:r>
        <w:r>
          <w:fldChar w:fldCharType="begin"/>
        </w:r>
        <w:r>
          <w:instrText xml:space="preserve"> PAGEREF _Toc23141 \h </w:instrText>
        </w:r>
        <w:r>
          <w:fldChar w:fldCharType="separate"/>
        </w:r>
        <w:r>
          <w:t>12</w:t>
        </w:r>
        <w:r>
          <w:fldChar w:fldCharType="end"/>
        </w:r>
      </w:hyperlink>
    </w:p>
    <w:p>
      <w:pPr>
        <w:pStyle w:val="TOC2"/>
        <w:tabs>
          <w:tab w:val="right" w:leader="dot" w:pos="8306"/>
        </w:tabs>
      </w:pPr>
      <w:hyperlink w:anchor="_Toc18351" w:history="1">
        <w:r>
          <w:rPr>
            <w:rFonts w:ascii="仿宋" w:eastAsia="仿宋" w:hAnsi="仿宋" w:cs="仿宋" w:hint="eastAsia"/>
            <w:lang w:eastAsia="zh-CN"/>
          </w:rPr>
          <w:t>(四)、脱硝催化剂项目意义</w:t>
        </w:r>
        <w:r>
          <w:tab/>
        </w:r>
        <w:r>
          <w:fldChar w:fldCharType="begin"/>
        </w:r>
        <w:r>
          <w:instrText xml:space="preserve"> PAGEREF _Toc18351 \h </w:instrText>
        </w:r>
        <w:r>
          <w:fldChar w:fldCharType="separate"/>
        </w:r>
        <w:r>
          <w:t>14</w:t>
        </w:r>
        <w:r>
          <w:fldChar w:fldCharType="end"/>
        </w:r>
      </w:hyperlink>
    </w:p>
    <w:p>
      <w:pPr>
        <w:pStyle w:val="TOC2"/>
        <w:tabs>
          <w:tab w:val="right" w:leader="dot" w:pos="8306"/>
        </w:tabs>
      </w:pPr>
      <w:hyperlink w:anchor="_Toc23148" w:history="1">
        <w:r>
          <w:rPr>
            <w:rFonts w:ascii="仿宋" w:eastAsia="仿宋" w:hAnsi="仿宋" w:cs="仿宋" w:hint="eastAsia"/>
            <w:lang w:eastAsia="zh-CN"/>
          </w:rPr>
          <w:t>(五)、脱硝催化剂项目背景</w:t>
        </w:r>
        <w:r>
          <w:tab/>
        </w:r>
        <w:r>
          <w:fldChar w:fldCharType="begin"/>
        </w:r>
        <w:r>
          <w:instrText xml:space="preserve"> PAGEREF _Toc23148 \h </w:instrText>
        </w:r>
        <w:r>
          <w:fldChar w:fldCharType="separate"/>
        </w:r>
        <w:r>
          <w:t>15</w:t>
        </w:r>
        <w:r>
          <w:fldChar w:fldCharType="end"/>
        </w:r>
      </w:hyperlink>
    </w:p>
    <w:p>
      <w:pPr>
        <w:pStyle w:val="TOC1"/>
        <w:tabs>
          <w:tab w:val="right" w:leader="dot" w:pos="8306"/>
        </w:tabs>
      </w:pPr>
      <w:hyperlink w:anchor="_Toc24662" w:history="1">
        <w:r>
          <w:rPr>
            <w:rFonts w:ascii="仿宋" w:eastAsia="仿宋" w:hAnsi="仿宋" w:cs="仿宋" w:hint="eastAsia"/>
            <w:lang w:eastAsia="zh-CN"/>
          </w:rPr>
          <w:t>五、脱硝催化剂项目土建工程</w:t>
        </w:r>
        <w:r>
          <w:tab/>
        </w:r>
        <w:r>
          <w:fldChar w:fldCharType="begin"/>
        </w:r>
        <w:r>
          <w:instrText xml:space="preserve"> PAGEREF _Toc24662 \h </w:instrText>
        </w:r>
        <w:r>
          <w:fldChar w:fldCharType="separate"/>
        </w:r>
        <w:r>
          <w:t>15</w:t>
        </w:r>
        <w:r>
          <w:fldChar w:fldCharType="end"/>
        </w:r>
      </w:hyperlink>
    </w:p>
    <w:p>
      <w:pPr>
        <w:pStyle w:val="TOC2"/>
        <w:tabs>
          <w:tab w:val="right" w:leader="dot" w:pos="8306"/>
        </w:tabs>
      </w:pPr>
      <w:hyperlink w:anchor="_Toc27240" w:history="1">
        <w:r>
          <w:rPr>
            <w:rFonts w:ascii="仿宋" w:eastAsia="仿宋" w:hAnsi="仿宋" w:cs="仿宋" w:hint="eastAsia"/>
            <w:lang w:eastAsia="zh-CN"/>
          </w:rPr>
          <w:t>(一)、建筑工程设计原则</w:t>
        </w:r>
        <w:r>
          <w:tab/>
        </w:r>
        <w:r>
          <w:fldChar w:fldCharType="begin"/>
        </w:r>
        <w:r>
          <w:instrText xml:space="preserve"> PAGEREF _Toc27240 \h </w:instrText>
        </w:r>
        <w:r>
          <w:fldChar w:fldCharType="separate"/>
        </w:r>
        <w:r>
          <w:t>15</w:t>
        </w:r>
        <w:r>
          <w:fldChar w:fldCharType="end"/>
        </w:r>
      </w:hyperlink>
    </w:p>
    <w:p>
      <w:pPr>
        <w:pStyle w:val="TOC2"/>
        <w:tabs>
          <w:tab w:val="right" w:leader="dot" w:pos="8306"/>
        </w:tabs>
      </w:pPr>
      <w:hyperlink w:anchor="_Toc13872" w:history="1">
        <w:r>
          <w:rPr>
            <w:rFonts w:ascii="仿宋" w:eastAsia="仿宋" w:hAnsi="仿宋" w:cs="仿宋" w:hint="eastAsia"/>
            <w:lang w:eastAsia="zh-CN"/>
          </w:rPr>
          <w:t>(二)、土建工程设计年限及安全等级</w:t>
        </w:r>
        <w:r>
          <w:tab/>
        </w:r>
        <w:r>
          <w:fldChar w:fldCharType="begin"/>
        </w:r>
        <w:r>
          <w:instrText xml:space="preserve"> PAGEREF _Toc13872 \h </w:instrText>
        </w:r>
        <w:r>
          <w:fldChar w:fldCharType="separate"/>
        </w:r>
        <w:r>
          <w:t>17</w:t>
        </w:r>
        <w:r>
          <w:fldChar w:fldCharType="end"/>
        </w:r>
      </w:hyperlink>
    </w:p>
    <w:p>
      <w:pPr>
        <w:pStyle w:val="TOC2"/>
        <w:tabs>
          <w:tab w:val="right" w:leader="dot" w:pos="8306"/>
        </w:tabs>
      </w:pPr>
      <w:hyperlink w:anchor="_Toc7311" w:history="1">
        <w:r>
          <w:rPr>
            <w:rFonts w:ascii="仿宋" w:eastAsia="仿宋" w:hAnsi="仿宋" w:cs="仿宋" w:hint="eastAsia"/>
            <w:lang w:eastAsia="zh-CN"/>
          </w:rPr>
          <w:t>(三)、建筑工程设计总体要求</w:t>
        </w:r>
        <w:r>
          <w:tab/>
        </w:r>
        <w:r>
          <w:fldChar w:fldCharType="begin"/>
        </w:r>
        <w:r>
          <w:instrText xml:space="preserve"> PAGEREF _Toc7311 \h </w:instrText>
        </w:r>
        <w:r>
          <w:fldChar w:fldCharType="separate"/>
        </w:r>
        <w:r>
          <w:t>18</w:t>
        </w:r>
        <w:r>
          <w:fldChar w:fldCharType="end"/>
        </w:r>
      </w:hyperlink>
    </w:p>
    <w:p>
      <w:pPr>
        <w:pStyle w:val="TOC2"/>
        <w:tabs>
          <w:tab w:val="right" w:leader="dot" w:pos="8306"/>
        </w:tabs>
      </w:pPr>
      <w:hyperlink w:anchor="_Toc13634" w:history="1">
        <w:r>
          <w:rPr>
            <w:rFonts w:ascii="仿宋" w:eastAsia="仿宋" w:hAnsi="仿宋" w:cs="仿宋" w:hint="eastAsia"/>
            <w:lang w:eastAsia="zh-CN"/>
          </w:rPr>
          <w:t>(四)、土建工程建设指标</w:t>
        </w:r>
        <w:r>
          <w:tab/>
        </w:r>
        <w:r>
          <w:fldChar w:fldCharType="begin"/>
        </w:r>
        <w:r>
          <w:instrText xml:space="preserve"> PAGEREF _Toc13634 \h </w:instrText>
        </w:r>
        <w:r>
          <w:fldChar w:fldCharType="separate"/>
        </w:r>
        <w:r>
          <w:t>18</w:t>
        </w:r>
        <w:r>
          <w:fldChar w:fldCharType="end"/>
        </w:r>
      </w:hyperlink>
    </w:p>
    <w:p>
      <w:pPr>
        <w:pStyle w:val="TOC1"/>
        <w:tabs>
          <w:tab w:val="right" w:leader="dot" w:pos="8306"/>
        </w:tabs>
      </w:pPr>
      <w:hyperlink w:anchor="_Toc19689" w:history="1">
        <w:r>
          <w:rPr>
            <w:rFonts w:ascii="仿宋" w:eastAsia="仿宋" w:hAnsi="仿宋" w:cs="仿宋" w:hint="eastAsia"/>
            <w:lang w:eastAsia="zh-CN"/>
          </w:rPr>
          <w:t>六、脱硝催化剂项目绩效评估</w:t>
        </w:r>
        <w:r>
          <w:tab/>
        </w:r>
        <w:r>
          <w:fldChar w:fldCharType="begin"/>
        </w:r>
        <w:r>
          <w:instrText xml:space="preserve"> PAGEREF _Toc19689 \h </w:instrText>
        </w:r>
        <w:r>
          <w:fldChar w:fldCharType="separate"/>
        </w:r>
        <w:r>
          <w:t>19</w:t>
        </w:r>
        <w:r>
          <w:fldChar w:fldCharType="end"/>
        </w:r>
      </w:hyperlink>
    </w:p>
    <w:p>
      <w:pPr>
        <w:pStyle w:val="TOC2"/>
        <w:tabs>
          <w:tab w:val="right" w:leader="dot" w:pos="8306"/>
        </w:tabs>
      </w:pPr>
      <w:hyperlink w:anchor="_Toc20768" w:history="1">
        <w:r>
          <w:rPr>
            <w:rFonts w:ascii="仿宋" w:eastAsia="仿宋" w:hAnsi="仿宋" w:cs="仿宋" w:hint="eastAsia"/>
            <w:lang w:eastAsia="zh-CN"/>
          </w:rPr>
          <w:t>(一)、绩效评估指标</w:t>
        </w:r>
        <w:r>
          <w:tab/>
        </w:r>
        <w:r>
          <w:fldChar w:fldCharType="begin"/>
        </w:r>
        <w:r>
          <w:instrText xml:space="preserve"> PAGEREF _Toc20768 \h </w:instrText>
        </w:r>
        <w:r>
          <w:fldChar w:fldCharType="separate"/>
        </w:r>
        <w:r>
          <w:t>19</w:t>
        </w:r>
        <w:r>
          <w:fldChar w:fldCharType="end"/>
        </w:r>
      </w:hyperlink>
    </w:p>
    <w:p>
      <w:pPr>
        <w:pStyle w:val="TOC2"/>
        <w:tabs>
          <w:tab w:val="right" w:leader="dot" w:pos="8306"/>
        </w:tabs>
      </w:pPr>
      <w:hyperlink w:anchor="_Toc20904" w:history="1">
        <w:r>
          <w:rPr>
            <w:rFonts w:ascii="仿宋" w:eastAsia="仿宋" w:hAnsi="仿宋" w:cs="仿宋" w:hint="eastAsia"/>
            <w:lang w:eastAsia="zh-CN"/>
          </w:rPr>
          <w:t>(二)、绩效评估方法</w:t>
        </w:r>
        <w:r>
          <w:tab/>
        </w:r>
        <w:r>
          <w:fldChar w:fldCharType="begin"/>
        </w:r>
        <w:r>
          <w:instrText xml:space="preserve"> PAGEREF _Toc20904 \h </w:instrText>
        </w:r>
        <w:r>
          <w:fldChar w:fldCharType="separate"/>
        </w:r>
        <w:r>
          <w:t>20</w:t>
        </w:r>
        <w:r>
          <w:fldChar w:fldCharType="end"/>
        </w:r>
      </w:hyperlink>
    </w:p>
    <w:p>
      <w:pPr>
        <w:pStyle w:val="TOC2"/>
        <w:tabs>
          <w:tab w:val="right" w:leader="dot" w:pos="8306"/>
        </w:tabs>
      </w:pPr>
      <w:hyperlink w:anchor="_Toc7290" w:history="1">
        <w:r>
          <w:rPr>
            <w:rFonts w:ascii="仿宋" w:eastAsia="仿宋" w:hAnsi="仿宋" w:cs="仿宋" w:hint="eastAsia"/>
            <w:lang w:eastAsia="zh-CN"/>
          </w:rPr>
          <w:t>(三)、绩效评估周期</w:t>
        </w:r>
        <w:r>
          <w:tab/>
        </w:r>
        <w:r>
          <w:fldChar w:fldCharType="begin"/>
        </w:r>
        <w:r>
          <w:instrText xml:space="preserve"> PAGEREF _Toc7290 \h </w:instrText>
        </w:r>
        <w:r>
          <w:fldChar w:fldCharType="separate"/>
        </w:r>
        <w:r>
          <w:t>21</w:t>
        </w:r>
        <w:r>
          <w:fldChar w:fldCharType="end"/>
        </w:r>
      </w:hyperlink>
    </w:p>
    <w:p>
      <w:pPr>
        <w:pStyle w:val="TOC1"/>
        <w:tabs>
          <w:tab w:val="right" w:leader="dot" w:pos="8306"/>
        </w:tabs>
      </w:pPr>
      <w:hyperlink w:anchor="_Toc15092" w:history="1">
        <w:r>
          <w:rPr>
            <w:rFonts w:ascii="仿宋" w:eastAsia="仿宋" w:hAnsi="仿宋" w:cs="仿宋" w:hint="eastAsia"/>
            <w:lang w:eastAsia="zh-CN"/>
          </w:rPr>
          <w:t>七、脱硝催化剂项目人力资源管理</w:t>
        </w:r>
        <w:r>
          <w:tab/>
        </w:r>
        <w:r>
          <w:fldChar w:fldCharType="begin"/>
        </w:r>
        <w:r>
          <w:instrText xml:space="preserve"> PAGEREF _Toc15092 \h </w:instrText>
        </w:r>
        <w:r>
          <w:fldChar w:fldCharType="separate"/>
        </w:r>
        <w:r>
          <w:t>22</w:t>
        </w:r>
        <w:r>
          <w:fldChar w:fldCharType="end"/>
        </w:r>
      </w:hyperlink>
    </w:p>
    <w:p>
      <w:pPr>
        <w:pStyle w:val="TOC2"/>
        <w:tabs>
          <w:tab w:val="right" w:leader="dot" w:pos="8306"/>
        </w:tabs>
      </w:pPr>
      <w:hyperlink w:anchor="_Toc30251" w:history="1">
        <w:r>
          <w:rPr>
            <w:rFonts w:ascii="仿宋" w:eastAsia="仿宋" w:hAnsi="仿宋" w:cs="仿宋" w:hint="eastAsia"/>
            <w:lang w:eastAsia="zh-CN"/>
          </w:rPr>
          <w:t>(一)、建立健全的预算管理制度</w:t>
        </w:r>
        <w:r>
          <w:tab/>
        </w:r>
        <w:r>
          <w:fldChar w:fldCharType="begin"/>
        </w:r>
        <w:r>
          <w:instrText xml:space="preserve"> PAGEREF _Toc30251 \h </w:instrText>
        </w:r>
        <w:r>
          <w:fldChar w:fldCharType="separate"/>
        </w:r>
        <w:r>
          <w:t>22</w:t>
        </w:r>
        <w:r>
          <w:fldChar w:fldCharType="end"/>
        </w:r>
      </w:hyperlink>
    </w:p>
    <w:p>
      <w:pPr>
        <w:pStyle w:val="TOC2"/>
        <w:tabs>
          <w:tab w:val="right" w:leader="dot" w:pos="8306"/>
        </w:tabs>
      </w:pPr>
      <w:hyperlink w:anchor="_Toc1605" w:history="1">
        <w:r>
          <w:rPr>
            <w:rFonts w:ascii="仿宋" w:eastAsia="仿宋" w:hAnsi="仿宋" w:cs="仿宋" w:hint="eastAsia"/>
            <w:lang w:eastAsia="zh-CN"/>
          </w:rPr>
          <w:t>(二)、加强资金流动监控</w:t>
        </w:r>
        <w:r>
          <w:tab/>
        </w:r>
        <w:r>
          <w:fldChar w:fldCharType="begin"/>
        </w:r>
        <w:r>
          <w:instrText xml:space="preserve"> PAGEREF _Toc1605 \h </w:instrText>
        </w:r>
        <w:r>
          <w:fldChar w:fldCharType="separate"/>
        </w:r>
        <w:r>
          <w:t>24</w:t>
        </w:r>
        <w:r>
          <w:fldChar w:fldCharType="end"/>
        </w:r>
      </w:hyperlink>
    </w:p>
    <w:p>
      <w:pPr>
        <w:pStyle w:val="TOC2"/>
        <w:tabs>
          <w:tab w:val="right" w:leader="dot" w:pos="8306"/>
        </w:tabs>
      </w:pPr>
      <w:hyperlink w:anchor="_Toc16298" w:history="1">
        <w:r>
          <w:rPr>
            <w:rFonts w:ascii="仿宋" w:eastAsia="仿宋" w:hAnsi="仿宋" w:cs="仿宋" w:hint="eastAsia"/>
            <w:lang w:eastAsia="zh-CN"/>
          </w:rPr>
          <w:t>(三)、制定完善的风险控制机制</w:t>
        </w:r>
        <w:r>
          <w:tab/>
        </w:r>
        <w:r>
          <w:fldChar w:fldCharType="begin"/>
        </w:r>
        <w:r>
          <w:instrText xml:space="preserve"> PAGEREF _Toc16298 \h </w:instrText>
        </w:r>
        <w:r>
          <w:fldChar w:fldCharType="separate"/>
        </w:r>
        <w:r>
          <w:t>25</w:t>
        </w:r>
        <w:r>
          <w:fldChar w:fldCharType="end"/>
        </w:r>
      </w:hyperlink>
    </w:p>
    <w:p>
      <w:pPr>
        <w:pStyle w:val="TOC2"/>
        <w:tabs>
          <w:tab w:val="right" w:leader="dot" w:pos="8306"/>
        </w:tabs>
      </w:pPr>
      <w:hyperlink w:anchor="_Toc2449" w:history="1">
        <w:r>
          <w:rPr>
            <w:rFonts w:ascii="仿宋" w:eastAsia="仿宋" w:hAnsi="仿宋" w:cs="仿宋" w:hint="eastAsia"/>
            <w:lang w:eastAsia="zh-CN"/>
          </w:rPr>
          <w:t>(四)、优化成本管理</w:t>
        </w:r>
        <w:r>
          <w:tab/>
        </w:r>
        <w:r>
          <w:fldChar w:fldCharType="begin"/>
        </w:r>
        <w:r>
          <w:instrText xml:space="preserve"> PAGEREF _Toc2449 \h </w:instrText>
        </w:r>
        <w:r>
          <w:fldChar w:fldCharType="separate"/>
        </w:r>
        <w:r>
          <w:t>26</w:t>
        </w:r>
        <w:r>
          <w:fldChar w:fldCharType="end"/>
        </w:r>
      </w:hyperlink>
    </w:p>
    <w:p>
      <w:pPr>
        <w:pStyle w:val="TOC1"/>
        <w:tabs>
          <w:tab w:val="right" w:leader="dot" w:pos="8306"/>
        </w:tabs>
      </w:pPr>
      <w:hyperlink w:anchor="_Toc28681" w:history="1">
        <w:r>
          <w:rPr>
            <w:rFonts w:ascii="仿宋" w:eastAsia="仿宋" w:hAnsi="仿宋" w:cs="仿宋" w:hint="eastAsia"/>
            <w:lang w:eastAsia="zh-CN"/>
          </w:rPr>
          <w:t>八、脱硝催化剂项目创新与研发</w:t>
        </w:r>
        <w:r>
          <w:tab/>
        </w:r>
        <w:r>
          <w:fldChar w:fldCharType="begin"/>
        </w:r>
        <w:r>
          <w:instrText xml:space="preserve"> PAGEREF _Toc28681 \h </w:instrText>
        </w:r>
        <w:r>
          <w:fldChar w:fldCharType="separate"/>
        </w:r>
        <w:r>
          <w:t>27</w:t>
        </w:r>
        <w:r>
          <w:fldChar w:fldCharType="end"/>
        </w:r>
      </w:hyperlink>
    </w:p>
    <w:p>
      <w:pPr>
        <w:pStyle w:val="TOC2"/>
        <w:tabs>
          <w:tab w:val="right" w:leader="dot" w:pos="8306"/>
        </w:tabs>
      </w:pPr>
      <w:hyperlink w:anchor="_Toc15566" w:history="1">
        <w:r>
          <w:rPr>
            <w:rFonts w:ascii="仿宋" w:eastAsia="仿宋" w:hAnsi="仿宋" w:cs="仿宋" w:hint="eastAsia"/>
            <w:lang w:eastAsia="zh-CN"/>
          </w:rPr>
          <w:t>(一)、创新策略与方向</w:t>
        </w:r>
        <w:r>
          <w:tab/>
        </w:r>
        <w:r>
          <w:fldChar w:fldCharType="begin"/>
        </w:r>
        <w:r>
          <w:instrText xml:space="preserve"> PAGEREF _Toc15566 \h </w:instrText>
        </w:r>
        <w:r>
          <w:fldChar w:fldCharType="separate"/>
        </w:r>
        <w:r>
          <w:t>27</w:t>
        </w:r>
        <w:r>
          <w:fldChar w:fldCharType="end"/>
        </w:r>
      </w:hyperlink>
    </w:p>
    <w:p>
      <w:pPr>
        <w:pStyle w:val="TOC2"/>
        <w:tabs>
          <w:tab w:val="right" w:leader="dot" w:pos="8306"/>
        </w:tabs>
      </w:pPr>
      <w:hyperlink w:anchor="_Toc12262" w:history="1">
        <w:r>
          <w:rPr>
            <w:rFonts w:ascii="仿宋" w:eastAsia="仿宋" w:hAnsi="仿宋" w:cs="仿宋" w:hint="eastAsia"/>
            <w:lang w:eastAsia="zh-CN"/>
          </w:rPr>
          <w:t>(二)、研发规划与投入</w:t>
        </w:r>
        <w:r>
          <w:tab/>
        </w:r>
        <w:r>
          <w:fldChar w:fldCharType="begin"/>
        </w:r>
        <w:r>
          <w:instrText xml:space="preserve"> PAGEREF _Toc12262 \h </w:instrText>
        </w:r>
        <w:r>
          <w:fldChar w:fldCharType="separate"/>
        </w:r>
        <w:r>
          <w:t>29</w:t>
        </w:r>
        <w:r>
          <w:fldChar w:fldCharType="end"/>
        </w:r>
      </w:hyperlink>
    </w:p>
    <w:p>
      <w:pPr>
        <w:pStyle w:val="TOC1"/>
        <w:tabs>
          <w:tab w:val="right" w:leader="dot" w:pos="8306"/>
        </w:tabs>
      </w:pPr>
      <w:hyperlink w:anchor="_Toc31896" w:history="1">
        <w:r>
          <w:rPr>
            <w:rFonts w:ascii="仿宋" w:eastAsia="仿宋" w:hAnsi="仿宋" w:cs="仿宋" w:hint="eastAsia"/>
            <w:lang w:eastAsia="zh-CN"/>
          </w:rPr>
          <w:t>九、脱硝催化剂项目财务管理</w:t>
        </w:r>
        <w:r>
          <w:tab/>
        </w:r>
        <w:r>
          <w:fldChar w:fldCharType="begin"/>
        </w:r>
        <w:r>
          <w:instrText xml:space="preserve"> PAGEREF _Toc31896 \h </w:instrText>
        </w:r>
        <w:r>
          <w:fldChar w:fldCharType="separate"/>
        </w:r>
        <w:r>
          <w:t>30</w:t>
        </w:r>
        <w:r>
          <w:fldChar w:fldCharType="end"/>
        </w:r>
      </w:hyperlink>
    </w:p>
    <w:p>
      <w:pPr>
        <w:pStyle w:val="TOC2"/>
        <w:tabs>
          <w:tab w:val="right" w:leader="dot" w:pos="8306"/>
        </w:tabs>
      </w:pPr>
      <w:hyperlink w:anchor="_Toc19968" w:history="1">
        <w:r>
          <w:rPr>
            <w:rFonts w:ascii="仿宋" w:eastAsia="仿宋" w:hAnsi="仿宋" w:cs="仿宋" w:hint="eastAsia"/>
            <w:lang w:eastAsia="zh-CN"/>
          </w:rPr>
          <w:t>(一)、资金需求大</w:t>
        </w:r>
        <w:r>
          <w:tab/>
        </w:r>
        <w:r>
          <w:fldChar w:fldCharType="begin"/>
        </w:r>
        <w:r>
          <w:instrText xml:space="preserve"> PAGEREF _Toc19968 \h </w:instrText>
        </w:r>
        <w:r>
          <w:fldChar w:fldCharType="separate"/>
        </w:r>
        <w:r>
          <w:t>30</w:t>
        </w:r>
        <w:r>
          <w:fldChar w:fldCharType="end"/>
        </w:r>
      </w:hyperlink>
    </w:p>
    <w:p>
      <w:pPr>
        <w:pStyle w:val="TOC2"/>
        <w:tabs>
          <w:tab w:val="right" w:leader="dot" w:pos="8306"/>
        </w:tabs>
      </w:pPr>
      <w:hyperlink w:anchor="_Toc30463" w:history="1">
        <w:r>
          <w:rPr>
            <w:rFonts w:ascii="仿宋" w:eastAsia="仿宋" w:hAnsi="仿宋" w:cs="仿宋" w:hint="eastAsia"/>
            <w:lang w:eastAsia="zh-CN"/>
          </w:rPr>
          <w:t>(二)、研发周期长</w:t>
        </w:r>
        <w:r>
          <w:tab/>
        </w:r>
        <w:r>
          <w:fldChar w:fldCharType="begin"/>
        </w:r>
        <w:r>
          <w:instrText xml:space="preserve"> PAGEREF _Toc30463 \h </w:instrText>
        </w:r>
        <w:r>
          <w:fldChar w:fldCharType="separate"/>
        </w:r>
        <w:r>
          <w:t>31</w:t>
        </w:r>
        <w:r>
          <w:fldChar w:fldCharType="end"/>
        </w:r>
      </w:hyperlink>
    </w:p>
    <w:p>
      <w:pPr>
        <w:pStyle w:val="TOC2"/>
        <w:tabs>
          <w:tab w:val="right" w:leader="dot" w:pos="8306"/>
        </w:tabs>
      </w:pPr>
      <w:hyperlink w:anchor="_Toc6474" w:history="1">
        <w:r>
          <w:rPr>
            <w:rFonts w:ascii="仿宋" w:eastAsia="仿宋" w:hAnsi="仿宋" w:cs="仿宋" w:hint="eastAsia"/>
            <w:lang w:eastAsia="zh-CN"/>
          </w:rPr>
          <w:t>(三)、市场风险大</w:t>
        </w:r>
        <w:r>
          <w:tab/>
        </w:r>
        <w:r>
          <w:fldChar w:fldCharType="begin"/>
        </w:r>
        <w:r>
          <w:instrText xml:space="preserve"> PAGEREF _Toc6474 \h </w:instrText>
        </w:r>
        <w:r>
          <w:fldChar w:fldCharType="separate"/>
        </w:r>
        <w:r>
          <w:t>33</w:t>
        </w:r>
        <w:r>
          <w:fldChar w:fldCharType="end"/>
        </w:r>
      </w:hyperlink>
    </w:p>
    <w:p>
      <w:pPr>
        <w:pStyle w:val="TOC2"/>
        <w:tabs>
          <w:tab w:val="right" w:leader="dot" w:pos="8306"/>
        </w:tabs>
      </w:pPr>
      <w:hyperlink w:anchor="_Toc15302" w:history="1">
        <w:r>
          <w:rPr>
            <w:rFonts w:ascii="仿宋" w:eastAsia="仿宋" w:hAnsi="仿宋" w:cs="仿宋" w:hint="eastAsia"/>
            <w:lang w:eastAsia="zh-CN"/>
          </w:rPr>
          <w:t>(四)、利润率高</w:t>
        </w:r>
        <w:r>
          <w:tab/>
        </w:r>
        <w:r>
          <w:fldChar w:fldCharType="begin"/>
        </w:r>
        <w:r>
          <w:instrText xml:space="preserve"> PAGEREF _Toc15302 \h </w:instrText>
        </w:r>
        <w:r>
          <w:fldChar w:fldCharType="separate"/>
        </w:r>
        <w:r>
          <w:t>35</w:t>
        </w:r>
        <w:r>
          <w:fldChar w:fldCharType="end"/>
        </w:r>
      </w:hyperlink>
    </w:p>
    <w:p>
      <w:pPr>
        <w:pStyle w:val="TOC1"/>
        <w:tabs>
          <w:tab w:val="right" w:leader="dot" w:pos="8306"/>
        </w:tabs>
      </w:pPr>
      <w:hyperlink w:anchor="_Toc21675" w:history="1">
        <w:r>
          <w:rPr>
            <w:rFonts w:ascii="仿宋" w:eastAsia="仿宋" w:hAnsi="仿宋" w:cs="仿宋" w:hint="eastAsia"/>
            <w:lang w:eastAsia="zh-CN"/>
          </w:rPr>
          <w:t>十、脱硝催化剂项目人力资源培养与发展</w:t>
        </w:r>
        <w:r>
          <w:tab/>
        </w:r>
        <w:r>
          <w:fldChar w:fldCharType="begin"/>
        </w:r>
        <w:r>
          <w:instrText xml:space="preserve"> PAGEREF _Toc21675 \h </w:instrText>
        </w:r>
        <w:r>
          <w:fldChar w:fldCharType="separate"/>
        </w:r>
        <w:r>
          <w:t>37</w:t>
        </w:r>
        <w:r>
          <w:fldChar w:fldCharType="end"/>
        </w:r>
      </w:hyperlink>
    </w:p>
    <w:p>
      <w:pPr>
        <w:pStyle w:val="TOC2"/>
        <w:tabs>
          <w:tab w:val="right" w:leader="dot" w:pos="8306"/>
        </w:tabs>
      </w:pPr>
      <w:hyperlink w:anchor="_Toc29595" w:history="1">
        <w:r>
          <w:rPr>
            <w:rFonts w:ascii="仿宋" w:eastAsia="仿宋" w:hAnsi="仿宋" w:cs="仿宋" w:hint="eastAsia"/>
            <w:lang w:eastAsia="zh-CN"/>
          </w:rPr>
          <w:t>(一)、人才需求与规划</w:t>
        </w:r>
        <w:r>
          <w:tab/>
        </w:r>
        <w:r>
          <w:fldChar w:fldCharType="begin"/>
        </w:r>
        <w:r>
          <w:instrText xml:space="preserve"> PAGEREF _Toc29595 \h </w:instrText>
        </w:r>
        <w:r>
          <w:fldChar w:fldCharType="separate"/>
        </w:r>
        <w:r>
          <w:t>37</w:t>
        </w:r>
        <w:r>
          <w:fldChar w:fldCharType="end"/>
        </w:r>
      </w:hyperlink>
    </w:p>
    <w:p>
      <w:pPr>
        <w:pStyle w:val="TOC2"/>
        <w:tabs>
          <w:tab w:val="right" w:leader="dot" w:pos="8306"/>
        </w:tabs>
      </w:pPr>
      <w:hyperlink w:anchor="_Toc23005" w:history="1">
        <w:r>
          <w:rPr>
            <w:rFonts w:ascii="仿宋" w:eastAsia="仿宋" w:hAnsi="仿宋" w:cs="仿宋" w:hint="eastAsia"/>
            <w:lang w:eastAsia="zh-CN"/>
          </w:rPr>
          <w:t>(二)、培训与发展计划</w:t>
        </w:r>
        <w:r>
          <w:tab/>
        </w:r>
        <w:r>
          <w:fldChar w:fldCharType="begin"/>
        </w:r>
        <w:r>
          <w:instrText xml:space="preserve"> PAGEREF _Toc23005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7" w:history="1">
        <w:r>
          <w:rPr>
            <w:rFonts w:ascii="仿宋" w:eastAsia="仿宋" w:hAnsi="仿宋" w:cs="仿宋" w:hint="eastAsia"/>
            <w:lang w:eastAsia="zh-CN"/>
          </w:rPr>
          <w:t>十一、脱硝催化剂项目风险管理</w:t>
        </w:r>
        <w:r>
          <w:tab/>
        </w:r>
        <w:r>
          <w:fldChar w:fldCharType="begin"/>
        </w:r>
        <w:r>
          <w:instrText xml:space="preserve"> PAGEREF _Toc7697 \h </w:instrText>
        </w:r>
        <w:r>
          <w:fldChar w:fldCharType="separate"/>
        </w:r>
        <w:r>
          <w:t>38</w:t>
        </w:r>
        <w:r>
          <w:fldChar w:fldCharType="end"/>
        </w:r>
      </w:hyperlink>
    </w:p>
    <w:p>
      <w:pPr>
        <w:pStyle w:val="TOC2"/>
        <w:tabs>
          <w:tab w:val="right" w:leader="dot" w:pos="8306"/>
        </w:tabs>
      </w:pPr>
      <w:hyperlink w:anchor="_Toc27643" w:history="1">
        <w:r>
          <w:rPr>
            <w:rFonts w:ascii="仿宋" w:eastAsia="仿宋" w:hAnsi="仿宋" w:cs="仿宋" w:hint="eastAsia"/>
            <w:lang w:eastAsia="zh-CN"/>
          </w:rPr>
          <w:t>(一)、风险识别与评估</w:t>
        </w:r>
        <w:r>
          <w:tab/>
        </w:r>
        <w:r>
          <w:fldChar w:fldCharType="begin"/>
        </w:r>
        <w:r>
          <w:instrText xml:space="preserve"> PAGEREF _Toc27643 \h </w:instrText>
        </w:r>
        <w:r>
          <w:fldChar w:fldCharType="separate"/>
        </w:r>
        <w:r>
          <w:t>38</w:t>
        </w:r>
        <w:r>
          <w:fldChar w:fldCharType="end"/>
        </w:r>
      </w:hyperlink>
    </w:p>
    <w:p>
      <w:pPr>
        <w:pStyle w:val="TOC2"/>
        <w:tabs>
          <w:tab w:val="right" w:leader="dot" w:pos="8306"/>
        </w:tabs>
      </w:pPr>
      <w:hyperlink w:anchor="_Toc29791" w:history="1">
        <w:r>
          <w:rPr>
            <w:rFonts w:ascii="仿宋" w:eastAsia="仿宋" w:hAnsi="仿宋" w:cs="仿宋" w:hint="eastAsia"/>
            <w:lang w:eastAsia="zh-CN"/>
          </w:rPr>
          <w:t>(二)、风险应对策略</w:t>
        </w:r>
        <w:r>
          <w:tab/>
        </w:r>
        <w:r>
          <w:fldChar w:fldCharType="begin"/>
        </w:r>
        <w:r>
          <w:instrText xml:space="preserve"> PAGEREF _Toc29791 \h </w:instrText>
        </w:r>
        <w:r>
          <w:fldChar w:fldCharType="separate"/>
        </w:r>
        <w:r>
          <w:t>40</w:t>
        </w:r>
        <w:r>
          <w:fldChar w:fldCharType="end"/>
        </w:r>
      </w:hyperlink>
    </w:p>
    <w:p>
      <w:pPr>
        <w:pStyle w:val="TOC2"/>
        <w:tabs>
          <w:tab w:val="right" w:leader="dot" w:pos="8306"/>
        </w:tabs>
      </w:pPr>
      <w:hyperlink w:anchor="_Toc32699" w:history="1">
        <w:r>
          <w:rPr>
            <w:rFonts w:ascii="仿宋" w:eastAsia="仿宋" w:hAnsi="仿宋" w:cs="仿宋" w:hint="eastAsia"/>
            <w:lang w:eastAsia="zh-CN"/>
          </w:rPr>
          <w:t>(三)、风险监控与控制</w:t>
        </w:r>
        <w:r>
          <w:tab/>
        </w:r>
        <w:r>
          <w:fldChar w:fldCharType="begin"/>
        </w:r>
        <w:r>
          <w:instrText xml:space="preserve"> PAGEREF _Toc32699 \h </w:instrText>
        </w:r>
        <w:r>
          <w:fldChar w:fldCharType="separate"/>
        </w:r>
        <w:r>
          <w:t>41</w:t>
        </w:r>
        <w:r>
          <w:fldChar w:fldCharType="end"/>
        </w:r>
      </w:hyperlink>
    </w:p>
    <w:p>
      <w:pPr>
        <w:pStyle w:val="TOC1"/>
        <w:tabs>
          <w:tab w:val="right" w:leader="dot" w:pos="8306"/>
        </w:tabs>
      </w:pPr>
      <w:hyperlink w:anchor="_Toc16185" w:history="1">
        <w:r>
          <w:rPr>
            <w:rFonts w:ascii="仿宋" w:eastAsia="仿宋" w:hAnsi="仿宋" w:cs="仿宋" w:hint="eastAsia"/>
            <w:lang w:eastAsia="zh-CN"/>
          </w:rPr>
          <w:t>十二、脱硝催化剂项目技术管理</w:t>
        </w:r>
        <w:r>
          <w:tab/>
        </w:r>
        <w:r>
          <w:fldChar w:fldCharType="begin"/>
        </w:r>
        <w:r>
          <w:instrText xml:space="preserve"> PAGEREF _Toc16185 \h </w:instrText>
        </w:r>
        <w:r>
          <w:fldChar w:fldCharType="separate"/>
        </w:r>
        <w:r>
          <w:t>42</w:t>
        </w:r>
        <w:r>
          <w:fldChar w:fldCharType="end"/>
        </w:r>
      </w:hyperlink>
    </w:p>
    <w:p>
      <w:pPr>
        <w:pStyle w:val="TOC2"/>
        <w:tabs>
          <w:tab w:val="right" w:leader="dot" w:pos="8306"/>
        </w:tabs>
      </w:pPr>
      <w:hyperlink w:anchor="_Toc11899" w:history="1">
        <w:r>
          <w:rPr>
            <w:rFonts w:ascii="仿宋" w:eastAsia="仿宋" w:hAnsi="仿宋" w:cs="仿宋" w:hint="eastAsia"/>
            <w:lang w:eastAsia="zh-CN"/>
          </w:rPr>
          <w:t>(一)、技术方案选用方向</w:t>
        </w:r>
        <w:r>
          <w:tab/>
        </w:r>
        <w:r>
          <w:fldChar w:fldCharType="begin"/>
        </w:r>
        <w:r>
          <w:instrText xml:space="preserve"> PAGEREF _Toc11899 \h </w:instrText>
        </w:r>
        <w:r>
          <w:fldChar w:fldCharType="separate"/>
        </w:r>
        <w:r>
          <w:t>42</w:t>
        </w:r>
        <w:r>
          <w:fldChar w:fldCharType="end"/>
        </w:r>
      </w:hyperlink>
    </w:p>
    <w:p>
      <w:pPr>
        <w:pStyle w:val="TOC2"/>
        <w:tabs>
          <w:tab w:val="right" w:leader="dot" w:pos="8306"/>
        </w:tabs>
      </w:pPr>
      <w:hyperlink w:anchor="_Toc8245" w:history="1">
        <w:r>
          <w:rPr>
            <w:rFonts w:ascii="仿宋" w:eastAsia="仿宋" w:hAnsi="仿宋" w:cs="仿宋" w:hint="eastAsia"/>
            <w:lang w:eastAsia="zh-CN"/>
          </w:rPr>
          <w:t>(二)、工艺技术方案选用原则</w:t>
        </w:r>
        <w:r>
          <w:tab/>
        </w:r>
        <w:r>
          <w:fldChar w:fldCharType="begin"/>
        </w:r>
        <w:r>
          <w:instrText xml:space="preserve"> PAGEREF _Toc8245 \h </w:instrText>
        </w:r>
        <w:r>
          <w:fldChar w:fldCharType="separate"/>
        </w:r>
        <w:r>
          <w:t>44</w:t>
        </w:r>
        <w:r>
          <w:fldChar w:fldCharType="end"/>
        </w:r>
      </w:hyperlink>
    </w:p>
    <w:p>
      <w:pPr>
        <w:pStyle w:val="TOC2"/>
        <w:tabs>
          <w:tab w:val="right" w:leader="dot" w:pos="8306"/>
        </w:tabs>
      </w:pPr>
      <w:hyperlink w:anchor="_Toc29300" w:history="1">
        <w:r>
          <w:rPr>
            <w:rFonts w:ascii="仿宋" w:eastAsia="仿宋" w:hAnsi="仿宋" w:cs="仿宋" w:hint="eastAsia"/>
            <w:lang w:eastAsia="zh-CN"/>
          </w:rPr>
          <w:t>(三)、工艺技术方案要求</w:t>
        </w:r>
        <w:r>
          <w:tab/>
        </w:r>
        <w:r>
          <w:fldChar w:fldCharType="begin"/>
        </w:r>
        <w:r>
          <w:instrText xml:space="preserve"> PAGEREF _Toc29300 \h </w:instrText>
        </w:r>
        <w:r>
          <w:fldChar w:fldCharType="separate"/>
        </w:r>
        <w:r>
          <w:t>46</w:t>
        </w:r>
        <w:r>
          <w:fldChar w:fldCharType="end"/>
        </w:r>
      </w:hyperlink>
    </w:p>
    <w:p>
      <w:pPr>
        <w:pStyle w:val="TOC1"/>
        <w:tabs>
          <w:tab w:val="right" w:leader="dot" w:pos="8306"/>
        </w:tabs>
      </w:pPr>
      <w:hyperlink w:anchor="_Toc5024" w:history="1">
        <w:r>
          <w:rPr>
            <w:rFonts w:ascii="仿宋" w:eastAsia="仿宋" w:hAnsi="仿宋" w:cs="仿宋" w:hint="eastAsia"/>
            <w:lang w:eastAsia="zh-CN"/>
          </w:rPr>
          <w:t>十三、供应链管理</w:t>
        </w:r>
        <w:r>
          <w:tab/>
        </w:r>
        <w:r>
          <w:fldChar w:fldCharType="begin"/>
        </w:r>
        <w:r>
          <w:instrText xml:space="preserve"> PAGEREF _Toc5024 \h </w:instrText>
        </w:r>
        <w:r>
          <w:fldChar w:fldCharType="separate"/>
        </w:r>
        <w:r>
          <w:t>48</w:t>
        </w:r>
        <w:r>
          <w:fldChar w:fldCharType="end"/>
        </w:r>
      </w:hyperlink>
    </w:p>
    <w:p>
      <w:pPr>
        <w:pStyle w:val="TOC2"/>
        <w:tabs>
          <w:tab w:val="right" w:leader="dot" w:pos="8306"/>
        </w:tabs>
      </w:pPr>
      <w:hyperlink w:anchor="_Toc32216" w:history="1">
        <w:r>
          <w:rPr>
            <w:rFonts w:ascii="仿宋" w:eastAsia="仿宋" w:hAnsi="仿宋" w:cs="仿宋" w:hint="eastAsia"/>
            <w:lang w:eastAsia="zh-CN"/>
          </w:rPr>
          <w:t>(一)、供应链战略规划</w:t>
        </w:r>
        <w:r>
          <w:tab/>
        </w:r>
        <w:r>
          <w:fldChar w:fldCharType="begin"/>
        </w:r>
        <w:r>
          <w:instrText xml:space="preserve"> PAGEREF _Toc32216 \h </w:instrText>
        </w:r>
        <w:r>
          <w:fldChar w:fldCharType="separate"/>
        </w:r>
        <w:r>
          <w:t>48</w:t>
        </w:r>
        <w:r>
          <w:fldChar w:fldCharType="end"/>
        </w:r>
      </w:hyperlink>
    </w:p>
    <w:p>
      <w:pPr>
        <w:pStyle w:val="TOC2"/>
        <w:tabs>
          <w:tab w:val="right" w:leader="dot" w:pos="8306"/>
        </w:tabs>
      </w:pPr>
      <w:hyperlink w:anchor="_Toc21931" w:history="1">
        <w:r>
          <w:rPr>
            <w:rFonts w:ascii="仿宋" w:eastAsia="仿宋" w:hAnsi="仿宋" w:cs="仿宋" w:hint="eastAsia"/>
            <w:lang w:eastAsia="zh-CN"/>
          </w:rPr>
          <w:t>(二)、供应商选择与合作</w:t>
        </w:r>
        <w:r>
          <w:tab/>
        </w:r>
        <w:r>
          <w:fldChar w:fldCharType="begin"/>
        </w:r>
        <w:r>
          <w:instrText xml:space="preserve"> PAGEREF _Toc21931 \h </w:instrText>
        </w:r>
        <w:r>
          <w:fldChar w:fldCharType="separate"/>
        </w:r>
        <w:r>
          <w:t>50</w:t>
        </w:r>
        <w:r>
          <w:fldChar w:fldCharType="end"/>
        </w:r>
      </w:hyperlink>
    </w:p>
    <w:p>
      <w:pPr>
        <w:pStyle w:val="TOC2"/>
        <w:tabs>
          <w:tab w:val="right" w:leader="dot" w:pos="8306"/>
        </w:tabs>
      </w:pPr>
      <w:hyperlink w:anchor="_Toc19375" w:history="1">
        <w:r>
          <w:rPr>
            <w:rFonts w:ascii="仿宋" w:eastAsia="仿宋" w:hAnsi="仿宋" w:cs="仿宋" w:hint="eastAsia"/>
            <w:lang w:eastAsia="zh-CN"/>
          </w:rPr>
          <w:t>(三)、物流与库存管理</w:t>
        </w:r>
        <w:r>
          <w:tab/>
        </w:r>
        <w:r>
          <w:fldChar w:fldCharType="begin"/>
        </w:r>
        <w:r>
          <w:instrText xml:space="preserve"> PAGEREF _Toc19375 \h </w:instrText>
        </w:r>
        <w:r>
          <w:fldChar w:fldCharType="separate"/>
        </w:r>
        <w:r>
          <w:t>51</w:t>
        </w:r>
        <w:r>
          <w:fldChar w:fldCharType="end"/>
        </w:r>
      </w:hyperlink>
    </w:p>
    <w:p>
      <w:pPr>
        <w:pStyle w:val="TOC1"/>
        <w:tabs>
          <w:tab w:val="right" w:leader="dot" w:pos="8306"/>
        </w:tabs>
      </w:pPr>
      <w:hyperlink w:anchor="_Toc28251" w:history="1">
        <w:r>
          <w:rPr>
            <w:rFonts w:ascii="仿宋" w:eastAsia="仿宋" w:hAnsi="仿宋" w:cs="仿宋" w:hint="eastAsia"/>
            <w:lang w:eastAsia="zh-CN"/>
          </w:rPr>
          <w:t>十四、营销与推广策略</w:t>
        </w:r>
        <w:r>
          <w:tab/>
        </w:r>
        <w:r>
          <w:fldChar w:fldCharType="begin"/>
        </w:r>
        <w:r>
          <w:instrText xml:space="preserve"> PAGEREF _Toc28251 \h </w:instrText>
        </w:r>
        <w:r>
          <w:fldChar w:fldCharType="separate"/>
        </w:r>
        <w:r>
          <w:t>53</w:t>
        </w:r>
        <w:r>
          <w:fldChar w:fldCharType="end"/>
        </w:r>
      </w:hyperlink>
    </w:p>
    <w:p>
      <w:pPr>
        <w:pStyle w:val="TOC2"/>
        <w:tabs>
          <w:tab w:val="right" w:leader="dot" w:pos="8306"/>
        </w:tabs>
      </w:pPr>
      <w:hyperlink w:anchor="_Toc16544" w:history="1">
        <w:r>
          <w:rPr>
            <w:rFonts w:ascii="仿宋" w:eastAsia="仿宋" w:hAnsi="仿宋" w:cs="仿宋" w:hint="eastAsia"/>
            <w:lang w:eastAsia="zh-CN"/>
          </w:rPr>
          <w:t>(一)、产品/服务定位与特点</w:t>
        </w:r>
        <w:r>
          <w:tab/>
        </w:r>
        <w:r>
          <w:fldChar w:fldCharType="begin"/>
        </w:r>
        <w:r>
          <w:instrText xml:space="preserve"> PAGEREF _Toc16544 \h </w:instrText>
        </w:r>
        <w:r>
          <w:fldChar w:fldCharType="separate"/>
        </w:r>
        <w:r>
          <w:t>53</w:t>
        </w:r>
        <w:r>
          <w:fldChar w:fldCharType="end"/>
        </w:r>
      </w:hyperlink>
    </w:p>
    <w:p>
      <w:pPr>
        <w:pStyle w:val="TOC2"/>
        <w:tabs>
          <w:tab w:val="right" w:leader="dot" w:pos="8306"/>
        </w:tabs>
      </w:pPr>
      <w:hyperlink w:anchor="_Toc419" w:history="1">
        <w:r>
          <w:rPr>
            <w:rFonts w:ascii="仿宋" w:eastAsia="仿宋" w:hAnsi="仿宋" w:cs="仿宋" w:hint="eastAsia"/>
            <w:lang w:eastAsia="zh-CN"/>
          </w:rPr>
          <w:t>(二)、市场定位与竞争分析</w:t>
        </w:r>
        <w:r>
          <w:tab/>
        </w:r>
        <w:r>
          <w:fldChar w:fldCharType="begin"/>
        </w:r>
        <w:r>
          <w:instrText xml:space="preserve"> PAGEREF _Toc419 \h </w:instrText>
        </w:r>
        <w:r>
          <w:fldChar w:fldCharType="separate"/>
        </w:r>
        <w:r>
          <w:t>54</w:t>
        </w:r>
        <w:r>
          <w:fldChar w:fldCharType="end"/>
        </w:r>
      </w:hyperlink>
    </w:p>
    <w:p>
      <w:pPr>
        <w:pStyle w:val="TOC2"/>
        <w:tabs>
          <w:tab w:val="right" w:leader="dot" w:pos="8306"/>
        </w:tabs>
      </w:pPr>
      <w:hyperlink w:anchor="_Toc8979" w:history="1">
        <w:r>
          <w:rPr>
            <w:rFonts w:ascii="仿宋" w:eastAsia="仿宋" w:hAnsi="仿宋" w:cs="仿宋" w:hint="eastAsia"/>
            <w:lang w:eastAsia="zh-CN"/>
          </w:rPr>
          <w:t>(三)、营销渠道与策略</w:t>
        </w:r>
        <w:r>
          <w:tab/>
        </w:r>
        <w:r>
          <w:fldChar w:fldCharType="begin"/>
        </w:r>
        <w:r>
          <w:instrText xml:space="preserve"> PAGEREF _Toc8979 \h </w:instrText>
        </w:r>
        <w:r>
          <w:fldChar w:fldCharType="separate"/>
        </w:r>
        <w:r>
          <w:t>55</w:t>
        </w:r>
        <w:r>
          <w:fldChar w:fldCharType="end"/>
        </w:r>
      </w:hyperlink>
    </w:p>
    <w:p>
      <w:pPr>
        <w:pStyle w:val="TOC2"/>
        <w:tabs>
          <w:tab w:val="right" w:leader="dot" w:pos="8306"/>
        </w:tabs>
      </w:pPr>
      <w:hyperlink w:anchor="_Toc11657" w:history="1">
        <w:r>
          <w:rPr>
            <w:rFonts w:ascii="仿宋" w:eastAsia="仿宋" w:hAnsi="仿宋" w:cs="仿宋" w:hint="eastAsia"/>
            <w:lang w:eastAsia="zh-CN"/>
          </w:rPr>
          <w:t>(四)、推广与宣传活动</w:t>
        </w:r>
        <w:r>
          <w:tab/>
        </w:r>
        <w:r>
          <w:fldChar w:fldCharType="begin"/>
        </w:r>
        <w:r>
          <w:instrText xml:space="preserve"> PAGEREF _Toc11657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17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脱硝催化剂项目的主要产品是XXXX，预计年产值为XXX万元。这一产品在市场中占据着重要的地位，其广泛的应用范围使得该脱硝催化剂项目的市场前景非常广阔。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脱硝催化剂项目的xxx产品作为重要的原材料之一，将在多个领域发挥关键作用。其在建筑、交通、能源等方面的广泛应用将为整个产业链提供强大的支持，形成产业协同效应。脱硝催化剂项目的年产值XXX万XXX万XXX万万元不仅反映了其在市场上的巨大潜力，更预示着它对国民经济的积极贡献。这种关联度高、涉及面广的产业关系，使得该脱硝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3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总征地面积为XXXX平方米，相当于约XX.XX亩，其中净用地面积为XXXX平方米，红线范围内相当于约XX.XX亩。这一用地规模充分考虑了脱硝催化剂项目的建设需求，保障了脱硝催化剂项目在合适的空间内得以充分发展。脱硝催化剂项目规划的总建筑面积为XXXX平方米，其中主体工程建设占XXXX平方米，计容建筑面积达XXXX平方米。预计建筑工程的投资将达到XXXX万元，为脱硝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计划购置的设备共计XXXX台（套），设备购置费用为XXXX万元。这一设备购置计划充分考虑到脱硝催化剂项目的生产需求和技术要求，确保了脱硝催化剂项目在生产运营中具备先进的技术装备和高效的生产能力。设备的合理配置将为脱硝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计划总投资为XXXX万元，预计年实现营业收入为XXXX万元。这一产能规模的设定旨在确保脱硝催化剂项目能够在投资与回报之间取得平衡，实现长期可持续的发展。脱硝催化剂项目的总投资充分考虑到各个方面的需求，包括用地建设、设备购置等多个环节，以确保脱硝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87"/>
      <w:r>
        <w:rPr>
          <w:rFonts w:ascii="仿宋" w:eastAsia="仿宋" w:hAnsi="仿宋" w:cs="仿宋" w:hint="eastAsia"/>
          <w:sz w:val="28"/>
          <w:lang w:eastAsia="zh-CN"/>
        </w:rPr>
        <w:t>二、脱硝催化剂项目可持续发展</w:t>
      </w:r>
      <w:bookmarkEnd w:id="5"/>
    </w:p>
    <w:p>
      <w:pPr>
        <w:pStyle w:val="Heading2"/>
        <w:rPr>
          <w:rFonts w:ascii="仿宋" w:eastAsia="仿宋" w:hAnsi="仿宋" w:cs="仿宋" w:hint="eastAsia"/>
          <w:lang w:eastAsia="zh-CN"/>
        </w:rPr>
      </w:pPr>
      <w:bookmarkStart w:id="6" w:name="_Toc3081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硝催化剂项目中，脱硝催化剂项目团队着眼于未来，明确了可持续发展的战略方向。制定的具体可持续发展目标包括降低资源使用、采用环保技术、最大化社会效益等。这一步骤不仅有助于脱硝催化剂项目在环保和社会责任方面达到最高标准，也为未来提供了明确的指引，确保脱硝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可持续实践的融入脱硝催化剂项目管理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脱硝催化剂项目管理周期。从脱硝催化剂项目规划开始，脱硝催化剂项目团队就考虑了环境和社会的因素。在执行阶段，脱硝催化剂项目团队积极推动绿色技术的应用，优化资源利用。此外，关注员工的社会责任，通过培训和沟通活动提高员工对可持续发展的认知，使他们能够在日常工作中践行可持续实践。这些举措不仅为脱硝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10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扎根于脱硝催化剂项目的可持续发展理念，我们深信环保与社会责任是脱硝催化剂项目成功的关键支柱。在脱硝催化剂项目的每一步，我们都致力于通过创新和实践，履行对环境和社会的坚定责任。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团队通过引入先进的环保技术、建立高效的废物处理系统以及推动能源节约措施，积极履行环保责任。定期的环保监测和评估确保脱硝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不仅致力于自身可持续发展，还注重对社会的回馈。通过支持社区脱硝催化剂项目、参与慈善事业、提供培训机会等方式，脱硝催化剂项目积极履行社会责任。与当地社区建立积极互动，关注员工的工作与生活平衡，以及员工的身心健康，是脱硝催化剂项目在社会责任层面的关键举措。这样的实践不仅增强了脱硝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997"/>
      <w:r>
        <w:rPr>
          <w:rFonts w:ascii="仿宋" w:eastAsia="仿宋" w:hAnsi="仿宋" w:cs="仿宋" w:hint="eastAsia"/>
          <w:sz w:val="28"/>
          <w:lang w:eastAsia="zh-CN"/>
        </w:rPr>
        <w:t>三、脱硝催化剂项目危机管理</w:t>
      </w:r>
      <w:bookmarkEnd w:id="8"/>
    </w:p>
    <w:p>
      <w:pPr>
        <w:pStyle w:val="Heading2"/>
        <w:rPr>
          <w:rFonts w:ascii="仿宋" w:eastAsia="仿宋" w:hAnsi="仿宋" w:cs="仿宋" w:hint="eastAsia"/>
          <w:lang w:eastAsia="zh-CN"/>
        </w:rPr>
      </w:pPr>
      <w:bookmarkStart w:id="9" w:name="_Toc2779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脱硝催化剂项目危机管理中，危机预警与识别是确保脱硝催化剂项目稳健运行的核心步骤。通过建立全面的监测机制，脱硝催化剂项目团队旨在及时发现和理解潜在的风险和危机因素，以便采取及时的预防和应对措施，确保脱硝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首先，通过深入的风险评估，脱硝催化剂项目团队全面分析了整个脱硝催化剂项目和各个阶段可能存在的威胁。这包括准确评估每个潜在风险的发生概率和可能影响的程度，为后续危机预警提供了有力支持。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脱硝催化剂项目团队着重于明确定义脱硝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脱硝催化剂项目进展的持续监控，团队能够及时发现潜在问题并作出迅速反应。脱硝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在这一阶段，团队的专业素养和反应速度将发挥至关重要的作用，以确保潜在危机能够在初期得到有效的处理，最大程度地减轻负面影响。通过危机预警与识别，脱硝催化剂项目得以更有序、可控地推进。</w:t>
      </w:r>
    </w:p>
    <w:p>
      <w:pPr>
        <w:pStyle w:val="Heading2"/>
        <w:ind w:firstLine="560" w:firstLineChars="200"/>
        <w:rPr>
          <w:rFonts w:ascii="仿宋" w:eastAsia="仿宋" w:hAnsi="仿宋" w:cs="仿宋" w:hint="eastAsia"/>
          <w:sz w:val="28"/>
          <w:lang w:eastAsia="zh-CN"/>
        </w:rPr>
      </w:pPr>
      <w:bookmarkStart w:id="10" w:name="_Toc2335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在危机发生时，脱硝催化剂项目团队立即行动，成立了应急小组。该小组的任务是迅速制定并实施紧急应对措施，以最小化潜在损失。以下是采取的主要措施：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暂停脱硝催化剂项目进度：为遏制危机蔓延，脱硝催化剂项目暂时停止进行，以便全面评估当前状况。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资源重新分配：重新评估脱硝催化剂项目资源的分配，确保最大限度地减小损失。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实时沟通：与关键利益相关者建立实时沟通机制，向他们传递脱硝催化剂项目危机的实际状况，保障脱硝催化剂项目核心利益。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在紧急应对的同时，脱硝催化剂项目团队强调了团队协作和有效沟通的重要性。以下是团队协作的关键举措：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信息共享机制：建立了信息共享平台，确保团队成员能够及时获取脱硝催化剂项目危机的实时信息。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领导者沟通：脱硝催化剂项目领导者通过定期会议和即时沟通工具，指导团队应对危机，保持团队稳定运行。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随着危机得到初步控制，脱硝催化剂项目团队转向制定恢复计划，以确保脱硝催化剂项目能够从中迅速恢复。主要恢复计划包括：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修复受损的进度计划：重新评估脱硝催化剂项目进度，制定修复计划，确保脱硝催化剂项目尽快回归正常进程。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重新调整资源分配：优化资源分配，确保脱硝催化剂项目在有限资源下高效运转。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风险管理机制加强：对脱硝催化剂项目风险进行全面评估，制定更强化的风险管理策略，以预防未来可能的危机。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985"/>
      <w:r>
        <w:rPr>
          <w:rFonts w:ascii="仿宋" w:eastAsia="仿宋" w:hAnsi="仿宋" w:cs="仿宋" w:hint="eastAsia"/>
          <w:sz w:val="28"/>
          <w:lang w:eastAsia="zh-CN"/>
        </w:rPr>
        <w:t>四、脱硝催化剂项目概论</w:t>
      </w:r>
      <w:bookmarkEnd w:id="11"/>
    </w:p>
    <w:p>
      <w:pPr>
        <w:pStyle w:val="Heading2"/>
        <w:rPr>
          <w:rFonts w:ascii="仿宋" w:eastAsia="仿宋" w:hAnsi="仿宋" w:cs="仿宋" w:hint="eastAsia"/>
          <w:lang w:eastAsia="zh-CN"/>
        </w:rPr>
      </w:pPr>
      <w:bookmarkStart w:id="12" w:name="_Toc2911"/>
      <w:r>
        <w:rPr>
          <w:rFonts w:ascii="仿宋" w:eastAsia="仿宋" w:hAnsi="仿宋" w:cs="仿宋" w:hint="eastAsia"/>
          <w:lang w:eastAsia="zh-CN"/>
        </w:rPr>
        <w:t>(一)、脱硝催化剂项目概况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起源追溯至对市场的深入洞察。市场的不断演变与变革为脱硝催化剂项目提供了难得的机遇。当前市场存在的需求缺口和变革的大环境共同构成了脱硝催化剂项目的背景。这个脱硝催化剂项目旨在充分利用市场机遇，填补行业中尚未满足的需求，为客户提供全新的解决方案。市场的变革和需求的增长使得这个脱硝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脱硝催化剂项目名称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正式命名为脱硝催化剂。这个名称不仅仅是一个标识，更代表了脱硝催化剂项目的核心理念和愿景。它蕴含着脱硝催化剂项目所要解决问题的关键字，具有强烈的表达和辨识度，为脱硝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脱硝催化剂项目目标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核心目标是提供一种全新、高效的解决方案，满足客户日益增长的需求。脱硝催化剂项目追求的不仅仅是满足市场需求，更是在市场中获得卓越的竞争优势。通过不断提升产品或服务的质量和创新水平，脱硝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脱硝催化剂项目范围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全面涵盖了产品研发、制造、市场推广和售后服务，确保从产品设计到最终用户体验的全方位关注。这一全面的脱硝催化剂项目范围是为了确保脱硝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脱硝催化剂项目时间表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脱硝催化剂项目计划在未来18个月内完成，包括研发、测试、市场试点和正式推出等不同阶段。这个时间表的合理设计是为了确保脱硝催化剂项目各个阶段的顺利推进，以便按时交付高质量的成果。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脱硝催化剂项目预算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脱硝催化剂项目总预算估算为XX百万美元，主要分配在研发、市场推广、人员培训和运营等方面。这一充足的预算为脱硝催化剂项目提供了充足的资源，确保脱硝催化剂项目在各个方面都能取得优异的表现。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脱硝催化剂项目风险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脱硝催化剂项目可能面临的风险包括市场接受度低、技术难题、竞争激烈等。脱硝催化剂项目团队已经制定了相应的风险应对计划，通过前瞻性的风险管理，确保脱硝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脱硝催化剂项目团队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脱硝催化剂项目汇聚了一支经验丰富、多领域专业素养的核心团队，确保脱硝催化剂项目在各个方面都能拥有高水平的执行力。团队的协同作战是脱硝催化剂项目成功的关键因素之一。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脱硝催化剂项目背景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脱硝催化剂项目的背景根植于市场对更高效、创新产品的渴望，同时也受到科技发展对行业格局的深刻改变的影响。这为脱硝催化剂项目提供了广阔的发展空间和市场需求。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脱硝催化剂项目现状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截至目前，脱硝催化剂项目已完成市场调研和技术验证，取得了初步的成功。这为脱硝催化剂项目在未来的发展奠定了坚实的基础，为更远大的目标打下了坚实的基石。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186"/>
      <w:r>
        <w:rPr>
          <w:rFonts w:ascii="仿宋" w:eastAsia="仿宋" w:hAnsi="仿宋" w:cs="仿宋" w:hint="eastAsia"/>
          <w:sz w:val="28"/>
          <w:lang w:eastAsia="zh-CN"/>
        </w:rPr>
        <w:t>(二)、脱硝催化剂项目目标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keyword》脱硝催化剂项目首要业务目标是在市场中占据有利地位，实现产品/服务的成功推广和销售。通过不断提升产品质量、创新性，脱硝催化剂项目追求成为行业中的领导者，赢得更多客户的青睐。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在科技迅速发展的时代，脱硝催化剂项目着眼于技术创新。通过持续的研发和技术升级，脱硝催化剂项目旨在推出更具创新性的产品或服务，以满足市场对新鲜、先进解决方案的需求。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为了建立可持续的客户关系，脱硝催化剂项目设定了客户满意度目标。通过提供卓越的产品质量和优质的客户服务，脱硝催化剂项目追求赢得客户的信任和忠诚度，确保他们的满意度达到行业领先水平。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脱硝催化剂项目注重社会责任和可持续发展。通过实施环保、社会责任脱硝催化剂项目，脱硝催化剂项目致力于在经济发展的同时保护环境，促进社会公平，实现可持续经营。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脱硝催化剂项目的团队是实现目标的核心驱动力。因此，脱硝催化剂项目设定了团队发展目标，包括提升团队成员的专业技能、培养领导力，以及搭建协同高效的团队工作氛围。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141"/>
      <w:r>
        <w:rPr>
          <w:rFonts w:ascii="仿宋" w:eastAsia="仿宋" w:hAnsi="仿宋" w:cs="仿宋" w:hint="eastAsia"/>
          <w:sz w:val="28"/>
          <w:lang w:eastAsia="zh-CN"/>
        </w:rPr>
        <w:t>(三)、脱硝催化剂项目提出的理由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脱硝催化剂项目提出的理由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提出源于对市场机遇的深刻洞察。当前市场中存在的需求缺口和行业发展趋势表明，有巨大的商业机会等待被开发。通过准确捕捉市场机遇，脱硝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理念基于对技术创新的信仰。通过持续的研发和技术投入，脱硝催化剂项目有望推出更具创新性的产品或服务。在科技飞速发展的当下，脱硝催化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提出是为了增强企业的行业竞争力。通过提升产品或服务的质量和独特性，脱硝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响应了消费者需求的变化。随着社会和科技的不断发展，消费者对产品和服务的需求也在发生变化。通过深入了解并及时回应消费者的新需求，脱硝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脱硝催化剂项目的提出是企业战略发展规划的一部分。在面对日益激烈的市场竞争和不断变化的商业环境中，脱硝催化剂项目作为企业战略的一环，旨在为企业开辟新的增长领域，巩固企业在行业中的地位。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提出不仅仅是基于商业考量，还注重社会责任。通过推出环保、社会责任等方面的脱硝催化剂项目，脱硝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脱硝催化剂项目的提出反映了对利益相关者期望的关注。包括客户、员工、投资者等利益相关者在企业发展中都有着各自的期望，脱硝催化剂项目力求在满足这些期望的同时，取得更大的共赢。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351"/>
      <w:r>
        <w:rPr>
          <w:rFonts w:ascii="仿宋" w:eastAsia="仿宋" w:hAnsi="仿宋" w:cs="仿宋" w:hint="eastAsia"/>
          <w:sz w:val="28"/>
          <w:lang w:eastAsia="zh-CN"/>
        </w:rPr>
        <w:t>(四)、脱硝催化剂项目意义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在实施脱硝催化剂项目的过程中，我们不仅仅是在追逐商业成功，更是为企业和社会的多个层面创造了深远的意义。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首要意义在于提升企业的市场竞争力。通过持续的创新和对产品质量的高标准要求，脱硝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脱硝催化剂项目的推进将促使行业技术水平的提升。通过引入先进技术和创新性解决方案，脱硝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脱硝催化剂项目不仅创造了大量就业机会，提高了就业水平，还注重社会责任和环保。通过参与社会公益事业和推动环保脱硝催化剂项目，脱硝催化剂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综合而言，脱硝催化剂项目意义重大，不仅推动了企业的发展，也为行业和社会的进步贡献了积极力量。这是一个全面而深刻的影响，将在未来产生可持续的正面效应。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148"/>
      <w:r>
        <w:rPr>
          <w:rFonts w:ascii="仿宋" w:eastAsia="仿宋" w:hAnsi="仿宋" w:cs="仿宋" w:hint="eastAsia"/>
          <w:sz w:val="28"/>
          <w:lang w:eastAsia="zh-CN"/>
        </w:rPr>
        <w:t>(五)、脱硝催化剂项目背景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在当今迅猛发展的商业环境中，脱硝催化剂项目的动因根植于对多方面因素的审慎考量。这个脱硝催化剂项目的提出并非孤立的决策，而是对企业所处背景深入思考的产物。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脱硝催化剂项目背后的首要原因。科技的迅速发展和全球市场的快速变化使得企业必须灵活应对。脱硝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竞争的激烈程度也是脱硝催化剂项目背景中不可忽视的一环。企业需要在激烈竞争中脱颖而出，为此，脱硝催化剂项目致力于打破常规，提供独特的价值主张，以吸引客户并确保市场份额的增长。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技术的迅速发展为企业带来了机遇与挑战。作为脱硝催化剂项目启动的背景之一，对新兴技术的应用将有助于提升企业的技术水平，使其在不断演进的商业环境中保持竞争优势。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此外，社会对企业责任的期望也在逐渐升高。脱硝催化剂项目充分融入了社会责任的理念，通过可持续经营和社会公益脱硝催化剂项目，企图为社会贡献一份力量，在商业成功的同时关注社会价值。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4662"/>
      <w:r>
        <w:rPr>
          <w:rFonts w:ascii="仿宋" w:eastAsia="仿宋" w:hAnsi="仿宋" w:cs="仿宋" w:hint="eastAsia"/>
          <w:sz w:val="28"/>
          <w:lang w:eastAsia="zh-CN"/>
        </w:rPr>
        <w:t>五、脱硝催化剂项目土建工程</w:t>
      </w:r>
      <w:bookmarkEnd w:id="17"/>
    </w:p>
    <w:p>
      <w:pPr>
        <w:pStyle w:val="Heading2"/>
        <w:rPr>
          <w:rFonts w:ascii="仿宋" w:eastAsia="仿宋" w:hAnsi="仿宋" w:cs="仿宋" w:hint="eastAsia"/>
          <w:lang w:eastAsia="zh-CN"/>
        </w:rPr>
      </w:pPr>
      <w:bookmarkStart w:id="18" w:name="_Toc2724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在脱硝催化剂项目的建筑工程设计中，我们将秉承一系列重要的设计原则，以确保脱硝催化剂项目建筑在功能、美观、可持续性等方面达到最佳效果。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首要原则是确保建筑的功能性得到最大化的发挥。我们将充分理解脱硝催化剂项目的实际需求，合理布局各个功能区域，保证建筑在满足业务需求的同时，提供高效的工作环境。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https://d.book118.com/815330222200011042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62227"/>
    <w:rsid w:val="25C622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330222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2024-01-14T15:10:00Z</dcterms:created>
  <dcterms:modified xsi:type="dcterms:W3CDTF">2024-01-14T15:11:13Z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A9A04CFA971C4B98A14CEF303A460102_11</vt:lpwstr>
  </property>
  <property fmtid="{D5CDD505-2E9C-101B-9397-08002B2CF9AE}" pid="3" name="KSOProductBuildVer">
    <vt:lpwstr>2052-12.1.0.16120</vt:lpwstr>
  </property>
</Properties>
</file>