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360" w:lineRule="auto"/>
        <w:rPr>
          <w:rFonts w:hint="eastAsia"/>
          <w:b/>
          <w:kern w:val="44"/>
          <w:sz w:val="28"/>
          <w:szCs w:val="28"/>
        </w:rPr>
      </w:pPr>
      <w:bookmarkStart w:id="0" w:name="_GoBack"/>
      <w:bookmarkEnd w:id="0"/>
    </w:p>
    <w:p>
      <w:pPr>
        <w:pStyle w:val="Normal0"/>
        <w:spacing w:line="360" w:lineRule="auto"/>
        <w:rPr>
          <w:b/>
          <w:kern w:val="44"/>
          <w:sz w:val="28"/>
          <w:szCs w:val="28"/>
        </w:rPr>
      </w:pPr>
    </w:p>
    <w:p>
      <w:pPr>
        <w:pStyle w:val="Normal0"/>
        <w:spacing w:line="360" w:lineRule="auto"/>
        <w:rPr>
          <w:b/>
          <w:kern w:val="44"/>
          <w:sz w:val="28"/>
          <w:szCs w:val="28"/>
        </w:rPr>
      </w:pPr>
    </w:p>
    <w:p>
      <w:pPr>
        <w:pStyle w:val="Normal0"/>
        <w:spacing w:line="360" w:lineRule="auto"/>
        <w:ind w:left="-32" w:firstLine="36" w:leftChars="-15" w:firstLineChars="10"/>
        <w:jc w:val="center"/>
        <w:rPr>
          <w:rFonts w:hAnsi="宋体" w:hint="eastAsia"/>
          <w:b/>
          <w:kern w:val="44"/>
          <w:sz w:val="36"/>
          <w:szCs w:val="36"/>
        </w:rPr>
      </w:pPr>
      <w:r>
        <w:rPr>
          <w:rFonts w:hAnsi="宋体" w:hint="eastAsia"/>
          <w:b/>
          <w:kern w:val="44"/>
          <w:sz w:val="36"/>
          <w:szCs w:val="36"/>
        </w:rPr>
        <w:t>安徽省广德县富通国际建机建材城</w:t>
      </w:r>
      <w:r>
        <w:rPr>
          <w:rFonts w:hAnsi="宋体" w:hint="eastAsia"/>
          <w:b/>
          <w:kern w:val="44"/>
          <w:sz w:val="36"/>
          <w:szCs w:val="36"/>
          <w:lang w:eastAsia="zh-CN"/>
        </w:rPr>
        <w:t>相关项目</w:t>
      </w:r>
    </w:p>
    <w:p>
      <w:pPr>
        <w:pStyle w:val="Normal0"/>
        <w:spacing w:line="360" w:lineRule="auto"/>
        <w:ind w:left="-32" w:firstLine="52" w:leftChars="-15" w:firstLineChars="10"/>
        <w:jc w:val="center"/>
        <w:rPr>
          <w:b/>
          <w:kern w:val="44"/>
          <w:sz w:val="52"/>
          <w:szCs w:val="52"/>
        </w:rPr>
      </w:pPr>
    </w:p>
    <w:p>
      <w:pPr>
        <w:pStyle w:val="Normal0"/>
        <w:spacing w:line="360" w:lineRule="auto"/>
        <w:ind w:left="-32" w:firstLine="72" w:leftChars="-15" w:firstLineChars="10"/>
        <w:jc w:val="center"/>
        <w:rPr>
          <w:b/>
          <w:kern w:val="44"/>
          <w:sz w:val="72"/>
          <w:szCs w:val="72"/>
        </w:rPr>
      </w:pPr>
      <w:r>
        <w:rPr>
          <w:rFonts w:hAnsi="宋体"/>
          <w:b/>
          <w:spacing w:val="-16"/>
          <w:kern w:val="44"/>
          <w:sz w:val="72"/>
          <w:szCs w:val="72"/>
        </w:rPr>
        <w:t>可行性研究报告</w:t>
      </w:r>
    </w:p>
    <w:p>
      <w:pPr>
        <w:pStyle w:val="Normal0"/>
        <w:spacing w:line="360" w:lineRule="auto"/>
        <w:ind w:firstLine="600" w:firstLineChars="200"/>
        <w:rPr>
          <w:kern w:val="44"/>
          <w:sz w:val="30"/>
          <w:szCs w:val="30"/>
        </w:rPr>
      </w:pPr>
    </w:p>
    <w:p>
      <w:pPr>
        <w:pStyle w:val="Normal0"/>
        <w:spacing w:line="360" w:lineRule="auto"/>
        <w:ind w:firstLine="600" w:firstLineChars="200"/>
        <w:rPr>
          <w:kern w:val="44"/>
          <w:sz w:val="30"/>
          <w:szCs w:val="30"/>
        </w:rPr>
      </w:pPr>
    </w:p>
    <w:p>
      <w:pPr>
        <w:pStyle w:val="Normal0"/>
        <w:spacing w:line="360" w:lineRule="auto"/>
        <w:ind w:firstLine="600" w:firstLineChars="200"/>
        <w:rPr>
          <w:kern w:val="44"/>
          <w:sz w:val="30"/>
          <w:szCs w:val="30"/>
        </w:rPr>
      </w:pPr>
    </w:p>
    <w:p>
      <w:pPr>
        <w:pStyle w:val="Normal0"/>
        <w:spacing w:line="360" w:lineRule="auto"/>
        <w:ind w:firstLine="600" w:firstLineChars="200"/>
        <w:rPr>
          <w:kern w:val="44"/>
          <w:sz w:val="30"/>
          <w:szCs w:val="30"/>
        </w:rPr>
      </w:pPr>
    </w:p>
    <w:p>
      <w:pPr>
        <w:pStyle w:val="Normal0"/>
        <w:spacing w:line="360" w:lineRule="auto"/>
        <w:ind w:firstLine="600" w:firstLineChars="200"/>
        <w:rPr>
          <w:kern w:val="44"/>
          <w:sz w:val="30"/>
          <w:szCs w:val="30"/>
        </w:rPr>
      </w:pPr>
    </w:p>
    <w:p>
      <w:pPr>
        <w:pStyle w:val="Normal0"/>
        <w:spacing w:line="360" w:lineRule="auto"/>
        <w:ind w:firstLine="600" w:firstLineChars="200"/>
        <w:rPr>
          <w:kern w:val="44"/>
          <w:sz w:val="30"/>
          <w:szCs w:val="30"/>
        </w:rPr>
      </w:pPr>
    </w:p>
    <w:p>
      <w:pPr>
        <w:pStyle w:val="Normal0"/>
        <w:spacing w:line="360" w:lineRule="auto"/>
        <w:ind w:firstLine="600" w:firstLineChars="200"/>
        <w:rPr>
          <w:kern w:val="44"/>
          <w:sz w:val="30"/>
          <w:szCs w:val="30"/>
        </w:rPr>
      </w:pPr>
    </w:p>
    <w:p>
      <w:pPr>
        <w:pStyle w:val="Normal0"/>
        <w:spacing w:line="360" w:lineRule="auto"/>
        <w:ind w:firstLine="600" w:firstLineChars="200"/>
        <w:rPr>
          <w:kern w:val="44"/>
          <w:sz w:val="30"/>
          <w:szCs w:val="30"/>
        </w:rPr>
      </w:pPr>
    </w:p>
    <w:p>
      <w:pPr>
        <w:pStyle w:val="Normal0"/>
        <w:spacing w:line="360" w:lineRule="auto"/>
        <w:rPr>
          <w:kern w:val="44"/>
          <w:sz w:val="36"/>
          <w:szCs w:val="36"/>
        </w:rPr>
      </w:pPr>
    </w:p>
    <w:p>
      <w:pPr>
        <w:pStyle w:val="Normal0"/>
        <w:spacing w:line="360" w:lineRule="auto"/>
        <w:rPr>
          <w:rFonts w:hint="eastAsia"/>
          <w:kern w:val="44"/>
          <w:sz w:val="36"/>
          <w:szCs w:val="36"/>
        </w:rPr>
      </w:pPr>
    </w:p>
    <w:p>
      <w:pPr>
        <w:pStyle w:val="Normal0"/>
        <w:spacing w:line="360" w:lineRule="auto"/>
        <w:rPr>
          <w:rFonts w:hint="eastAsia"/>
          <w:kern w:val="44"/>
          <w:sz w:val="36"/>
          <w:szCs w:val="36"/>
        </w:rPr>
      </w:pPr>
    </w:p>
    <w:p>
      <w:pPr>
        <w:pStyle w:val="Normal0"/>
        <w:spacing w:line="360" w:lineRule="auto"/>
        <w:rPr>
          <w:rFonts w:hint="eastAsia"/>
          <w:kern w:val="44"/>
          <w:sz w:val="36"/>
          <w:szCs w:val="36"/>
        </w:rPr>
      </w:pPr>
    </w:p>
    <w:p>
      <w:pPr>
        <w:pStyle w:val="Normal0"/>
        <w:spacing w:line="360" w:lineRule="auto"/>
        <w:ind w:left="420" w:leftChars="200"/>
        <w:jc w:val="center"/>
        <w:rPr>
          <w:rFonts w:eastAsia="仿宋" w:hAnsi="仿宋" w:hint="eastAsia"/>
          <w:b/>
          <w:kern w:val="44"/>
          <w:sz w:val="36"/>
          <w:szCs w:val="36"/>
        </w:rPr>
      </w:pPr>
      <w:r>
        <w:rPr>
          <w:rFonts w:eastAsia="仿宋" w:hAnsi="仿宋" w:hint="eastAsia"/>
          <w:b/>
          <w:kern w:val="44"/>
          <w:sz w:val="36"/>
          <w:szCs w:val="36"/>
        </w:rPr>
        <w:t>编写单位：合肥赛福节能科技有限公司</w:t>
      </w:r>
    </w:p>
    <w:p>
      <w:pPr>
        <w:pStyle w:val="Normal0"/>
        <w:spacing w:line="360" w:lineRule="auto"/>
        <w:ind w:firstLine="320" w:firstLineChars="100"/>
        <w:jc w:val="center"/>
        <w:rPr>
          <w:rFonts w:eastAsia="仿宋"/>
          <w:b/>
          <w:kern w:val="44"/>
          <w:sz w:val="32"/>
          <w:szCs w:val="32"/>
        </w:rPr>
      </w:pPr>
    </w:p>
    <w:p>
      <w:pPr>
        <w:pStyle w:val="Normal0"/>
        <w:spacing w:line="360" w:lineRule="auto"/>
        <w:jc w:val="center"/>
        <w:rPr>
          <w:b/>
          <w:kern w:val="44"/>
          <w:sz w:val="32"/>
          <w:szCs w:val="32"/>
        </w:rPr>
      </w:pPr>
      <w:r>
        <w:rPr>
          <w:rFonts w:eastAsia="楷体_GB2312"/>
          <w:b/>
          <w:sz w:val="36"/>
          <w:szCs w:val="36"/>
        </w:rPr>
        <w:t>二</w:t>
      </w:r>
      <w:r>
        <w:rPr>
          <w:b/>
          <w:sz w:val="36"/>
          <w:szCs w:val="36"/>
        </w:rPr>
        <w:t>〇</w:t>
      </w:r>
      <w:r>
        <w:rPr>
          <w:rFonts w:eastAsia="楷体_GB2312"/>
          <w:b/>
          <w:sz w:val="36"/>
          <w:szCs w:val="36"/>
        </w:rPr>
        <w:t>一三年</w:t>
      </w:r>
      <w:r>
        <w:rPr>
          <w:rFonts w:eastAsia="楷体_GB2312" w:hint="eastAsia"/>
          <w:b/>
          <w:sz w:val="36"/>
          <w:szCs w:val="36"/>
        </w:rPr>
        <w:t>四</w:t>
      </w:r>
      <w:r>
        <w:rPr>
          <w:rFonts w:eastAsia="楷体_GB2312"/>
          <w:b/>
          <w:sz w:val="36"/>
          <w:szCs w:val="36"/>
        </w:rPr>
        <w:t>月</w:t>
      </w:r>
    </w:p>
    <w:p>
      <w:pPr>
        <w:pStyle w:val="Normal0"/>
        <w:spacing w:line="360" w:lineRule="auto"/>
        <w:ind w:firstLine="1398" w:firstLineChars="437"/>
        <w:rPr>
          <w:b/>
          <w:kern w:val="44"/>
          <w:sz w:val="32"/>
          <w:szCs w:val="32"/>
        </w:rPr>
      </w:pPr>
    </w:p>
    <w:p>
      <w:pPr>
        <w:pStyle w:val="Normal0"/>
        <w:spacing w:line="360" w:lineRule="auto"/>
        <w:jc w:val="left"/>
        <w:rPr>
          <w:b/>
          <w:kern w:val="44"/>
          <w:sz w:val="32"/>
          <w:szCs w:val="32"/>
        </w:rPr>
        <w:sectPr>
          <w:headerReference w:type="default" r:id="rId5"/>
          <w:footerReference w:type="even" r:id="rId6"/>
          <w:footerReference w:type="default" r:id="rId7"/>
          <w:headerReference w:type="first" r:id="rId8"/>
          <w:footerReference w:type="first" r:id="rId9"/>
          <w:pgSz w:w="11907" w:h="16840"/>
          <w:pgMar w:top="1418" w:right="1407" w:bottom="1418" w:left="1588" w:header="851" w:footer="992" w:gutter="0"/>
          <w:pgNumType w:start="1"/>
          <w:cols w:num="1" w:space="425"/>
          <w:docGrid w:linePitch="312" w:charSpace="0"/>
        </w:sectPr>
      </w:pPr>
    </w:p>
    <w:p>
      <w:pPr>
        <w:pStyle w:val="Normal0"/>
        <w:ind w:firstLine="3840" w:firstLineChars="1200"/>
        <w:rPr>
          <w:sz w:val="32"/>
          <w:szCs w:val="32"/>
        </w:rPr>
      </w:pPr>
      <w:r>
        <w:rPr>
          <w:rFonts w:hAnsi="宋体"/>
          <w:sz w:val="32"/>
          <w:szCs w:val="32"/>
        </w:rPr>
        <w:t>目</w:t>
      </w:r>
      <w:r>
        <w:rPr>
          <w:sz w:val="32"/>
          <w:szCs w:val="32"/>
        </w:rPr>
        <w:t xml:space="preserve">    </w:t>
      </w:r>
      <w:r>
        <w:rPr>
          <w:rFonts w:hAnsi="宋体"/>
          <w:sz w:val="32"/>
          <w:szCs w:val="32"/>
        </w:rPr>
        <w:t>录</w:t>
      </w:r>
    </w:p>
    <w:p>
      <w:pPr>
        <w:pStyle w:val="TOC1"/>
        <w:rPr>
          <w:bCs w:val="0"/>
          <w:caps w:val="0"/>
          <w:kern w:val="2"/>
          <w:sz w:val="21"/>
          <w:szCs w:val="24"/>
        </w:rPr>
      </w:pPr>
      <w:r>
        <w:fldChar w:fldCharType="begin"/>
      </w:r>
      <w:r>
        <w:instrText xml:space="preserve"> TOC \o "1-2" \u </w:instrText>
      </w:r>
      <w:r>
        <w:fldChar w:fldCharType="separate"/>
      </w:r>
      <w:r>
        <w:rPr>
          <w:rFonts w:eastAsia="黑体" w:hAnsi="黑体" w:hint="eastAsia"/>
        </w:rPr>
        <w:t>第一章</w:t>
      </w:r>
      <w:r>
        <w:rPr>
          <w:rFonts w:eastAsia="黑体"/>
        </w:rPr>
        <w:t xml:space="preserve">  </w:t>
      </w:r>
      <w:r>
        <w:rPr>
          <w:rFonts w:eastAsia="黑体" w:hAnsi="黑体" w:hint="eastAsia"/>
        </w:rPr>
        <w:t>总</w:t>
      </w:r>
      <w:r>
        <w:rPr>
          <w:rFonts w:eastAsia="黑体"/>
        </w:rPr>
        <w:t xml:space="preserve">  </w:t>
      </w:r>
      <w:r>
        <w:rPr>
          <w:rFonts w:eastAsia="黑体" w:hAnsi="黑体" w:hint="eastAsia"/>
        </w:rPr>
        <w:t>论</w:t>
      </w:r>
      <w:r>
        <w:tab/>
      </w:r>
      <w:r>
        <w:fldChar w:fldCharType="begin"/>
      </w:r>
      <w:r>
        <w:instrText xml:space="preserve"> PAGEREF _Toc353747177 \h </w:instrText>
      </w:r>
      <w:r>
        <w:fldChar w:fldCharType="separate"/>
      </w:r>
      <w:r>
        <w:t>1</w:t>
      </w:r>
      <w:r>
        <w:fldChar w:fldCharType="end"/>
      </w:r>
    </w:p>
    <w:p>
      <w:pPr>
        <w:pStyle w:val="TOC2"/>
        <w:rPr>
          <w:rFonts w:ascii="Times New Roman" w:eastAsia="宋体"/>
          <w:smallCaps w:val="0"/>
          <w:kern w:val="2"/>
          <w:sz w:val="21"/>
        </w:rPr>
      </w:pPr>
      <w:r>
        <w:rPr>
          <w:rFonts w:ascii="Times New Roman"/>
        </w:rPr>
        <w:t xml:space="preserve">1.1 </w:t>
      </w:r>
      <w:r>
        <w:rPr>
          <w:rFonts w:ascii="Times New Roman" w:hint="eastAsia"/>
          <w:lang w:eastAsia="zh-CN"/>
        </w:rPr>
        <w:t>相关项目</w:t>
      </w:r>
      <w:r>
        <w:rPr>
          <w:rFonts w:ascii="Times New Roman" w:hint="eastAsia"/>
        </w:rPr>
        <w:t>概况</w:t>
      </w:r>
      <w:r>
        <w:tab/>
      </w:r>
      <w:r>
        <w:fldChar w:fldCharType="begin"/>
      </w:r>
      <w:r>
        <w:instrText xml:space="preserve"> PAGEREF _Toc353747178 \h </w:instrText>
      </w:r>
      <w:r>
        <w:fldChar w:fldCharType="separate"/>
      </w:r>
      <w:r>
        <w:t>1</w:t>
      </w:r>
      <w:r>
        <w:fldChar w:fldCharType="end"/>
      </w:r>
    </w:p>
    <w:p>
      <w:pPr>
        <w:pStyle w:val="TOC2"/>
        <w:rPr>
          <w:rFonts w:ascii="Times New Roman" w:eastAsia="宋体"/>
          <w:smallCaps w:val="0"/>
          <w:kern w:val="2"/>
          <w:sz w:val="21"/>
        </w:rPr>
      </w:pPr>
      <w:r>
        <w:rPr>
          <w:rFonts w:ascii="Times New Roman"/>
        </w:rPr>
        <w:t xml:space="preserve">1.2 </w:t>
      </w:r>
      <w:r>
        <w:rPr>
          <w:rFonts w:ascii="Times New Roman" w:hint="eastAsia"/>
        </w:rPr>
        <w:t>研究工作的依据与范围</w:t>
      </w:r>
      <w:r>
        <w:tab/>
      </w:r>
      <w:r>
        <w:fldChar w:fldCharType="begin"/>
      </w:r>
      <w:r>
        <w:instrText xml:space="preserve"> PAGEREF _Toc353747179 \h </w:instrText>
      </w:r>
      <w:r>
        <w:fldChar w:fldCharType="separate"/>
      </w:r>
      <w:r>
        <w:t>1</w:t>
      </w:r>
      <w:r>
        <w:fldChar w:fldCharType="end"/>
      </w:r>
    </w:p>
    <w:p>
      <w:pPr>
        <w:pStyle w:val="TOC2"/>
        <w:rPr>
          <w:rFonts w:ascii="Times New Roman" w:eastAsia="宋体"/>
          <w:smallCaps w:val="0"/>
          <w:kern w:val="2"/>
          <w:sz w:val="21"/>
        </w:rPr>
      </w:pPr>
      <w:r>
        <w:rPr>
          <w:rFonts w:ascii="Times New Roman"/>
        </w:rPr>
        <w:t xml:space="preserve">1.3 </w:t>
      </w:r>
      <w:r>
        <w:rPr>
          <w:rFonts w:ascii="Times New Roman" w:hint="eastAsia"/>
        </w:rPr>
        <w:t>推荐</w:t>
      </w:r>
      <w:r>
        <w:rPr>
          <w:rFonts w:ascii="Times New Roman" w:hint="eastAsia"/>
          <w:lang w:eastAsia="zh-CN"/>
        </w:rPr>
        <w:t>合适的方案</w:t>
      </w:r>
      <w:r>
        <w:tab/>
      </w:r>
      <w:r>
        <w:fldChar w:fldCharType="begin"/>
      </w:r>
      <w:r>
        <w:instrText xml:space="preserve"> PAGEREF _Toc353747180 \h </w:instrText>
      </w:r>
      <w:r>
        <w:fldChar w:fldCharType="separate"/>
      </w:r>
      <w:r>
        <w:t>3</w:t>
      </w:r>
      <w:r>
        <w:fldChar w:fldCharType="end"/>
      </w:r>
    </w:p>
    <w:p>
      <w:pPr>
        <w:pStyle w:val="TOC2"/>
        <w:rPr>
          <w:rFonts w:ascii="Times New Roman" w:eastAsia="宋体"/>
          <w:smallCaps w:val="0"/>
          <w:kern w:val="2"/>
          <w:sz w:val="21"/>
        </w:rPr>
      </w:pPr>
      <w:r>
        <w:rPr>
          <w:rFonts w:ascii="Times New Roman"/>
        </w:rPr>
        <w:t xml:space="preserve">1.4 </w:t>
      </w:r>
      <w:r>
        <w:rPr>
          <w:rFonts w:ascii="Times New Roman" w:hint="eastAsia"/>
        </w:rPr>
        <w:t>结论与建议</w:t>
      </w:r>
      <w:r>
        <w:tab/>
      </w:r>
      <w:r>
        <w:fldChar w:fldCharType="begin"/>
      </w:r>
      <w:r>
        <w:instrText xml:space="preserve"> PAGEREF _Toc353747181 \h </w:instrText>
      </w:r>
      <w:r>
        <w:fldChar w:fldCharType="separate"/>
      </w:r>
      <w:r>
        <w:t>5</w:t>
      </w:r>
      <w:r>
        <w:fldChar w:fldCharType="end"/>
      </w:r>
    </w:p>
    <w:p>
      <w:pPr>
        <w:pStyle w:val="TOC1"/>
        <w:rPr>
          <w:bCs w:val="0"/>
          <w:caps w:val="0"/>
          <w:kern w:val="2"/>
          <w:sz w:val="21"/>
          <w:szCs w:val="24"/>
        </w:rPr>
      </w:pPr>
      <w:r>
        <w:rPr>
          <w:rFonts w:eastAsia="黑体" w:hint="eastAsia"/>
        </w:rPr>
        <w:t>第二章</w:t>
      </w:r>
      <w:r>
        <w:rPr>
          <w:rFonts w:eastAsia="黑体"/>
        </w:rPr>
        <w:t xml:space="preserve">  </w:t>
      </w:r>
      <w:r>
        <w:rPr>
          <w:rFonts w:eastAsia="黑体" w:hint="eastAsia"/>
          <w:lang w:eastAsia="zh-CN"/>
        </w:rPr>
        <w:t>相关项目</w:t>
      </w:r>
      <w:r>
        <w:rPr>
          <w:rFonts w:eastAsia="黑体" w:hint="eastAsia"/>
        </w:rPr>
        <w:t>建设背景及建设的必要性</w:t>
      </w:r>
      <w:r>
        <w:tab/>
      </w:r>
      <w:r>
        <w:fldChar w:fldCharType="begin"/>
      </w:r>
      <w:r>
        <w:instrText xml:space="preserve"> PAGEREF _Toc353747182 \h </w:instrText>
      </w:r>
      <w:r>
        <w:fldChar w:fldCharType="separate"/>
      </w:r>
      <w:r>
        <w:t>8</w:t>
      </w:r>
      <w:r>
        <w:fldChar w:fldCharType="end"/>
      </w:r>
    </w:p>
    <w:p>
      <w:pPr>
        <w:pStyle w:val="TOC2"/>
        <w:rPr>
          <w:rFonts w:ascii="Times New Roman" w:eastAsia="宋体"/>
          <w:smallCaps w:val="0"/>
          <w:kern w:val="2"/>
          <w:sz w:val="21"/>
        </w:rPr>
      </w:pPr>
      <w:r>
        <w:rPr>
          <w:rFonts w:ascii="Times New Roman"/>
        </w:rPr>
        <w:t xml:space="preserve">2.1 </w:t>
      </w:r>
      <w:r>
        <w:rPr>
          <w:rFonts w:ascii="Times New Roman" w:hint="eastAsia"/>
          <w:lang w:eastAsia="zh-CN"/>
        </w:rPr>
        <w:t>相关项目</w:t>
      </w:r>
      <w:r>
        <w:rPr>
          <w:rFonts w:ascii="Times New Roman" w:hint="eastAsia"/>
        </w:rPr>
        <w:t>提出的背景</w:t>
      </w:r>
      <w:r>
        <w:tab/>
      </w:r>
      <w:r>
        <w:fldChar w:fldCharType="begin"/>
      </w:r>
      <w:r>
        <w:instrText xml:space="preserve"> PAGEREF _Toc353747183 \h </w:instrText>
      </w:r>
      <w:r>
        <w:fldChar w:fldCharType="separate"/>
      </w:r>
      <w:r>
        <w:t>8</w:t>
      </w:r>
      <w:r>
        <w:fldChar w:fldCharType="end"/>
      </w:r>
    </w:p>
    <w:p>
      <w:pPr>
        <w:pStyle w:val="TOC2"/>
        <w:rPr>
          <w:rFonts w:ascii="Times New Roman" w:eastAsia="宋体"/>
          <w:smallCaps w:val="0"/>
          <w:kern w:val="2"/>
          <w:sz w:val="21"/>
        </w:rPr>
      </w:pPr>
      <w:r>
        <w:rPr>
          <w:rFonts w:ascii="Times New Roman"/>
        </w:rPr>
        <w:t xml:space="preserve">2.2 </w:t>
      </w:r>
      <w:r>
        <w:rPr>
          <w:rFonts w:ascii="Times New Roman" w:hint="eastAsia"/>
          <w:lang w:eastAsia="zh-CN"/>
        </w:rPr>
        <w:t>相关项目</w:t>
      </w:r>
      <w:r>
        <w:rPr>
          <w:rFonts w:ascii="Times New Roman" w:hint="eastAsia"/>
        </w:rPr>
        <w:t>的意义和必要性</w:t>
      </w:r>
      <w:r>
        <w:tab/>
      </w:r>
      <w:r>
        <w:fldChar w:fldCharType="begin"/>
      </w:r>
      <w:r>
        <w:instrText xml:space="preserve"> PAGEREF _Toc353747184 \h </w:instrText>
      </w:r>
      <w:r>
        <w:fldChar w:fldCharType="separate"/>
      </w:r>
      <w:r>
        <w:t>10</w:t>
      </w:r>
      <w:r>
        <w:fldChar w:fldCharType="end"/>
      </w:r>
    </w:p>
    <w:p>
      <w:pPr>
        <w:pStyle w:val="TOC1"/>
        <w:rPr>
          <w:bCs w:val="0"/>
          <w:caps w:val="0"/>
          <w:kern w:val="2"/>
          <w:sz w:val="21"/>
          <w:szCs w:val="24"/>
        </w:rPr>
      </w:pPr>
      <w:r>
        <w:rPr>
          <w:rFonts w:eastAsia="黑体" w:hint="eastAsia"/>
        </w:rPr>
        <w:t>第三章</w:t>
      </w:r>
      <w:r>
        <w:rPr>
          <w:rFonts w:eastAsia="黑体"/>
        </w:rPr>
        <w:t xml:space="preserve">  </w:t>
      </w:r>
      <w:r>
        <w:rPr>
          <w:rFonts w:eastAsia="黑体" w:hint="eastAsia"/>
        </w:rPr>
        <w:t>市场分析</w:t>
      </w:r>
      <w:r>
        <w:tab/>
      </w:r>
      <w:r>
        <w:fldChar w:fldCharType="begin"/>
      </w:r>
      <w:r>
        <w:instrText xml:space="preserve"> PAGEREF _Toc353747185 \h </w:instrText>
      </w:r>
      <w:r>
        <w:fldChar w:fldCharType="separate"/>
      </w:r>
      <w:r>
        <w:t>14</w:t>
      </w:r>
      <w:r>
        <w:fldChar w:fldCharType="end"/>
      </w:r>
    </w:p>
    <w:p>
      <w:pPr>
        <w:pStyle w:val="TOC2"/>
        <w:rPr>
          <w:rFonts w:ascii="Times New Roman" w:eastAsia="宋体"/>
          <w:smallCaps w:val="0"/>
          <w:kern w:val="2"/>
          <w:sz w:val="21"/>
        </w:rPr>
      </w:pPr>
      <w:r>
        <w:rPr>
          <w:rFonts w:ascii="Times New Roman"/>
        </w:rPr>
        <w:t>3.1</w:t>
      </w:r>
      <w:r>
        <w:rPr>
          <w:rFonts w:ascii="Times New Roman" w:hint="eastAsia"/>
        </w:rPr>
        <w:t>建机建材市场概况</w:t>
      </w:r>
      <w:r>
        <w:tab/>
      </w:r>
      <w:r>
        <w:fldChar w:fldCharType="begin"/>
      </w:r>
      <w:r>
        <w:instrText xml:space="preserve"> PAGEREF _Toc353747186 \h </w:instrText>
      </w:r>
      <w:r>
        <w:fldChar w:fldCharType="separate"/>
      </w:r>
      <w:r>
        <w:t>14</w:t>
      </w:r>
      <w:r>
        <w:fldChar w:fldCharType="end"/>
      </w:r>
    </w:p>
    <w:p>
      <w:pPr>
        <w:pStyle w:val="TOC2"/>
        <w:rPr>
          <w:rFonts w:ascii="Times New Roman" w:eastAsia="宋体"/>
          <w:smallCaps w:val="0"/>
          <w:kern w:val="2"/>
          <w:sz w:val="21"/>
        </w:rPr>
      </w:pPr>
      <w:r>
        <w:rPr>
          <w:rFonts w:ascii="Times New Roman"/>
        </w:rPr>
        <w:t>3.2</w:t>
      </w:r>
      <w:r>
        <w:rPr>
          <w:rFonts w:ascii="Times New Roman" w:hint="eastAsia"/>
        </w:rPr>
        <w:t>建机市场分析</w:t>
      </w:r>
      <w:r>
        <w:tab/>
      </w:r>
      <w:r>
        <w:fldChar w:fldCharType="begin"/>
      </w:r>
      <w:r>
        <w:instrText xml:space="preserve"> PAGEREF _Toc353747187 \h </w:instrText>
      </w:r>
      <w:r>
        <w:fldChar w:fldCharType="separate"/>
      </w:r>
      <w:r>
        <w:t>18</w:t>
      </w:r>
      <w:r>
        <w:fldChar w:fldCharType="end"/>
      </w:r>
    </w:p>
    <w:p>
      <w:pPr>
        <w:pStyle w:val="TOC2"/>
        <w:rPr>
          <w:rFonts w:ascii="Times New Roman" w:eastAsia="宋体"/>
          <w:smallCaps w:val="0"/>
          <w:kern w:val="2"/>
          <w:sz w:val="21"/>
        </w:rPr>
      </w:pPr>
      <w:r>
        <w:rPr>
          <w:rFonts w:ascii="Times New Roman"/>
        </w:rPr>
        <w:t>3.3</w:t>
      </w:r>
      <w:r>
        <w:rPr>
          <w:rFonts w:ascii="Times New Roman" w:hint="eastAsia"/>
        </w:rPr>
        <w:t>建材市场分析</w:t>
      </w:r>
      <w:r>
        <w:tab/>
      </w:r>
      <w:r>
        <w:fldChar w:fldCharType="begin"/>
      </w:r>
      <w:r>
        <w:instrText xml:space="preserve"> PAGEREF _Toc353747188 \h </w:instrText>
      </w:r>
      <w:r>
        <w:fldChar w:fldCharType="separate"/>
      </w:r>
      <w:r>
        <w:t>22</w:t>
      </w:r>
      <w:r>
        <w:fldChar w:fldCharType="end"/>
      </w:r>
    </w:p>
    <w:p>
      <w:pPr>
        <w:pStyle w:val="TOC2"/>
        <w:rPr>
          <w:rFonts w:ascii="Times New Roman" w:eastAsia="宋体"/>
          <w:smallCaps w:val="0"/>
          <w:kern w:val="2"/>
          <w:sz w:val="21"/>
        </w:rPr>
      </w:pPr>
      <w:r>
        <w:rPr>
          <w:rFonts w:ascii="Times New Roman"/>
        </w:rPr>
        <w:t>3.4</w:t>
      </w:r>
      <w:r>
        <w:rPr>
          <w:rFonts w:ascii="Times New Roman" w:hint="eastAsia"/>
          <w:lang w:eastAsia="zh-CN"/>
        </w:rPr>
        <w:t>相关项目</w:t>
      </w:r>
      <w:r>
        <w:rPr>
          <w:rFonts w:ascii="Times New Roman" w:hint="eastAsia"/>
        </w:rPr>
        <w:t>市场环境分析</w:t>
      </w:r>
      <w:r>
        <w:tab/>
      </w:r>
      <w:r>
        <w:fldChar w:fldCharType="begin"/>
      </w:r>
      <w:r>
        <w:instrText xml:space="preserve"> PAGEREF _Toc353747189 \h </w:instrText>
      </w:r>
      <w:r>
        <w:fldChar w:fldCharType="separate"/>
      </w:r>
      <w:r>
        <w:t>27</w:t>
      </w:r>
      <w:r>
        <w:fldChar w:fldCharType="end"/>
      </w:r>
    </w:p>
    <w:p>
      <w:pPr>
        <w:pStyle w:val="TOC2"/>
        <w:rPr>
          <w:rFonts w:ascii="Times New Roman" w:eastAsia="宋体"/>
          <w:smallCaps w:val="0"/>
          <w:kern w:val="2"/>
          <w:sz w:val="21"/>
        </w:rPr>
      </w:pPr>
      <w:r>
        <w:rPr>
          <w:rFonts w:ascii="Times New Roman"/>
        </w:rPr>
        <w:t>3.5</w:t>
      </w:r>
      <w:r>
        <w:rPr>
          <w:rFonts w:ascii="Times New Roman" w:hint="eastAsia"/>
          <w:lang w:eastAsia="zh-CN"/>
        </w:rPr>
        <w:t>相关项目</w:t>
      </w:r>
      <w:r>
        <w:rPr>
          <w:rFonts w:ascii="Times New Roman" w:hint="eastAsia"/>
        </w:rPr>
        <w:t>定位</w:t>
      </w:r>
      <w:r>
        <w:rPr>
          <w:rFonts w:ascii="Times New Roman" w:hint="eastAsia"/>
          <w:lang w:eastAsia="zh-CN"/>
        </w:rPr>
        <w:t>合适的方案</w:t>
      </w:r>
      <w:r>
        <w:rPr>
          <w:rFonts w:ascii="Times New Roman"/>
        </w:rPr>
        <w:t>SWOT</w:t>
      </w:r>
      <w:r>
        <w:rPr>
          <w:rFonts w:ascii="Times New Roman" w:hint="eastAsia"/>
        </w:rPr>
        <w:t>分析</w:t>
      </w:r>
      <w:r>
        <w:tab/>
      </w:r>
      <w:r>
        <w:fldChar w:fldCharType="begin"/>
      </w:r>
      <w:r>
        <w:instrText xml:space="preserve"> PAGEREF _Toc353747190 \h </w:instrText>
      </w:r>
      <w:r>
        <w:fldChar w:fldCharType="separate"/>
      </w:r>
      <w:r>
        <w:t>29</w:t>
      </w:r>
      <w:r>
        <w:fldChar w:fldCharType="end"/>
      </w:r>
    </w:p>
    <w:p>
      <w:pPr>
        <w:pStyle w:val="TOC2"/>
        <w:rPr>
          <w:rFonts w:ascii="Times New Roman" w:eastAsia="宋体"/>
          <w:smallCaps w:val="0"/>
          <w:kern w:val="2"/>
          <w:sz w:val="21"/>
        </w:rPr>
      </w:pPr>
      <w:r>
        <w:rPr>
          <w:rFonts w:ascii="Times New Roman"/>
        </w:rPr>
        <w:t>3.6</w:t>
      </w:r>
      <w:r>
        <w:rPr>
          <w:rFonts w:ascii="Times New Roman" w:hint="eastAsia"/>
          <w:lang w:eastAsia="zh-CN"/>
        </w:rPr>
        <w:t>相关项目</w:t>
      </w:r>
      <w:r>
        <w:rPr>
          <w:rFonts w:ascii="Times New Roman" w:hint="eastAsia"/>
        </w:rPr>
        <w:t>营销推广</w:t>
      </w:r>
      <w:r>
        <w:tab/>
      </w:r>
      <w:r>
        <w:fldChar w:fldCharType="begin"/>
      </w:r>
      <w:r>
        <w:instrText xml:space="preserve"> PAGEREF _Toc353747191 \h </w:instrText>
      </w:r>
      <w:r>
        <w:fldChar w:fldCharType="separate"/>
      </w:r>
      <w:r>
        <w:t>32</w:t>
      </w:r>
      <w:r>
        <w:fldChar w:fldCharType="end"/>
      </w:r>
    </w:p>
    <w:p>
      <w:pPr>
        <w:pStyle w:val="TOC1"/>
        <w:rPr>
          <w:bCs w:val="0"/>
          <w:caps w:val="0"/>
          <w:kern w:val="2"/>
          <w:sz w:val="21"/>
          <w:szCs w:val="24"/>
        </w:rPr>
      </w:pPr>
      <w:r>
        <w:rPr>
          <w:rFonts w:eastAsia="黑体" w:hint="eastAsia"/>
        </w:rPr>
        <w:t>第四章</w:t>
      </w:r>
      <w:r>
        <w:rPr>
          <w:rFonts w:eastAsia="黑体"/>
        </w:rPr>
        <w:t xml:space="preserve">  </w:t>
      </w:r>
      <w:r>
        <w:rPr>
          <w:rFonts w:eastAsia="黑体" w:hint="eastAsia"/>
        </w:rPr>
        <w:t>本</w:t>
      </w:r>
      <w:r>
        <w:rPr>
          <w:rFonts w:eastAsia="黑体" w:hint="eastAsia"/>
          <w:lang w:eastAsia="zh-CN"/>
        </w:rPr>
        <w:t>相关项目</w:t>
      </w:r>
      <w:r>
        <w:rPr>
          <w:rFonts w:eastAsia="黑体" w:hint="eastAsia"/>
        </w:rPr>
        <w:t>建设规模</w:t>
      </w:r>
      <w:r>
        <w:tab/>
      </w:r>
      <w:r>
        <w:fldChar w:fldCharType="begin"/>
      </w:r>
      <w:r>
        <w:instrText xml:space="preserve"> PAGEREF _Toc353747192 \h </w:instrText>
      </w:r>
      <w:r>
        <w:fldChar w:fldCharType="separate"/>
      </w:r>
      <w:r>
        <w:t>33</w:t>
      </w:r>
      <w:r>
        <w:fldChar w:fldCharType="end"/>
      </w:r>
    </w:p>
    <w:p>
      <w:pPr>
        <w:pStyle w:val="TOC2"/>
        <w:rPr>
          <w:rFonts w:ascii="Times New Roman" w:eastAsia="宋体"/>
          <w:smallCaps w:val="0"/>
          <w:kern w:val="2"/>
          <w:sz w:val="21"/>
        </w:rPr>
      </w:pPr>
      <w:r>
        <w:rPr>
          <w:rFonts w:ascii="Times New Roman"/>
        </w:rPr>
        <w:t xml:space="preserve">4.1 </w:t>
      </w:r>
      <w:r>
        <w:rPr>
          <w:rFonts w:ascii="Times New Roman" w:hint="eastAsia"/>
        </w:rPr>
        <w:t>确定原则</w:t>
      </w:r>
      <w:r>
        <w:tab/>
      </w:r>
      <w:r>
        <w:fldChar w:fldCharType="begin"/>
      </w:r>
      <w:r>
        <w:instrText xml:space="preserve"> PAGEREF _Toc353747193 \h </w:instrText>
      </w:r>
      <w:r>
        <w:fldChar w:fldCharType="separate"/>
      </w:r>
      <w:r>
        <w:t>33</w:t>
      </w:r>
      <w:r>
        <w:fldChar w:fldCharType="end"/>
      </w:r>
    </w:p>
    <w:p>
      <w:pPr>
        <w:pStyle w:val="TOC2"/>
        <w:rPr>
          <w:rFonts w:ascii="Times New Roman" w:eastAsia="宋体"/>
          <w:smallCaps w:val="0"/>
          <w:kern w:val="2"/>
          <w:sz w:val="21"/>
        </w:rPr>
      </w:pPr>
      <w:r>
        <w:rPr>
          <w:rFonts w:ascii="Times New Roman"/>
        </w:rPr>
        <w:t xml:space="preserve">4.2 </w:t>
      </w:r>
      <w:r>
        <w:rPr>
          <w:rFonts w:ascii="Times New Roman" w:hint="eastAsia"/>
        </w:rPr>
        <w:t>建设规模</w:t>
      </w:r>
      <w:r>
        <w:tab/>
      </w:r>
      <w:r>
        <w:fldChar w:fldCharType="begin"/>
      </w:r>
      <w:r>
        <w:instrText xml:space="preserve"> PAGEREF _Toc353747194 \h </w:instrText>
      </w:r>
      <w:r>
        <w:fldChar w:fldCharType="separate"/>
      </w:r>
      <w:r>
        <w:t>33</w:t>
      </w:r>
      <w:r>
        <w:fldChar w:fldCharType="end"/>
      </w:r>
    </w:p>
    <w:p>
      <w:pPr>
        <w:pStyle w:val="TOC2"/>
        <w:rPr>
          <w:rFonts w:ascii="Times New Roman" w:eastAsia="宋体"/>
          <w:smallCaps w:val="0"/>
          <w:kern w:val="2"/>
          <w:sz w:val="21"/>
        </w:rPr>
      </w:pPr>
      <w:r>
        <w:rPr>
          <w:rFonts w:ascii="Times New Roman"/>
        </w:rPr>
        <w:t xml:space="preserve">4.3 </w:t>
      </w:r>
      <w:r>
        <w:rPr>
          <w:rFonts w:ascii="Times New Roman" w:hint="eastAsia"/>
        </w:rPr>
        <w:t>营业</w:t>
      </w:r>
      <w:r>
        <w:rPr>
          <w:rFonts w:ascii="Times New Roman" w:hint="eastAsia"/>
          <w:lang w:eastAsia="zh-CN"/>
        </w:rPr>
        <w:t>合适的方案</w:t>
      </w:r>
      <w:r>
        <w:tab/>
      </w:r>
      <w:r>
        <w:fldChar w:fldCharType="begin"/>
      </w:r>
      <w:r>
        <w:instrText xml:space="preserve"> PAGEREF _Toc353747195 \h </w:instrText>
      </w:r>
      <w:r>
        <w:fldChar w:fldCharType="separate"/>
      </w:r>
      <w:r>
        <w:t>34</w:t>
      </w:r>
      <w:r>
        <w:fldChar w:fldCharType="end"/>
      </w:r>
    </w:p>
    <w:p>
      <w:pPr>
        <w:pStyle w:val="TOC1"/>
        <w:rPr>
          <w:bCs w:val="0"/>
          <w:caps w:val="0"/>
          <w:kern w:val="2"/>
          <w:sz w:val="21"/>
          <w:szCs w:val="24"/>
        </w:rPr>
      </w:pPr>
      <w:r>
        <w:rPr>
          <w:rFonts w:eastAsia="黑体" w:hint="eastAsia"/>
        </w:rPr>
        <w:t>第五章</w:t>
      </w:r>
      <w:r>
        <w:rPr>
          <w:rFonts w:eastAsia="黑体"/>
        </w:rPr>
        <w:t xml:space="preserve">  </w:t>
      </w:r>
      <w:r>
        <w:rPr>
          <w:rFonts w:eastAsia="黑体" w:hint="eastAsia"/>
        </w:rPr>
        <w:t>厂址选择与建设条件</w:t>
      </w:r>
      <w:r>
        <w:tab/>
      </w:r>
      <w:r>
        <w:fldChar w:fldCharType="begin"/>
      </w:r>
      <w:r>
        <w:instrText xml:space="preserve"> PAGEREF _Toc353747196 \h </w:instrText>
      </w:r>
      <w:r>
        <w:fldChar w:fldCharType="separate"/>
      </w:r>
      <w:r>
        <w:t>35</w:t>
      </w:r>
      <w:r>
        <w:fldChar w:fldCharType="end"/>
      </w:r>
    </w:p>
    <w:p>
      <w:pPr>
        <w:pStyle w:val="TOC2"/>
        <w:rPr>
          <w:rFonts w:ascii="Times New Roman" w:eastAsia="宋体"/>
          <w:smallCaps w:val="0"/>
          <w:kern w:val="2"/>
          <w:sz w:val="21"/>
        </w:rPr>
      </w:pPr>
      <w:r>
        <w:rPr>
          <w:rFonts w:ascii="Times New Roman"/>
        </w:rPr>
        <w:t xml:space="preserve">5.1 </w:t>
      </w:r>
      <w:r>
        <w:rPr>
          <w:rFonts w:ascii="Times New Roman" w:hint="eastAsia"/>
        </w:rPr>
        <w:t>地理位置</w:t>
      </w:r>
      <w:r>
        <w:tab/>
      </w:r>
      <w:r>
        <w:fldChar w:fldCharType="begin"/>
      </w:r>
      <w:r>
        <w:instrText xml:space="preserve"> PAGEREF _Toc353747197 \h </w:instrText>
      </w:r>
      <w:r>
        <w:fldChar w:fldCharType="separate"/>
      </w:r>
      <w:r>
        <w:t>35</w:t>
      </w:r>
      <w:r>
        <w:fldChar w:fldCharType="end"/>
      </w:r>
    </w:p>
    <w:p>
      <w:pPr>
        <w:pStyle w:val="TOC2"/>
        <w:rPr>
          <w:rFonts w:ascii="Times New Roman" w:eastAsia="宋体"/>
          <w:smallCaps w:val="0"/>
          <w:kern w:val="2"/>
          <w:sz w:val="21"/>
        </w:rPr>
      </w:pPr>
      <w:r>
        <w:rPr>
          <w:rFonts w:ascii="Times New Roman"/>
        </w:rPr>
        <w:t xml:space="preserve">5.2 </w:t>
      </w:r>
      <w:r>
        <w:rPr>
          <w:rFonts w:ascii="Times New Roman" w:hint="eastAsia"/>
        </w:rPr>
        <w:t>厂址建设条件</w:t>
      </w:r>
      <w:r>
        <w:tab/>
      </w:r>
      <w:r>
        <w:fldChar w:fldCharType="begin"/>
      </w:r>
      <w:r>
        <w:instrText xml:space="preserve"> PAGEREF _Toc353747198 \h </w:instrText>
      </w:r>
      <w:r>
        <w:fldChar w:fldCharType="separate"/>
      </w:r>
      <w:r>
        <w:t>35</w:t>
      </w:r>
      <w:r>
        <w:fldChar w:fldCharType="end"/>
      </w:r>
    </w:p>
    <w:p>
      <w:pPr>
        <w:pStyle w:val="TOC1"/>
        <w:rPr>
          <w:bCs w:val="0"/>
          <w:caps w:val="0"/>
          <w:kern w:val="2"/>
          <w:sz w:val="21"/>
          <w:szCs w:val="24"/>
        </w:rPr>
      </w:pPr>
      <w:r>
        <w:rPr>
          <w:rFonts w:eastAsia="黑体" w:hint="eastAsia"/>
        </w:rPr>
        <w:t>第六章</w:t>
      </w:r>
      <w:r>
        <w:rPr>
          <w:rFonts w:eastAsia="黑体"/>
        </w:rPr>
        <w:t xml:space="preserve">  </w:t>
      </w:r>
      <w:r>
        <w:rPr>
          <w:rFonts w:eastAsia="黑体" w:hint="eastAsia"/>
          <w:lang w:eastAsia="zh-CN"/>
        </w:rPr>
        <w:t>相关项目</w:t>
      </w:r>
      <w:r>
        <w:rPr>
          <w:rFonts w:eastAsia="黑体" w:hint="eastAsia"/>
        </w:rPr>
        <w:t>建设</w:t>
      </w:r>
      <w:r>
        <w:rPr>
          <w:rFonts w:eastAsia="黑体" w:hint="eastAsia"/>
          <w:lang w:eastAsia="zh-CN"/>
        </w:rPr>
        <w:t>合适的方案</w:t>
      </w:r>
      <w:r>
        <w:tab/>
      </w:r>
      <w:r>
        <w:fldChar w:fldCharType="begin"/>
      </w:r>
      <w:r>
        <w:instrText xml:space="preserve"> PAGEREF _Toc353747199 \h </w:instrText>
      </w:r>
      <w:r>
        <w:fldChar w:fldCharType="separate"/>
      </w:r>
      <w:r>
        <w:t>40</w:t>
      </w:r>
      <w:r>
        <w:fldChar w:fldCharType="end"/>
      </w:r>
    </w:p>
    <w:p>
      <w:pPr>
        <w:pStyle w:val="TOC2"/>
        <w:rPr>
          <w:rFonts w:ascii="Times New Roman" w:eastAsia="宋体"/>
          <w:smallCaps w:val="0"/>
          <w:kern w:val="2"/>
          <w:sz w:val="21"/>
        </w:rPr>
      </w:pPr>
      <w:r>
        <w:rPr>
          <w:rFonts w:ascii="Times New Roman"/>
        </w:rPr>
        <w:t>6.1</w:t>
      </w:r>
      <w:r>
        <w:rPr>
          <w:rFonts w:ascii="Times New Roman" w:hint="eastAsia"/>
        </w:rPr>
        <w:t>建筑设计指导思想及原则</w:t>
      </w:r>
      <w:r>
        <w:tab/>
      </w:r>
      <w:r>
        <w:fldChar w:fldCharType="begin"/>
      </w:r>
      <w:r>
        <w:instrText xml:space="preserve"> PAGEREF _Toc353747200 \h </w:instrText>
      </w:r>
      <w:r>
        <w:fldChar w:fldCharType="separate"/>
      </w:r>
      <w:r>
        <w:t>40</w:t>
      </w:r>
      <w:r>
        <w:fldChar w:fldCharType="end"/>
      </w:r>
    </w:p>
    <w:p>
      <w:pPr>
        <w:pStyle w:val="TOC2"/>
        <w:rPr>
          <w:rFonts w:ascii="Times New Roman" w:eastAsia="宋体"/>
          <w:smallCaps w:val="0"/>
          <w:kern w:val="2"/>
          <w:sz w:val="21"/>
        </w:rPr>
      </w:pPr>
      <w:r>
        <w:rPr>
          <w:rFonts w:ascii="Times New Roman"/>
        </w:rPr>
        <w:t>6.2</w:t>
      </w:r>
      <w:r>
        <w:rPr>
          <w:rFonts w:ascii="Times New Roman" w:hint="eastAsia"/>
        </w:rPr>
        <w:t>总平面布置和功能要求</w:t>
      </w:r>
      <w:r>
        <w:tab/>
      </w:r>
      <w:r>
        <w:fldChar w:fldCharType="begin"/>
      </w:r>
      <w:r>
        <w:instrText xml:space="preserve"> PAGEREF _Toc353747201 \h </w:instrText>
      </w:r>
      <w:r>
        <w:fldChar w:fldCharType="separate"/>
      </w:r>
      <w:r>
        <w:t>41</w:t>
      </w:r>
      <w:r>
        <w:fldChar w:fldCharType="end"/>
      </w:r>
    </w:p>
    <w:p>
      <w:pPr>
        <w:pStyle w:val="TOC2"/>
        <w:rPr>
          <w:rFonts w:ascii="Times New Roman" w:eastAsia="宋体"/>
          <w:smallCaps w:val="0"/>
          <w:kern w:val="2"/>
          <w:sz w:val="21"/>
        </w:rPr>
      </w:pPr>
      <w:r>
        <w:rPr>
          <w:rFonts w:ascii="Times New Roman"/>
        </w:rPr>
        <w:t xml:space="preserve">6.3 </w:t>
      </w:r>
      <w:r>
        <w:rPr>
          <w:rFonts w:ascii="Times New Roman" w:hint="eastAsia"/>
        </w:rPr>
        <w:t>建筑设计</w:t>
      </w:r>
      <w:r>
        <w:rPr>
          <w:rFonts w:ascii="Times New Roman" w:hint="eastAsia"/>
          <w:lang w:eastAsia="zh-CN"/>
        </w:rPr>
        <w:t>合适的方案</w:t>
      </w:r>
      <w:r>
        <w:tab/>
      </w:r>
      <w:r>
        <w:fldChar w:fldCharType="begin"/>
      </w:r>
      <w:r>
        <w:instrText xml:space="preserve"> PAGEREF _Toc353747202 \h </w:instrText>
      </w:r>
      <w:r>
        <w:fldChar w:fldCharType="separate"/>
      </w:r>
      <w:r>
        <w:t>44</w:t>
      </w:r>
      <w:r>
        <w:fldChar w:fldCharType="end"/>
      </w:r>
    </w:p>
    <w:p>
      <w:pPr>
        <w:pStyle w:val="TOC2"/>
        <w:rPr>
          <w:rFonts w:ascii="Times New Roman" w:eastAsia="宋体"/>
          <w:smallCaps w:val="0"/>
          <w:kern w:val="2"/>
          <w:sz w:val="21"/>
        </w:rPr>
      </w:pPr>
      <w:r>
        <w:rPr>
          <w:rFonts w:ascii="Times New Roman"/>
        </w:rPr>
        <w:t xml:space="preserve">6.4 </w:t>
      </w:r>
      <w:r>
        <w:rPr>
          <w:rFonts w:ascii="Times New Roman" w:hint="eastAsia"/>
        </w:rPr>
        <w:t>给水工程</w:t>
      </w:r>
      <w:r>
        <w:tab/>
      </w:r>
      <w:r>
        <w:fldChar w:fldCharType="begin"/>
      </w:r>
      <w:r>
        <w:instrText xml:space="preserve"> PAGEREF _Toc353747203 \h </w:instrText>
      </w:r>
      <w:r>
        <w:fldChar w:fldCharType="separate"/>
      </w:r>
      <w:r>
        <w:t>51</w:t>
      </w:r>
      <w:r>
        <w:fldChar w:fldCharType="end"/>
      </w:r>
    </w:p>
    <w:p>
      <w:pPr>
        <w:pStyle w:val="TOC2"/>
        <w:rPr>
          <w:rFonts w:ascii="Times New Roman" w:eastAsia="宋体"/>
          <w:smallCaps w:val="0"/>
          <w:kern w:val="2"/>
          <w:sz w:val="21"/>
        </w:rPr>
      </w:pPr>
      <w:r>
        <w:rPr>
          <w:rFonts w:ascii="Times New Roman"/>
        </w:rPr>
        <w:t xml:space="preserve">6.5 </w:t>
      </w:r>
      <w:r>
        <w:rPr>
          <w:rFonts w:ascii="Times New Roman" w:hint="eastAsia"/>
        </w:rPr>
        <w:t>排水工程</w:t>
      </w:r>
      <w:r>
        <w:tab/>
      </w:r>
      <w:r>
        <w:fldChar w:fldCharType="begin"/>
      </w:r>
      <w:r>
        <w:instrText xml:space="preserve"> PAGEREF _Toc353747204 \h </w:instrText>
      </w:r>
      <w:r>
        <w:fldChar w:fldCharType="separate"/>
      </w:r>
      <w:r>
        <w:t>52</w:t>
      </w:r>
      <w:r>
        <w:fldChar w:fldCharType="end"/>
      </w:r>
    </w:p>
    <w:p>
      <w:pPr>
        <w:pStyle w:val="TOC2"/>
        <w:rPr>
          <w:rFonts w:ascii="Times New Roman" w:eastAsia="宋体"/>
          <w:smallCaps w:val="0"/>
          <w:kern w:val="2"/>
          <w:sz w:val="21"/>
        </w:rPr>
      </w:pPr>
      <w:r>
        <w:rPr>
          <w:rFonts w:ascii="Times New Roman"/>
        </w:rPr>
        <w:t xml:space="preserve">6.6 </w:t>
      </w:r>
      <w:r>
        <w:rPr>
          <w:rFonts w:ascii="Times New Roman" w:hint="eastAsia"/>
        </w:rPr>
        <w:t>供配电</w:t>
      </w:r>
      <w:r>
        <w:tab/>
      </w:r>
      <w:r>
        <w:fldChar w:fldCharType="begin"/>
      </w:r>
      <w:r>
        <w:instrText xml:space="preserve"> PAGEREF _Toc353747205 \h </w:instrText>
      </w:r>
      <w:r>
        <w:fldChar w:fldCharType="separate"/>
      </w:r>
      <w:r>
        <w:t>53</w:t>
      </w:r>
      <w:r>
        <w:fldChar w:fldCharType="end"/>
      </w:r>
    </w:p>
    <w:p>
      <w:pPr>
        <w:pStyle w:val="TOC2"/>
        <w:rPr>
          <w:rFonts w:ascii="Times New Roman" w:eastAsia="宋体"/>
          <w:smallCaps w:val="0"/>
          <w:kern w:val="2"/>
          <w:sz w:val="21"/>
        </w:rPr>
      </w:pPr>
      <w:r>
        <w:rPr>
          <w:rFonts w:ascii="Times New Roman"/>
        </w:rPr>
        <w:t>6.7</w:t>
      </w:r>
      <w:r>
        <w:rPr>
          <w:rFonts w:ascii="Times New Roman" w:hint="eastAsia"/>
        </w:rPr>
        <w:t>采暖通风</w:t>
      </w:r>
      <w:r>
        <w:rPr>
          <w:rFonts w:ascii="Times New Roman" w:hint="eastAsia"/>
          <w:lang w:eastAsia="zh-CN"/>
        </w:rPr>
        <w:t>合适的方案</w:t>
      </w:r>
      <w:r>
        <w:tab/>
      </w:r>
      <w:r>
        <w:fldChar w:fldCharType="begin"/>
      </w:r>
      <w:r>
        <w:instrText xml:space="preserve"> PAGEREF _Toc353747206 \h </w:instrText>
      </w:r>
      <w:r>
        <w:fldChar w:fldCharType="separate"/>
      </w:r>
      <w:r>
        <w:t>54</w:t>
      </w:r>
      <w:r>
        <w:fldChar w:fldCharType="end"/>
      </w:r>
    </w:p>
    <w:p>
      <w:pPr>
        <w:pStyle w:val="TOC2"/>
        <w:rPr>
          <w:rFonts w:ascii="Times New Roman" w:eastAsia="宋体"/>
          <w:smallCaps w:val="0"/>
          <w:kern w:val="2"/>
          <w:sz w:val="21"/>
        </w:rPr>
      </w:pPr>
      <w:r>
        <w:rPr>
          <w:rFonts w:ascii="Times New Roman"/>
        </w:rPr>
        <w:t>6.8</w:t>
      </w:r>
      <w:r>
        <w:rPr>
          <w:rFonts w:ascii="Times New Roman" w:hint="eastAsia"/>
        </w:rPr>
        <w:t>弱电</w:t>
      </w:r>
      <w:r>
        <w:rPr>
          <w:rFonts w:ascii="Times New Roman" w:hint="eastAsia"/>
          <w:lang w:eastAsia="zh-CN"/>
        </w:rPr>
        <w:t>合适的方案</w:t>
      </w:r>
      <w:r>
        <w:tab/>
      </w:r>
      <w:r>
        <w:fldChar w:fldCharType="begin"/>
      </w:r>
      <w:r>
        <w:instrText xml:space="preserve"> PAGEREF _Toc353747207 \h </w:instrText>
      </w:r>
      <w:r>
        <w:fldChar w:fldCharType="separate"/>
      </w:r>
      <w:r>
        <w:t>54</w:t>
      </w:r>
      <w:r>
        <w:fldChar w:fldCharType="end"/>
      </w:r>
    </w:p>
    <w:p>
      <w:pPr>
        <w:pStyle w:val="TOC1"/>
        <w:rPr>
          <w:bCs w:val="0"/>
          <w:caps w:val="0"/>
          <w:kern w:val="2"/>
          <w:sz w:val="21"/>
          <w:szCs w:val="24"/>
        </w:rPr>
      </w:pPr>
      <w:r>
        <w:rPr>
          <w:rFonts w:eastAsia="黑体" w:hint="eastAsia"/>
        </w:rPr>
        <w:t>第七章</w:t>
      </w:r>
      <w:r>
        <w:rPr>
          <w:rFonts w:eastAsia="黑体"/>
        </w:rPr>
        <w:t xml:space="preserve">  </w:t>
      </w:r>
      <w:r>
        <w:rPr>
          <w:rFonts w:eastAsia="黑体" w:hint="eastAsia"/>
        </w:rPr>
        <w:t>燃料动力供应</w:t>
      </w:r>
      <w:r>
        <w:tab/>
      </w:r>
      <w:r>
        <w:fldChar w:fldCharType="begin"/>
      </w:r>
      <w:r>
        <w:instrText xml:space="preserve"> PAGEREF _Toc353747208 \h </w:instrText>
      </w:r>
      <w:r>
        <w:fldChar w:fldCharType="separate"/>
      </w:r>
      <w:r>
        <w:t>55</w:t>
      </w:r>
      <w:r>
        <w:fldChar w:fldCharType="end"/>
      </w:r>
    </w:p>
    <w:p>
      <w:pPr>
        <w:pStyle w:val="TOC2"/>
        <w:rPr>
          <w:rFonts w:ascii="Times New Roman" w:eastAsia="宋体"/>
          <w:smallCaps w:val="0"/>
          <w:kern w:val="2"/>
          <w:sz w:val="21"/>
        </w:rPr>
      </w:pPr>
      <w:r>
        <w:rPr>
          <w:rFonts w:ascii="Times New Roman"/>
        </w:rPr>
        <w:t xml:space="preserve">7.1 </w:t>
      </w:r>
      <w:r>
        <w:rPr>
          <w:rFonts w:ascii="Times New Roman" w:hint="eastAsia"/>
        </w:rPr>
        <w:t>燃料及动力供应</w:t>
      </w:r>
      <w:r>
        <w:tab/>
      </w:r>
      <w:r>
        <w:fldChar w:fldCharType="begin"/>
      </w:r>
      <w:r>
        <w:instrText xml:space="preserve"> PAGEREF _Toc353747209 \h </w:instrText>
      </w:r>
      <w:r>
        <w:fldChar w:fldCharType="separate"/>
      </w:r>
      <w:r>
        <w:t>55</w:t>
      </w:r>
      <w:r>
        <w:fldChar w:fldCharType="end"/>
      </w:r>
    </w:p>
    <w:p>
      <w:pPr>
        <w:pStyle w:val="TOC1"/>
        <w:rPr>
          <w:bCs w:val="0"/>
          <w:caps w:val="0"/>
          <w:kern w:val="2"/>
          <w:sz w:val="21"/>
          <w:szCs w:val="24"/>
        </w:rPr>
      </w:pPr>
      <w:r>
        <w:rPr>
          <w:rFonts w:eastAsia="黑体" w:hint="eastAsia"/>
        </w:rPr>
        <w:t>第八章</w:t>
      </w:r>
      <w:r>
        <w:rPr>
          <w:rFonts w:eastAsia="黑体"/>
        </w:rPr>
        <w:t xml:space="preserve">  </w:t>
      </w:r>
      <w:r>
        <w:rPr>
          <w:rFonts w:eastAsia="黑体" w:hint="eastAsia"/>
        </w:rPr>
        <w:t>节能</w:t>
      </w:r>
      <w:r>
        <w:tab/>
      </w:r>
      <w:r>
        <w:fldChar w:fldCharType="begin"/>
      </w:r>
      <w:r>
        <w:instrText xml:space="preserve"> PAGEREF _Toc353747210 \h </w:instrText>
      </w:r>
      <w:r>
        <w:fldChar w:fldCharType="separate"/>
      </w:r>
      <w:r>
        <w:t>56</w:t>
      </w:r>
      <w:r>
        <w:fldChar w:fldCharType="end"/>
      </w:r>
    </w:p>
    <w:p>
      <w:pPr>
        <w:pStyle w:val="TOC2"/>
        <w:rPr>
          <w:rFonts w:ascii="Times New Roman" w:eastAsia="宋体"/>
          <w:smallCaps w:val="0"/>
          <w:kern w:val="2"/>
          <w:sz w:val="21"/>
        </w:rPr>
      </w:pPr>
      <w:r>
        <w:rPr>
          <w:rFonts w:ascii="Times New Roman"/>
        </w:rPr>
        <w:t xml:space="preserve">8.1 </w:t>
      </w:r>
      <w:r>
        <w:rPr>
          <w:rFonts w:ascii="Times New Roman" w:hint="eastAsia"/>
        </w:rPr>
        <w:t>节能原则</w:t>
      </w:r>
      <w:r>
        <w:tab/>
      </w:r>
      <w:r>
        <w:fldChar w:fldCharType="begin"/>
      </w:r>
      <w:r>
        <w:instrText xml:space="preserve"> PAGEREF _Toc353747211 \h </w:instrText>
      </w:r>
      <w:r>
        <w:fldChar w:fldCharType="separate"/>
      </w:r>
      <w:r>
        <w:t>56</w:t>
      </w:r>
      <w:r>
        <w:fldChar w:fldCharType="end"/>
      </w:r>
    </w:p>
    <w:p>
      <w:pPr>
        <w:pStyle w:val="TOC2"/>
        <w:rPr>
          <w:rFonts w:ascii="Times New Roman" w:eastAsia="宋体"/>
          <w:smallCaps w:val="0"/>
          <w:kern w:val="2"/>
          <w:sz w:val="21"/>
        </w:rPr>
        <w:sectPr>
          <w:headerReference w:type="even" r:id="rId10"/>
          <w:headerReference w:type="default" r:id="rId11"/>
          <w:footerReference w:type="even" r:id="rId12"/>
          <w:footerReference w:type="default" r:id="rId13"/>
          <w:headerReference w:type="first" r:id="rId14"/>
          <w:footerReference w:type="first" r:id="rId15"/>
          <w:pgSz w:w="11907" w:h="16840"/>
          <w:pgMar w:top="1418" w:right="1588" w:bottom="1418" w:left="1588" w:header="851" w:footer="992" w:gutter="0"/>
          <w:pgNumType w:fmt="upperRoman" w:start="1"/>
          <w:cols w:num="1" w:space="425"/>
          <w:docGrid w:linePitch="312" w:charSpace="0"/>
        </w:sectPr>
      </w:pPr>
      <w:r>
        <w:rPr>
          <w:rFonts w:ascii="Times New Roman"/>
        </w:rPr>
        <w:t xml:space="preserve">8.2 </w:t>
      </w:r>
      <w:r>
        <w:rPr>
          <w:rFonts w:ascii="Times New Roman" w:hint="eastAsia"/>
        </w:rPr>
        <w:t>用能标准</w:t>
      </w:r>
      <w:r>
        <w:tab/>
      </w:r>
      <w:r>
        <w:fldChar w:fldCharType="begin"/>
      </w:r>
      <w:r>
        <w:instrText xml:space="preserve"> PAGEREF _Toc353747212 \h </w:instrText>
      </w:r>
      <w:r>
        <w:fldChar w:fldCharType="separate"/>
      </w:r>
      <w:r>
        <w:t>56</w:t>
      </w:r>
      <w:r>
        <w:fldChar w:fldCharType="end"/>
      </w:r>
    </w:p>
    <w:p>
      <w:pPr>
        <w:pStyle w:val="TOC2"/>
        <w:rPr>
          <w:rFonts w:ascii="Times New Roman" w:eastAsia="宋体"/>
          <w:smallCaps w:val="0"/>
          <w:kern w:val="2"/>
          <w:sz w:val="21"/>
        </w:rPr>
      </w:pPr>
      <w:r>
        <w:rPr>
          <w:rFonts w:ascii="Times New Roman"/>
        </w:rPr>
        <w:t xml:space="preserve">8.2 </w:t>
      </w:r>
      <w:r>
        <w:rPr>
          <w:rFonts w:ascii="Times New Roman" w:hint="eastAsia"/>
        </w:rPr>
        <w:t>节能措施</w:t>
      </w:r>
      <w:r>
        <w:tab/>
      </w:r>
      <w:r>
        <w:fldChar w:fldCharType="begin"/>
      </w:r>
      <w:r>
        <w:instrText xml:space="preserve"> PAGEREF _Toc353747213 \h </w:instrText>
      </w:r>
      <w:r>
        <w:fldChar w:fldCharType="separate"/>
      </w:r>
      <w:r>
        <w:t>57</w:t>
      </w:r>
      <w:r>
        <w:fldChar w:fldCharType="end"/>
      </w:r>
    </w:p>
    <w:p>
      <w:pPr>
        <w:pStyle w:val="TOC1"/>
        <w:rPr>
          <w:bCs w:val="0"/>
          <w:caps w:val="0"/>
          <w:kern w:val="2"/>
          <w:sz w:val="21"/>
          <w:szCs w:val="24"/>
        </w:rPr>
      </w:pPr>
      <w:r>
        <w:rPr>
          <w:rFonts w:eastAsia="黑体" w:hint="eastAsia"/>
        </w:rPr>
        <w:t>第九章</w:t>
      </w:r>
      <w:r>
        <w:rPr>
          <w:rFonts w:eastAsia="黑体"/>
        </w:rPr>
        <w:t xml:space="preserve">  </w:t>
      </w:r>
      <w:r>
        <w:rPr>
          <w:rFonts w:eastAsia="黑体" w:hint="eastAsia"/>
        </w:rPr>
        <w:t>环境保护</w:t>
      </w:r>
      <w:r>
        <w:tab/>
      </w:r>
      <w:r>
        <w:fldChar w:fldCharType="begin"/>
      </w:r>
      <w:r>
        <w:instrText xml:space="preserve"> PAGEREF _Toc353747214 \h </w:instrText>
      </w:r>
      <w:r>
        <w:fldChar w:fldCharType="separate"/>
      </w:r>
      <w:r>
        <w:t>58</w:t>
      </w:r>
      <w:r>
        <w:fldChar w:fldCharType="end"/>
      </w:r>
    </w:p>
    <w:p>
      <w:pPr>
        <w:pStyle w:val="TOC2"/>
        <w:rPr>
          <w:rFonts w:ascii="Times New Roman" w:eastAsia="宋体"/>
          <w:smallCaps w:val="0"/>
          <w:kern w:val="2"/>
          <w:sz w:val="21"/>
        </w:rPr>
      </w:pPr>
      <w:r>
        <w:rPr>
          <w:rFonts w:ascii="Times New Roman"/>
        </w:rPr>
        <w:t xml:space="preserve">9.1 </w:t>
      </w:r>
      <w:r>
        <w:rPr>
          <w:rFonts w:ascii="Times New Roman" w:hint="eastAsia"/>
        </w:rPr>
        <w:t>执行的环境标准</w:t>
      </w:r>
      <w:r>
        <w:tab/>
      </w:r>
      <w:r>
        <w:fldChar w:fldCharType="begin"/>
      </w:r>
      <w:r>
        <w:instrText xml:space="preserve"> PAGEREF _Toc353747215 \h </w:instrText>
      </w:r>
      <w:r>
        <w:fldChar w:fldCharType="separate"/>
      </w:r>
      <w:r>
        <w:t>58</w:t>
      </w:r>
      <w:r>
        <w:fldChar w:fldCharType="end"/>
      </w:r>
    </w:p>
    <w:p>
      <w:pPr>
        <w:pStyle w:val="TOC2"/>
        <w:rPr>
          <w:rFonts w:ascii="Times New Roman" w:eastAsia="宋体"/>
          <w:smallCaps w:val="0"/>
          <w:kern w:val="2"/>
          <w:sz w:val="21"/>
        </w:rPr>
      </w:pPr>
      <w:r>
        <w:rPr>
          <w:rFonts w:ascii="Times New Roman"/>
        </w:rPr>
        <w:t xml:space="preserve">9.2 </w:t>
      </w:r>
      <w:r>
        <w:rPr>
          <w:rFonts w:ascii="Times New Roman" w:hint="eastAsia"/>
        </w:rPr>
        <w:t>环境质量现状</w:t>
      </w:r>
      <w:r>
        <w:tab/>
      </w:r>
      <w:r>
        <w:fldChar w:fldCharType="begin"/>
      </w:r>
      <w:r>
        <w:instrText xml:space="preserve"> PAGEREF _Toc353747216 \h </w:instrText>
      </w:r>
      <w:r>
        <w:fldChar w:fldCharType="separate"/>
      </w:r>
      <w:r>
        <w:t>58</w:t>
      </w:r>
      <w:r>
        <w:fldChar w:fldCharType="end"/>
      </w:r>
    </w:p>
    <w:p>
      <w:pPr>
        <w:pStyle w:val="TOC2"/>
        <w:rPr>
          <w:rFonts w:ascii="Times New Roman" w:eastAsia="宋体"/>
          <w:smallCaps w:val="0"/>
          <w:kern w:val="2"/>
          <w:sz w:val="21"/>
        </w:rPr>
      </w:pPr>
      <w:r>
        <w:rPr>
          <w:rFonts w:ascii="Times New Roman"/>
        </w:rPr>
        <w:t xml:space="preserve">9.3 </w:t>
      </w:r>
      <w:r>
        <w:rPr>
          <w:rFonts w:ascii="Times New Roman" w:hint="eastAsia"/>
        </w:rPr>
        <w:t>主要污染源和污染物</w:t>
      </w:r>
      <w:r>
        <w:tab/>
      </w:r>
      <w:r>
        <w:fldChar w:fldCharType="begin"/>
      </w:r>
      <w:r>
        <w:instrText xml:space="preserve"> PAGEREF _Toc353747217 \h </w:instrText>
      </w:r>
      <w:r>
        <w:fldChar w:fldCharType="separate"/>
      </w:r>
      <w:r>
        <w:t>58</w:t>
      </w:r>
      <w:r>
        <w:fldChar w:fldCharType="end"/>
      </w:r>
    </w:p>
    <w:p>
      <w:pPr>
        <w:pStyle w:val="TOC2"/>
        <w:rPr>
          <w:rFonts w:ascii="Times New Roman" w:eastAsia="宋体"/>
          <w:smallCaps w:val="0"/>
          <w:kern w:val="2"/>
          <w:sz w:val="21"/>
        </w:rPr>
      </w:pPr>
      <w:r>
        <w:rPr>
          <w:rFonts w:ascii="Times New Roman"/>
        </w:rPr>
        <w:t>9.4 “</w:t>
      </w:r>
      <w:r>
        <w:rPr>
          <w:rFonts w:ascii="Times New Roman" w:hint="eastAsia"/>
        </w:rPr>
        <w:t>三废</w:t>
      </w:r>
      <w:r>
        <w:rPr>
          <w:rFonts w:ascii="Times New Roman"/>
        </w:rPr>
        <w:t>”</w:t>
      </w:r>
      <w:r>
        <w:rPr>
          <w:rFonts w:ascii="Times New Roman" w:hint="eastAsia"/>
        </w:rPr>
        <w:t>治理措施</w:t>
      </w:r>
      <w:r>
        <w:tab/>
      </w:r>
      <w:r>
        <w:fldChar w:fldCharType="begin"/>
      </w:r>
      <w:r>
        <w:instrText xml:space="preserve"> PAGEREF _Toc353747218 \h </w:instrText>
      </w:r>
      <w:r>
        <w:fldChar w:fldCharType="separate"/>
      </w:r>
      <w:r>
        <w:t>59</w:t>
      </w:r>
      <w:r>
        <w:fldChar w:fldCharType="end"/>
      </w:r>
    </w:p>
    <w:p>
      <w:pPr>
        <w:pStyle w:val="TOC2"/>
        <w:rPr>
          <w:rFonts w:ascii="Times New Roman" w:eastAsia="宋体"/>
          <w:smallCaps w:val="0"/>
          <w:kern w:val="2"/>
          <w:sz w:val="21"/>
        </w:rPr>
      </w:pPr>
      <w:r>
        <w:rPr>
          <w:rFonts w:ascii="Times New Roman"/>
        </w:rPr>
        <w:t xml:space="preserve">9.5 </w:t>
      </w:r>
      <w:r>
        <w:rPr>
          <w:rFonts w:ascii="Times New Roman" w:hint="eastAsia"/>
        </w:rPr>
        <w:t>环境绿化</w:t>
      </w:r>
      <w:r>
        <w:tab/>
      </w:r>
      <w:r>
        <w:fldChar w:fldCharType="begin"/>
      </w:r>
      <w:r>
        <w:instrText xml:space="preserve"> PAGEREF _Toc353747219 \h </w:instrText>
      </w:r>
      <w:r>
        <w:fldChar w:fldCharType="separate"/>
      </w:r>
      <w:r>
        <w:t>60</w:t>
      </w:r>
      <w:r>
        <w:fldChar w:fldCharType="end"/>
      </w:r>
    </w:p>
    <w:p>
      <w:pPr>
        <w:pStyle w:val="TOC2"/>
        <w:rPr>
          <w:rFonts w:ascii="Times New Roman" w:eastAsia="宋体"/>
          <w:smallCaps w:val="0"/>
          <w:kern w:val="2"/>
          <w:sz w:val="21"/>
        </w:rPr>
      </w:pPr>
      <w:r>
        <w:rPr>
          <w:rFonts w:ascii="Times New Roman"/>
        </w:rPr>
        <w:t xml:space="preserve">9.6 </w:t>
      </w:r>
      <w:r>
        <w:rPr>
          <w:rFonts w:ascii="Times New Roman" w:hint="eastAsia"/>
        </w:rPr>
        <w:t>环境影响评估</w:t>
      </w:r>
      <w:r>
        <w:tab/>
      </w:r>
      <w:r>
        <w:fldChar w:fldCharType="begin"/>
      </w:r>
      <w:r>
        <w:instrText xml:space="preserve"> PAGEREF _Toc353747220 \h </w:instrText>
      </w:r>
      <w:r>
        <w:fldChar w:fldCharType="separate"/>
      </w:r>
      <w:r>
        <w:t>60</w:t>
      </w:r>
      <w:r>
        <w:fldChar w:fldCharType="end"/>
      </w:r>
    </w:p>
    <w:p>
      <w:pPr>
        <w:pStyle w:val="TOC1"/>
        <w:rPr>
          <w:bCs w:val="0"/>
          <w:caps w:val="0"/>
          <w:kern w:val="2"/>
          <w:sz w:val="21"/>
          <w:szCs w:val="24"/>
        </w:rPr>
      </w:pPr>
      <w:r>
        <w:rPr>
          <w:rFonts w:eastAsia="黑体" w:hint="eastAsia"/>
        </w:rPr>
        <w:t>第十章</w:t>
      </w:r>
      <w:r>
        <w:rPr>
          <w:rFonts w:eastAsia="黑体"/>
        </w:rPr>
        <w:t xml:space="preserve">  </w:t>
      </w:r>
      <w:r>
        <w:rPr>
          <w:rFonts w:eastAsia="黑体" w:hint="eastAsia"/>
        </w:rPr>
        <w:t>安全、卫生与消防</w:t>
      </w:r>
      <w:r>
        <w:tab/>
      </w:r>
      <w:r>
        <w:fldChar w:fldCharType="begin"/>
      </w:r>
      <w:r>
        <w:instrText xml:space="preserve"> PAGEREF _Toc353747221 \h </w:instrText>
      </w:r>
      <w:r>
        <w:fldChar w:fldCharType="separate"/>
      </w:r>
      <w:r>
        <w:t>61</w:t>
      </w:r>
      <w:r>
        <w:fldChar w:fldCharType="end"/>
      </w:r>
    </w:p>
    <w:p>
      <w:pPr>
        <w:pStyle w:val="TOC2"/>
        <w:rPr>
          <w:rFonts w:ascii="Times New Roman" w:eastAsia="宋体"/>
          <w:smallCaps w:val="0"/>
          <w:kern w:val="2"/>
          <w:sz w:val="21"/>
        </w:rPr>
      </w:pPr>
      <w:r>
        <w:rPr>
          <w:rFonts w:ascii="Times New Roman"/>
        </w:rPr>
        <w:t xml:space="preserve">10.1 </w:t>
      </w:r>
      <w:r>
        <w:rPr>
          <w:rFonts w:ascii="Times New Roman" w:hint="eastAsia"/>
        </w:rPr>
        <w:t>劳动安全</w:t>
      </w:r>
      <w:r>
        <w:tab/>
      </w:r>
      <w:r>
        <w:fldChar w:fldCharType="begin"/>
      </w:r>
      <w:r>
        <w:instrText xml:space="preserve"> PAGEREF _Toc353747222 \h </w:instrText>
      </w:r>
      <w:r>
        <w:fldChar w:fldCharType="separate"/>
      </w:r>
      <w:r>
        <w:t>61</w:t>
      </w:r>
      <w:r>
        <w:fldChar w:fldCharType="end"/>
      </w:r>
    </w:p>
    <w:p>
      <w:pPr>
        <w:pStyle w:val="TOC2"/>
        <w:rPr>
          <w:rFonts w:ascii="Times New Roman" w:eastAsia="宋体"/>
          <w:smallCaps w:val="0"/>
          <w:kern w:val="2"/>
          <w:sz w:val="21"/>
        </w:rPr>
      </w:pPr>
      <w:r>
        <w:rPr>
          <w:rFonts w:ascii="Times New Roman"/>
        </w:rPr>
        <w:t xml:space="preserve">10.2 </w:t>
      </w:r>
      <w:r>
        <w:rPr>
          <w:rFonts w:ascii="Times New Roman" w:hint="eastAsia"/>
        </w:rPr>
        <w:t>市场仓库卫生</w:t>
      </w:r>
      <w:r>
        <w:tab/>
      </w:r>
      <w:r>
        <w:fldChar w:fldCharType="begin"/>
      </w:r>
      <w:r>
        <w:instrText xml:space="preserve"> PAGEREF _Toc353747223 \h </w:instrText>
      </w:r>
      <w:r>
        <w:fldChar w:fldCharType="separate"/>
      </w:r>
      <w:r>
        <w:t>61</w:t>
      </w:r>
      <w:r>
        <w:fldChar w:fldCharType="end"/>
      </w:r>
    </w:p>
    <w:p>
      <w:pPr>
        <w:pStyle w:val="TOC2"/>
        <w:rPr>
          <w:rFonts w:ascii="Times New Roman" w:eastAsia="宋体"/>
          <w:smallCaps w:val="0"/>
          <w:kern w:val="2"/>
          <w:sz w:val="21"/>
        </w:rPr>
      </w:pPr>
      <w:r>
        <w:rPr>
          <w:rFonts w:ascii="Times New Roman"/>
        </w:rPr>
        <w:t xml:space="preserve">10.3 </w:t>
      </w:r>
      <w:r>
        <w:rPr>
          <w:rFonts w:ascii="Times New Roman" w:hint="eastAsia"/>
        </w:rPr>
        <w:t>消防安全</w:t>
      </w:r>
      <w:r>
        <w:tab/>
      </w:r>
      <w:r>
        <w:fldChar w:fldCharType="begin"/>
      </w:r>
      <w:r>
        <w:instrText xml:space="preserve"> PAGEREF _Toc353747224 \h </w:instrText>
      </w:r>
      <w:r>
        <w:fldChar w:fldCharType="separate"/>
      </w:r>
      <w:r>
        <w:t>62</w:t>
      </w:r>
      <w:r>
        <w:fldChar w:fldCharType="end"/>
      </w:r>
    </w:p>
    <w:p>
      <w:pPr>
        <w:pStyle w:val="TOC1"/>
        <w:rPr>
          <w:bCs w:val="0"/>
          <w:caps w:val="0"/>
          <w:kern w:val="2"/>
          <w:sz w:val="21"/>
          <w:szCs w:val="24"/>
        </w:rPr>
      </w:pPr>
      <w:r>
        <w:rPr>
          <w:rFonts w:eastAsia="黑体" w:hint="eastAsia"/>
        </w:rPr>
        <w:t>第十一章</w:t>
      </w:r>
      <w:r>
        <w:rPr>
          <w:rFonts w:eastAsia="黑体"/>
        </w:rPr>
        <w:t xml:space="preserve">  </w:t>
      </w:r>
      <w:r>
        <w:rPr>
          <w:rFonts w:eastAsia="黑体" w:hint="eastAsia"/>
        </w:rPr>
        <w:t>组织机构及人员配置</w:t>
      </w:r>
      <w:r>
        <w:tab/>
      </w:r>
      <w:r>
        <w:fldChar w:fldCharType="begin"/>
      </w:r>
      <w:r>
        <w:instrText xml:space="preserve"> PAGEREF _Toc353747225 \h </w:instrText>
      </w:r>
      <w:r>
        <w:fldChar w:fldCharType="separate"/>
      </w:r>
      <w:r>
        <w:t>63</w:t>
      </w:r>
      <w:r>
        <w:fldChar w:fldCharType="end"/>
      </w:r>
    </w:p>
    <w:p>
      <w:pPr>
        <w:pStyle w:val="TOC2"/>
        <w:rPr>
          <w:rFonts w:ascii="Times New Roman" w:eastAsia="宋体"/>
          <w:smallCaps w:val="0"/>
          <w:kern w:val="2"/>
          <w:sz w:val="21"/>
        </w:rPr>
      </w:pPr>
      <w:r>
        <w:rPr>
          <w:rFonts w:ascii="Times New Roman"/>
        </w:rPr>
        <w:t xml:space="preserve">11.1 </w:t>
      </w:r>
      <w:r>
        <w:rPr>
          <w:rFonts w:ascii="Times New Roman" w:hint="eastAsia"/>
        </w:rPr>
        <w:t>组织机构与职能划分</w:t>
      </w:r>
      <w:r>
        <w:tab/>
      </w:r>
      <w:r>
        <w:fldChar w:fldCharType="begin"/>
      </w:r>
      <w:r>
        <w:instrText xml:space="preserve"> PAGEREF _Toc353747226 \h </w:instrText>
      </w:r>
      <w:r>
        <w:fldChar w:fldCharType="separate"/>
      </w:r>
      <w:r>
        <w:t>63</w:t>
      </w:r>
      <w:r>
        <w:fldChar w:fldCharType="end"/>
      </w:r>
    </w:p>
    <w:p>
      <w:pPr>
        <w:pStyle w:val="TOC2"/>
        <w:rPr>
          <w:rFonts w:ascii="Times New Roman" w:eastAsia="宋体"/>
          <w:smallCaps w:val="0"/>
          <w:kern w:val="2"/>
          <w:sz w:val="21"/>
        </w:rPr>
      </w:pPr>
      <w:r>
        <w:rPr>
          <w:rFonts w:ascii="Times New Roman"/>
        </w:rPr>
        <w:t xml:space="preserve">11.2 </w:t>
      </w:r>
      <w:r>
        <w:rPr>
          <w:rFonts w:ascii="Times New Roman" w:hint="eastAsia"/>
        </w:rPr>
        <w:t>经营</w:t>
      </w:r>
      <w:r>
        <w:rPr>
          <w:rFonts w:ascii="Times New Roman" w:hint="eastAsia"/>
          <w:lang w:eastAsia="zh-CN"/>
        </w:rPr>
        <w:t>管理管控</w:t>
      </w:r>
      <w:r>
        <w:rPr>
          <w:rFonts w:ascii="Times New Roman" w:hint="eastAsia"/>
        </w:rPr>
        <w:t>措施</w:t>
      </w:r>
      <w:r>
        <w:tab/>
      </w:r>
      <w:r>
        <w:fldChar w:fldCharType="begin"/>
      </w:r>
      <w:r>
        <w:instrText xml:space="preserve"> PAGEREF _Toc353747227 \h </w:instrText>
      </w:r>
      <w:r>
        <w:fldChar w:fldCharType="separate"/>
      </w:r>
      <w:r>
        <w:t>64</w:t>
      </w:r>
      <w:r>
        <w:fldChar w:fldCharType="end"/>
      </w:r>
    </w:p>
    <w:p>
      <w:pPr>
        <w:pStyle w:val="TOC2"/>
        <w:rPr>
          <w:rFonts w:ascii="Times New Roman" w:eastAsia="宋体"/>
          <w:smallCaps w:val="0"/>
          <w:kern w:val="2"/>
          <w:sz w:val="21"/>
        </w:rPr>
      </w:pPr>
      <w:r>
        <w:rPr>
          <w:rFonts w:ascii="Times New Roman"/>
        </w:rPr>
        <w:t xml:space="preserve">11.3 </w:t>
      </w:r>
      <w:r>
        <w:rPr>
          <w:rFonts w:ascii="Times New Roman" w:hint="eastAsia"/>
        </w:rPr>
        <w:t>技术培训</w:t>
      </w:r>
      <w:r>
        <w:tab/>
      </w:r>
      <w:r>
        <w:fldChar w:fldCharType="begin"/>
      </w:r>
      <w:r>
        <w:instrText xml:space="preserve"> PAGEREF _Toc353747228 \h </w:instrText>
      </w:r>
      <w:r>
        <w:fldChar w:fldCharType="separate"/>
      </w:r>
      <w:r>
        <w:t>65</w:t>
      </w:r>
      <w:r>
        <w:fldChar w:fldCharType="end"/>
      </w:r>
    </w:p>
    <w:p>
      <w:pPr>
        <w:pStyle w:val="TOC1"/>
        <w:rPr>
          <w:bCs w:val="0"/>
          <w:caps w:val="0"/>
          <w:kern w:val="2"/>
          <w:sz w:val="21"/>
          <w:szCs w:val="24"/>
        </w:rPr>
      </w:pPr>
      <w:r>
        <w:rPr>
          <w:rFonts w:eastAsia="黑体" w:hint="eastAsia"/>
        </w:rPr>
        <w:t>第十二章</w:t>
      </w:r>
      <w:r>
        <w:rPr>
          <w:rFonts w:eastAsia="黑体"/>
        </w:rPr>
        <w:t xml:space="preserve">  </w:t>
      </w:r>
      <w:r>
        <w:rPr>
          <w:rFonts w:eastAsia="黑体" w:hint="eastAsia"/>
          <w:lang w:eastAsia="zh-CN"/>
        </w:rPr>
        <w:t>相关项目</w:t>
      </w:r>
      <w:r>
        <w:rPr>
          <w:rFonts w:eastAsia="黑体" w:hint="eastAsia"/>
        </w:rPr>
        <w:t>实施进度安排</w:t>
      </w:r>
      <w:r>
        <w:tab/>
      </w:r>
      <w:r>
        <w:fldChar w:fldCharType="begin"/>
      </w:r>
      <w:r>
        <w:instrText xml:space="preserve"> PAGEREF _Toc353747229 \h </w:instrText>
      </w:r>
      <w:r>
        <w:fldChar w:fldCharType="separate"/>
      </w:r>
      <w:r>
        <w:t>67</w:t>
      </w:r>
      <w:r>
        <w:fldChar w:fldCharType="end"/>
      </w:r>
    </w:p>
    <w:p>
      <w:pPr>
        <w:pStyle w:val="TOC1"/>
        <w:rPr>
          <w:bCs w:val="0"/>
          <w:caps w:val="0"/>
          <w:kern w:val="2"/>
          <w:sz w:val="21"/>
          <w:szCs w:val="24"/>
        </w:rPr>
      </w:pPr>
      <w:r>
        <w:rPr>
          <w:rFonts w:eastAsia="黑体" w:hint="eastAsia"/>
        </w:rPr>
        <w:t>第十三章</w:t>
      </w:r>
      <w:r>
        <w:rPr>
          <w:rFonts w:eastAsia="黑体"/>
        </w:rPr>
        <w:t xml:space="preserve">  </w:t>
      </w:r>
      <w:r>
        <w:rPr>
          <w:rFonts w:eastAsia="黑体" w:hint="eastAsia"/>
          <w:lang w:eastAsia="zh-CN"/>
        </w:rPr>
        <w:t>相关项目</w:t>
      </w:r>
      <w:r>
        <w:rPr>
          <w:rFonts w:eastAsia="黑体" w:hint="eastAsia"/>
        </w:rPr>
        <w:t>招标</w:t>
      </w:r>
      <w:r>
        <w:rPr>
          <w:rFonts w:eastAsia="黑体" w:hint="eastAsia"/>
          <w:lang w:eastAsia="zh-CN"/>
        </w:rPr>
        <w:t>合适的方案</w:t>
      </w:r>
      <w:r>
        <w:tab/>
      </w:r>
      <w:r>
        <w:fldChar w:fldCharType="begin"/>
      </w:r>
      <w:r>
        <w:instrText xml:space="preserve"> PAGEREF _Toc353747230 \h </w:instrText>
      </w:r>
      <w:r>
        <w:fldChar w:fldCharType="separate"/>
      </w:r>
      <w:r>
        <w:t>68</w:t>
      </w:r>
      <w:r>
        <w:fldChar w:fldCharType="end"/>
      </w:r>
    </w:p>
    <w:p>
      <w:pPr>
        <w:pStyle w:val="TOC2"/>
        <w:rPr>
          <w:rFonts w:ascii="Times New Roman" w:eastAsia="宋体"/>
          <w:smallCaps w:val="0"/>
          <w:kern w:val="2"/>
          <w:sz w:val="21"/>
        </w:rPr>
      </w:pPr>
      <w:r>
        <w:rPr>
          <w:rFonts w:ascii="Times New Roman"/>
        </w:rPr>
        <w:t xml:space="preserve">13.1 </w:t>
      </w:r>
      <w:r>
        <w:rPr>
          <w:rFonts w:ascii="Times New Roman" w:hint="eastAsia"/>
        </w:rPr>
        <w:t>招标依据</w:t>
      </w:r>
      <w:r>
        <w:tab/>
      </w:r>
      <w:r>
        <w:fldChar w:fldCharType="begin"/>
      </w:r>
      <w:r>
        <w:instrText xml:space="preserve"> PAGEREF _Toc353747231 \h </w:instrText>
      </w:r>
      <w:r>
        <w:fldChar w:fldCharType="separate"/>
      </w:r>
      <w:r>
        <w:t>68</w:t>
      </w:r>
      <w:r>
        <w:fldChar w:fldCharType="end"/>
      </w:r>
    </w:p>
    <w:p>
      <w:pPr>
        <w:pStyle w:val="TOC2"/>
        <w:rPr>
          <w:rFonts w:ascii="Times New Roman" w:eastAsia="宋体"/>
          <w:smallCaps w:val="0"/>
          <w:kern w:val="2"/>
          <w:sz w:val="21"/>
        </w:rPr>
      </w:pPr>
      <w:r>
        <w:rPr>
          <w:rFonts w:ascii="Times New Roman"/>
        </w:rPr>
        <w:t xml:space="preserve">13.2 </w:t>
      </w:r>
      <w:r>
        <w:rPr>
          <w:rFonts w:ascii="Times New Roman" w:hint="eastAsia"/>
        </w:rPr>
        <w:t>招标方式</w:t>
      </w:r>
      <w:r>
        <w:tab/>
      </w:r>
      <w:r>
        <w:fldChar w:fldCharType="begin"/>
      </w:r>
      <w:r>
        <w:instrText xml:space="preserve"> PAGEREF _Toc353747232 \h </w:instrText>
      </w:r>
      <w:r>
        <w:fldChar w:fldCharType="separate"/>
      </w:r>
      <w:r>
        <w:t>68</w:t>
      </w:r>
      <w:r>
        <w:fldChar w:fldCharType="end"/>
      </w:r>
    </w:p>
    <w:p>
      <w:pPr>
        <w:pStyle w:val="TOC2"/>
        <w:rPr>
          <w:rFonts w:ascii="Times New Roman" w:eastAsia="宋体"/>
          <w:smallCaps w:val="0"/>
          <w:kern w:val="2"/>
          <w:sz w:val="21"/>
        </w:rPr>
      </w:pPr>
      <w:r>
        <w:rPr>
          <w:rFonts w:ascii="Times New Roman"/>
        </w:rPr>
        <w:t xml:space="preserve">13.3 </w:t>
      </w:r>
      <w:r>
        <w:rPr>
          <w:rFonts w:ascii="Times New Roman" w:hint="eastAsia"/>
        </w:rPr>
        <w:t>招标程序</w:t>
      </w:r>
      <w:r>
        <w:tab/>
      </w:r>
      <w:r>
        <w:fldChar w:fldCharType="begin"/>
      </w:r>
      <w:r>
        <w:instrText xml:space="preserve"> PAGEREF _Toc353747233 \h </w:instrText>
      </w:r>
      <w:r>
        <w:fldChar w:fldCharType="separate"/>
      </w:r>
      <w:r>
        <w:t>68</w:t>
      </w:r>
      <w:r>
        <w:fldChar w:fldCharType="end"/>
      </w:r>
    </w:p>
    <w:p>
      <w:pPr>
        <w:pStyle w:val="TOC2"/>
        <w:rPr>
          <w:rFonts w:ascii="Times New Roman" w:eastAsia="宋体"/>
          <w:smallCaps w:val="0"/>
          <w:kern w:val="2"/>
          <w:sz w:val="21"/>
        </w:rPr>
      </w:pPr>
      <w:r>
        <w:rPr>
          <w:rFonts w:ascii="Times New Roman"/>
        </w:rPr>
        <w:t xml:space="preserve">13.4 </w:t>
      </w:r>
      <w:r>
        <w:rPr>
          <w:rFonts w:ascii="Times New Roman" w:hint="eastAsia"/>
        </w:rPr>
        <w:t>招标组织</w:t>
      </w:r>
      <w:r>
        <w:tab/>
      </w:r>
      <w:r>
        <w:fldChar w:fldCharType="begin"/>
      </w:r>
      <w:r>
        <w:instrText xml:space="preserve"> PAGEREF _Toc353747234 \h </w:instrText>
      </w:r>
      <w:r>
        <w:fldChar w:fldCharType="separate"/>
      </w:r>
      <w:r>
        <w:t>68</w:t>
      </w:r>
      <w:r>
        <w:fldChar w:fldCharType="end"/>
      </w:r>
    </w:p>
    <w:p>
      <w:pPr>
        <w:pStyle w:val="TOC1"/>
        <w:rPr>
          <w:bCs w:val="0"/>
          <w:caps w:val="0"/>
          <w:kern w:val="2"/>
          <w:sz w:val="21"/>
          <w:szCs w:val="24"/>
        </w:rPr>
      </w:pPr>
      <w:r>
        <w:rPr>
          <w:rFonts w:eastAsia="黑体" w:hint="eastAsia"/>
        </w:rPr>
        <w:t>第十四章</w:t>
      </w:r>
      <w:r>
        <w:rPr>
          <w:rFonts w:eastAsia="黑体"/>
        </w:rPr>
        <w:t xml:space="preserve">  </w:t>
      </w:r>
      <w:r>
        <w:rPr>
          <w:rFonts w:eastAsia="黑体" w:hint="eastAsia"/>
        </w:rPr>
        <w:t>投资估算和资金筹措</w:t>
      </w:r>
      <w:r>
        <w:tab/>
      </w:r>
      <w:r>
        <w:fldChar w:fldCharType="begin"/>
      </w:r>
      <w:r>
        <w:instrText xml:space="preserve"> PAGEREF _Toc353747235 \h </w:instrText>
      </w:r>
      <w:r>
        <w:fldChar w:fldCharType="separate"/>
      </w:r>
      <w:r>
        <w:t>71</w:t>
      </w:r>
      <w:r>
        <w:fldChar w:fldCharType="end"/>
      </w:r>
    </w:p>
    <w:p>
      <w:pPr>
        <w:pStyle w:val="TOC1"/>
        <w:rPr>
          <w:bCs w:val="0"/>
          <w:caps w:val="0"/>
          <w:kern w:val="2"/>
          <w:sz w:val="21"/>
          <w:szCs w:val="24"/>
        </w:rPr>
      </w:pPr>
      <w:r>
        <w:rPr>
          <w:rFonts w:eastAsia="黑体" w:hint="eastAsia"/>
        </w:rPr>
        <w:t>第十五章</w:t>
      </w:r>
      <w:r>
        <w:rPr>
          <w:rFonts w:eastAsia="黑体"/>
        </w:rPr>
        <w:t xml:space="preserve">  </w:t>
      </w:r>
      <w:r>
        <w:rPr>
          <w:rFonts w:eastAsia="黑体" w:hint="eastAsia"/>
        </w:rPr>
        <w:t>资金筹措和用款</w:t>
      </w:r>
      <w:r>
        <w:rPr>
          <w:rFonts w:eastAsia="黑体" w:hint="eastAsia"/>
          <w:lang w:eastAsia="zh-CN"/>
        </w:rPr>
        <w:t>相关计划</w:t>
      </w:r>
      <w:r>
        <w:tab/>
      </w:r>
      <w:r>
        <w:fldChar w:fldCharType="begin"/>
      </w:r>
      <w:r>
        <w:instrText xml:space="preserve"> PAGEREF _Toc353747236 \h </w:instrText>
      </w:r>
      <w:r>
        <w:fldChar w:fldCharType="separate"/>
      </w:r>
      <w:r>
        <w:t>73</w:t>
      </w:r>
      <w:r>
        <w:fldChar w:fldCharType="end"/>
      </w:r>
    </w:p>
    <w:p>
      <w:pPr>
        <w:pStyle w:val="TOC2"/>
        <w:rPr>
          <w:rFonts w:ascii="Times New Roman" w:eastAsia="宋体"/>
          <w:smallCaps w:val="0"/>
          <w:kern w:val="2"/>
          <w:sz w:val="21"/>
        </w:rPr>
      </w:pPr>
      <w:r>
        <w:rPr>
          <w:rFonts w:ascii="Times New Roman"/>
        </w:rPr>
        <w:t xml:space="preserve">15.1 </w:t>
      </w:r>
      <w:r>
        <w:rPr>
          <w:rFonts w:ascii="Times New Roman" w:hint="eastAsia"/>
        </w:rPr>
        <w:t>资金筹措</w:t>
      </w:r>
      <w:r>
        <w:tab/>
      </w:r>
      <w:r>
        <w:fldChar w:fldCharType="begin"/>
      </w:r>
      <w:r>
        <w:instrText xml:space="preserve"> PAGEREF _Toc353747237 \h </w:instrText>
      </w:r>
      <w:r>
        <w:fldChar w:fldCharType="separate"/>
      </w:r>
      <w:r>
        <w:t>73</w:t>
      </w:r>
      <w:r>
        <w:fldChar w:fldCharType="end"/>
      </w:r>
    </w:p>
    <w:p>
      <w:pPr>
        <w:pStyle w:val="TOC2"/>
        <w:rPr>
          <w:rFonts w:ascii="Times New Roman" w:eastAsia="宋体"/>
          <w:smallCaps w:val="0"/>
          <w:kern w:val="2"/>
          <w:sz w:val="21"/>
        </w:rPr>
      </w:pPr>
      <w:r>
        <w:rPr>
          <w:rFonts w:ascii="Times New Roman"/>
        </w:rPr>
        <w:t xml:space="preserve">15.2 </w:t>
      </w:r>
      <w:r>
        <w:rPr>
          <w:rFonts w:ascii="Times New Roman" w:hint="eastAsia"/>
        </w:rPr>
        <w:t>用款</w:t>
      </w:r>
      <w:r>
        <w:rPr>
          <w:rFonts w:ascii="Times New Roman" w:hint="eastAsia"/>
          <w:lang w:eastAsia="zh-CN"/>
        </w:rPr>
        <w:t>相关计划</w:t>
      </w:r>
      <w:r>
        <w:tab/>
      </w:r>
      <w:r>
        <w:fldChar w:fldCharType="begin"/>
      </w:r>
      <w:r>
        <w:instrText xml:space="preserve"> PAGEREF _Toc353747238 \h </w:instrText>
      </w:r>
      <w:r>
        <w:fldChar w:fldCharType="separate"/>
      </w:r>
      <w:r>
        <w:t>73</w:t>
      </w:r>
      <w:r>
        <w:fldChar w:fldCharType="end"/>
      </w:r>
    </w:p>
    <w:p>
      <w:pPr>
        <w:pStyle w:val="TOC1"/>
        <w:rPr>
          <w:bCs w:val="0"/>
          <w:caps w:val="0"/>
          <w:kern w:val="2"/>
          <w:sz w:val="21"/>
          <w:szCs w:val="24"/>
        </w:rPr>
      </w:pPr>
      <w:r>
        <w:rPr>
          <w:rFonts w:eastAsia="黑体" w:hint="eastAsia"/>
          <w:kern w:val="0"/>
        </w:rPr>
        <w:t>第十六章</w:t>
      </w:r>
      <w:r>
        <w:rPr>
          <w:rFonts w:eastAsia="黑体"/>
          <w:kern w:val="0"/>
        </w:rPr>
        <w:t xml:space="preserve">  </w:t>
      </w:r>
      <w:r>
        <w:rPr>
          <w:rFonts w:eastAsia="黑体" w:hint="eastAsia"/>
          <w:kern w:val="0"/>
        </w:rPr>
        <w:t>财务评价</w:t>
      </w:r>
      <w:r>
        <w:tab/>
      </w:r>
      <w:r>
        <w:fldChar w:fldCharType="begin"/>
      </w:r>
      <w:r>
        <w:instrText xml:space="preserve"> PAGEREF _Toc353747239 \h </w:instrText>
      </w:r>
      <w:r>
        <w:fldChar w:fldCharType="separate"/>
      </w:r>
      <w:r>
        <w:t>74</w:t>
      </w:r>
      <w:r>
        <w:fldChar w:fldCharType="end"/>
      </w:r>
    </w:p>
    <w:p>
      <w:pPr>
        <w:pStyle w:val="TOC2"/>
        <w:rPr>
          <w:rFonts w:ascii="Times New Roman" w:eastAsia="宋体"/>
          <w:smallCaps w:val="0"/>
          <w:kern w:val="2"/>
          <w:sz w:val="21"/>
        </w:rPr>
      </w:pPr>
      <w:r>
        <w:rPr>
          <w:rFonts w:ascii="Times New Roman"/>
        </w:rPr>
        <w:t xml:space="preserve">16.1 </w:t>
      </w:r>
      <w:r>
        <w:rPr>
          <w:rFonts w:ascii="Times New Roman" w:hint="eastAsia"/>
        </w:rPr>
        <w:t>预测依据</w:t>
      </w:r>
      <w:r>
        <w:tab/>
      </w:r>
      <w:r>
        <w:fldChar w:fldCharType="begin"/>
      </w:r>
      <w:r>
        <w:instrText xml:space="preserve"> PAGEREF _Toc353747240 \h </w:instrText>
      </w:r>
      <w:r>
        <w:fldChar w:fldCharType="separate"/>
      </w:r>
      <w:r>
        <w:t>74</w:t>
      </w:r>
      <w:r>
        <w:fldChar w:fldCharType="end"/>
      </w:r>
    </w:p>
    <w:p>
      <w:pPr>
        <w:pStyle w:val="TOC2"/>
        <w:rPr>
          <w:rFonts w:ascii="Times New Roman" w:eastAsia="宋体"/>
          <w:smallCaps w:val="0"/>
          <w:kern w:val="2"/>
          <w:sz w:val="21"/>
        </w:rPr>
      </w:pPr>
      <w:r>
        <w:rPr>
          <w:rFonts w:ascii="Times New Roman"/>
        </w:rPr>
        <w:t xml:space="preserve">16.2 </w:t>
      </w:r>
      <w:r>
        <w:rPr>
          <w:rFonts w:ascii="Times New Roman" w:hint="eastAsia"/>
        </w:rPr>
        <w:t>成本预测</w:t>
      </w:r>
      <w:r>
        <w:tab/>
      </w:r>
      <w:r>
        <w:fldChar w:fldCharType="begin"/>
      </w:r>
      <w:r>
        <w:instrText xml:space="preserve"> PAGEREF _Toc353747241 \h </w:instrText>
      </w:r>
      <w:r>
        <w:fldChar w:fldCharType="separate"/>
      </w:r>
      <w:r>
        <w:t>74</w:t>
      </w:r>
      <w:r>
        <w:fldChar w:fldCharType="end"/>
      </w:r>
    </w:p>
    <w:p>
      <w:pPr>
        <w:pStyle w:val="TOC2"/>
        <w:rPr>
          <w:rFonts w:ascii="Times New Roman" w:eastAsia="宋体"/>
          <w:smallCaps w:val="0"/>
          <w:kern w:val="2"/>
          <w:sz w:val="21"/>
        </w:rPr>
      </w:pPr>
      <w:r>
        <w:rPr>
          <w:rFonts w:ascii="Times New Roman"/>
        </w:rPr>
        <w:t xml:space="preserve">16.3 </w:t>
      </w:r>
      <w:r>
        <w:rPr>
          <w:rFonts w:ascii="Times New Roman" w:hint="eastAsia"/>
        </w:rPr>
        <w:t>销售收入及税金预测</w:t>
      </w:r>
      <w:r>
        <w:tab/>
      </w:r>
      <w:r>
        <w:fldChar w:fldCharType="begin"/>
      </w:r>
      <w:r>
        <w:instrText xml:space="preserve"> PAGEREF _Toc353747242 \h </w:instrText>
      </w:r>
      <w:r>
        <w:fldChar w:fldCharType="separate"/>
      </w:r>
      <w:r>
        <w:t>75</w:t>
      </w:r>
      <w:r>
        <w:fldChar w:fldCharType="end"/>
      </w:r>
    </w:p>
    <w:p>
      <w:pPr>
        <w:pStyle w:val="TOC2"/>
        <w:rPr>
          <w:rFonts w:ascii="Times New Roman" w:eastAsia="宋体"/>
          <w:smallCaps w:val="0"/>
          <w:kern w:val="2"/>
          <w:sz w:val="21"/>
        </w:rPr>
      </w:pPr>
      <w:r>
        <w:rPr>
          <w:rFonts w:ascii="Times New Roman"/>
        </w:rPr>
        <w:t xml:space="preserve">16.4 </w:t>
      </w:r>
      <w:r>
        <w:rPr>
          <w:rFonts w:ascii="Times New Roman" w:hint="eastAsia"/>
        </w:rPr>
        <w:t>利润估算</w:t>
      </w:r>
      <w:r>
        <w:tab/>
      </w:r>
      <w:r>
        <w:fldChar w:fldCharType="begin"/>
      </w:r>
      <w:r>
        <w:instrText xml:space="preserve"> PAGEREF _Toc353747243 \h </w:instrText>
      </w:r>
      <w:r>
        <w:fldChar w:fldCharType="separate"/>
      </w:r>
      <w:r>
        <w:t>75</w:t>
      </w:r>
      <w:r>
        <w:fldChar w:fldCharType="end"/>
      </w:r>
    </w:p>
    <w:p>
      <w:pPr>
        <w:pStyle w:val="TOC2"/>
        <w:rPr>
          <w:rFonts w:ascii="Times New Roman" w:eastAsia="宋体"/>
          <w:smallCaps w:val="0"/>
          <w:kern w:val="2"/>
          <w:sz w:val="21"/>
        </w:rPr>
      </w:pPr>
      <w:r>
        <w:rPr>
          <w:rFonts w:ascii="Times New Roman"/>
        </w:rPr>
        <w:t>16.5</w:t>
      </w:r>
      <w:r>
        <w:rPr>
          <w:rFonts w:ascii="Times New Roman" w:hint="eastAsia"/>
        </w:rPr>
        <w:t>盈利能力分析</w:t>
      </w:r>
      <w:r>
        <w:tab/>
      </w:r>
      <w:r>
        <w:fldChar w:fldCharType="begin"/>
      </w:r>
      <w:r>
        <w:instrText xml:space="preserve"> PAGEREF _Toc353747244 \h </w:instrText>
      </w:r>
      <w:r>
        <w:fldChar w:fldCharType="separate"/>
      </w:r>
      <w:r>
        <w:t>76</w:t>
      </w:r>
      <w:r>
        <w:fldChar w:fldCharType="end"/>
      </w:r>
    </w:p>
    <w:p>
      <w:pPr>
        <w:pStyle w:val="TOC2"/>
        <w:rPr>
          <w:rFonts w:ascii="Times New Roman" w:eastAsia="宋体"/>
          <w:smallCaps w:val="0"/>
          <w:kern w:val="2"/>
          <w:sz w:val="21"/>
        </w:rPr>
      </w:pPr>
      <w:r>
        <w:rPr>
          <w:rFonts w:ascii="Times New Roman"/>
        </w:rPr>
        <w:t xml:space="preserve">16.6 </w:t>
      </w:r>
      <w:r>
        <w:rPr>
          <w:rFonts w:ascii="Times New Roman" w:hint="eastAsia"/>
        </w:rPr>
        <w:t>财务生存能力分析</w:t>
      </w:r>
      <w:r>
        <w:tab/>
      </w:r>
      <w:r>
        <w:fldChar w:fldCharType="begin"/>
      </w:r>
      <w:r>
        <w:instrText xml:space="preserve"> PAGEREF _Toc353747245 \h </w:instrText>
      </w:r>
      <w:r>
        <w:fldChar w:fldCharType="separate"/>
      </w:r>
      <w:r>
        <w:t>76</w:t>
      </w:r>
      <w:r>
        <w:fldChar w:fldCharType="end"/>
      </w:r>
    </w:p>
    <w:p>
      <w:pPr>
        <w:pStyle w:val="TOC2"/>
        <w:rPr>
          <w:rFonts w:ascii="Times New Roman" w:eastAsia="宋体"/>
          <w:smallCaps w:val="0"/>
          <w:kern w:val="2"/>
          <w:sz w:val="21"/>
        </w:rPr>
      </w:pPr>
      <w:r>
        <w:rPr>
          <w:rFonts w:ascii="Times New Roman"/>
        </w:rPr>
        <w:t xml:space="preserve">16.8  </w:t>
      </w:r>
      <w:r>
        <w:rPr>
          <w:rFonts w:ascii="Times New Roman" w:hint="eastAsia"/>
        </w:rPr>
        <w:t>不确定性分析</w:t>
      </w:r>
      <w:r>
        <w:tab/>
      </w:r>
      <w:r>
        <w:fldChar w:fldCharType="begin"/>
      </w:r>
      <w:r>
        <w:instrText xml:space="preserve"> PAGEREF _Toc353747246 \h </w:instrText>
      </w:r>
      <w:r>
        <w:fldChar w:fldCharType="separate"/>
      </w:r>
      <w:r>
        <w:t>76</w:t>
      </w:r>
      <w:r>
        <w:fldChar w:fldCharType="end"/>
      </w:r>
    </w:p>
    <w:p>
      <w:pPr>
        <w:pStyle w:val="TOC2"/>
        <w:rPr>
          <w:rFonts w:ascii="Times New Roman" w:eastAsia="宋体"/>
          <w:smallCaps w:val="0"/>
          <w:kern w:val="2"/>
          <w:sz w:val="21"/>
        </w:rPr>
      </w:pPr>
      <w:r>
        <w:rPr>
          <w:rFonts w:ascii="Times New Roman"/>
        </w:rPr>
        <w:t xml:space="preserve">16.9 </w:t>
      </w:r>
      <w:r>
        <w:rPr>
          <w:rFonts w:ascii="Times New Roman" w:hint="eastAsia"/>
        </w:rPr>
        <w:t>评价小结</w:t>
      </w:r>
      <w:r>
        <w:tab/>
      </w:r>
      <w:r>
        <w:fldChar w:fldCharType="begin"/>
      </w:r>
      <w:r>
        <w:instrText xml:space="preserve"> PAGEREF _Toc353747247 \h </w:instrText>
      </w:r>
      <w:r>
        <w:fldChar w:fldCharType="separate"/>
      </w:r>
      <w:r>
        <w:t>78</w:t>
      </w:r>
      <w:r>
        <w:fldChar w:fldCharType="end"/>
      </w:r>
    </w:p>
    <w:p>
      <w:pPr>
        <w:pStyle w:val="TOC1"/>
        <w:rPr>
          <w:bCs w:val="0"/>
          <w:caps w:val="0"/>
          <w:kern w:val="2"/>
          <w:sz w:val="21"/>
          <w:szCs w:val="24"/>
        </w:rPr>
      </w:pPr>
      <w:r>
        <w:rPr>
          <w:rFonts w:eastAsia="黑体" w:hint="eastAsia"/>
        </w:rPr>
        <w:t>第十七章</w:t>
      </w:r>
      <w:r>
        <w:rPr>
          <w:rFonts w:eastAsia="黑体"/>
        </w:rPr>
        <w:t xml:space="preserve">  </w:t>
      </w:r>
      <w:r>
        <w:rPr>
          <w:rFonts w:eastAsia="黑体" w:hint="eastAsia"/>
        </w:rPr>
        <w:t>社会效益评价</w:t>
      </w:r>
      <w:r>
        <w:tab/>
      </w:r>
      <w:r>
        <w:fldChar w:fldCharType="begin"/>
      </w:r>
      <w:r>
        <w:instrText xml:space="preserve"> PAGEREF _Toc353747248 \h </w:instrText>
      </w:r>
      <w:r>
        <w:fldChar w:fldCharType="separate"/>
      </w:r>
      <w:r>
        <w:t>80</w:t>
      </w:r>
      <w:r>
        <w:fldChar w:fldCharType="end"/>
      </w:r>
    </w:p>
    <w:p>
      <w:pPr>
        <w:pStyle w:val="TOC2"/>
        <w:rPr>
          <w:rFonts w:ascii="Times New Roman" w:eastAsia="宋体"/>
          <w:smallCaps w:val="0"/>
          <w:kern w:val="2"/>
          <w:sz w:val="21"/>
        </w:rPr>
        <w:sectPr>
          <w:headerReference w:type="even" r:id="rId16"/>
          <w:headerReference w:type="default" r:id="rId17"/>
          <w:footerReference w:type="even" r:id="rId18"/>
          <w:footerReference w:type="default" r:id="rId19"/>
          <w:headerReference w:type="first" r:id="rId20"/>
          <w:footerReference w:type="first" r:id="rId21"/>
          <w:type w:val="nextPage"/>
          <w:pgSz w:w="11907" w:h="16840"/>
          <w:pgMar w:top="1418" w:right="1588" w:bottom="1418" w:left="1588" w:header="851" w:footer="992" w:gutter="0"/>
          <w:pgNumType w:fmt="upperRoman" w:start="2"/>
          <w:cols w:num="1" w:space="425"/>
          <w:titlePg w:val="0"/>
          <w:docGrid w:linePitch="312" w:charSpace="0"/>
        </w:sectPr>
      </w:pPr>
      <w:r>
        <w:rPr>
          <w:rFonts w:ascii="Times New Roman"/>
        </w:rPr>
        <w:t xml:space="preserve">17.1 </w:t>
      </w:r>
      <w:r>
        <w:rPr>
          <w:rFonts w:ascii="Times New Roman" w:hint="eastAsia"/>
        </w:rPr>
        <w:t>社会效益评价</w:t>
      </w:r>
      <w:r>
        <w:tab/>
      </w:r>
      <w:r>
        <w:fldChar w:fldCharType="begin"/>
      </w:r>
      <w:r>
        <w:instrText xml:space="preserve"> PAGEREF _Toc353747249 \h </w:instrText>
      </w:r>
      <w:r>
        <w:fldChar w:fldCharType="separate"/>
      </w:r>
      <w:r>
        <w:t>80</w:t>
      </w:r>
      <w:r>
        <w:fldChar w:fldCharType="end"/>
      </w:r>
    </w:p>
    <w:p>
      <w:pPr>
        <w:pStyle w:val="TOC2"/>
        <w:rPr>
          <w:rFonts w:ascii="Times New Roman" w:eastAsia="宋体"/>
          <w:smallCaps w:val="0"/>
          <w:kern w:val="2"/>
          <w:sz w:val="21"/>
        </w:rPr>
      </w:pPr>
      <w:r>
        <w:rPr>
          <w:rFonts w:ascii="Times New Roman"/>
        </w:rPr>
        <w:t>17.2</w:t>
      </w:r>
      <w:r>
        <w:rPr>
          <w:rFonts w:ascii="Times New Roman" w:hint="eastAsia"/>
          <w:lang w:eastAsia="zh-CN"/>
        </w:rPr>
        <w:t>相关项目</w:t>
      </w:r>
      <w:r>
        <w:rPr>
          <w:rFonts w:ascii="Times New Roman" w:hint="eastAsia"/>
        </w:rPr>
        <w:t>与所在地互适性分析</w:t>
      </w:r>
      <w:r>
        <w:tab/>
      </w:r>
      <w:r>
        <w:fldChar w:fldCharType="begin"/>
      </w:r>
      <w:r>
        <w:instrText xml:space="preserve"> PAGEREF _Toc353747250 \h </w:instrText>
      </w:r>
      <w:r>
        <w:fldChar w:fldCharType="separate"/>
      </w:r>
      <w:r>
        <w:t>81</w:t>
      </w:r>
      <w:r>
        <w:fldChar w:fldCharType="end"/>
      </w:r>
    </w:p>
    <w:p>
      <w:pPr>
        <w:pStyle w:val="TOC1"/>
        <w:rPr>
          <w:bCs w:val="0"/>
          <w:caps w:val="0"/>
          <w:kern w:val="2"/>
          <w:sz w:val="21"/>
          <w:szCs w:val="24"/>
        </w:rPr>
      </w:pPr>
      <w:r>
        <w:rPr>
          <w:rFonts w:eastAsia="黑体" w:hint="eastAsia"/>
        </w:rPr>
        <w:t>第十八章</w:t>
      </w:r>
      <w:r>
        <w:rPr>
          <w:rFonts w:eastAsia="黑体"/>
        </w:rPr>
        <w:t xml:space="preserve">  </w:t>
      </w:r>
      <w:r>
        <w:rPr>
          <w:rFonts w:eastAsia="黑体" w:hint="eastAsia"/>
        </w:rPr>
        <w:t>风险估计与对策</w:t>
      </w:r>
      <w:r>
        <w:tab/>
      </w:r>
      <w:r>
        <w:fldChar w:fldCharType="begin"/>
      </w:r>
      <w:r>
        <w:instrText xml:space="preserve"> PAGEREF _Toc353747251 \h </w:instrText>
      </w:r>
      <w:r>
        <w:fldChar w:fldCharType="separate"/>
      </w:r>
      <w:r>
        <w:t>82</w:t>
      </w:r>
      <w:r>
        <w:fldChar w:fldCharType="end"/>
      </w:r>
    </w:p>
    <w:p>
      <w:pPr>
        <w:pStyle w:val="TOC2"/>
        <w:rPr>
          <w:rFonts w:ascii="Times New Roman" w:eastAsia="宋体"/>
          <w:smallCaps w:val="0"/>
          <w:kern w:val="2"/>
          <w:sz w:val="21"/>
        </w:rPr>
      </w:pPr>
      <w:r>
        <w:rPr>
          <w:rFonts w:ascii="Times New Roman"/>
        </w:rPr>
        <w:t xml:space="preserve">18.1 </w:t>
      </w:r>
      <w:r>
        <w:rPr>
          <w:rFonts w:ascii="Times New Roman" w:hint="eastAsia"/>
        </w:rPr>
        <w:t>市场风险与对策</w:t>
      </w:r>
      <w:r>
        <w:tab/>
      </w:r>
      <w:r>
        <w:fldChar w:fldCharType="begin"/>
      </w:r>
      <w:r>
        <w:instrText xml:space="preserve"> PAGEREF _Toc353747252 \h </w:instrText>
      </w:r>
      <w:r>
        <w:fldChar w:fldCharType="separate"/>
      </w:r>
      <w:r>
        <w:t>82</w:t>
      </w:r>
      <w:r>
        <w:fldChar w:fldCharType="end"/>
      </w:r>
    </w:p>
    <w:p>
      <w:pPr>
        <w:pStyle w:val="TOC2"/>
        <w:rPr>
          <w:rFonts w:ascii="Times New Roman" w:eastAsia="宋体"/>
          <w:smallCaps w:val="0"/>
          <w:kern w:val="2"/>
          <w:sz w:val="21"/>
        </w:rPr>
      </w:pPr>
      <w:r>
        <w:rPr>
          <w:rFonts w:ascii="Times New Roman"/>
        </w:rPr>
        <w:t xml:space="preserve">18.2 </w:t>
      </w:r>
      <w:r>
        <w:rPr>
          <w:rFonts w:ascii="Times New Roman" w:hint="eastAsia"/>
          <w:lang w:eastAsia="zh-CN"/>
        </w:rPr>
        <w:t>管理管控</w:t>
      </w:r>
      <w:r>
        <w:rPr>
          <w:rFonts w:ascii="Times New Roman" w:hint="eastAsia"/>
        </w:rPr>
        <w:t>风险与对策</w:t>
      </w:r>
      <w:r>
        <w:tab/>
      </w:r>
      <w:r>
        <w:fldChar w:fldCharType="begin"/>
      </w:r>
      <w:r>
        <w:instrText xml:space="preserve"> PAGEREF _Toc353747253 \h </w:instrText>
      </w:r>
      <w:r>
        <w:fldChar w:fldCharType="separate"/>
      </w:r>
      <w:r>
        <w:t>82</w:t>
      </w:r>
      <w:r>
        <w:fldChar w:fldCharType="end"/>
      </w:r>
    </w:p>
    <w:p>
      <w:pPr>
        <w:pStyle w:val="TOC2"/>
        <w:rPr>
          <w:rFonts w:ascii="Times New Roman" w:eastAsia="宋体"/>
          <w:smallCaps w:val="0"/>
          <w:kern w:val="2"/>
          <w:sz w:val="21"/>
        </w:rPr>
      </w:pPr>
      <w:r>
        <w:rPr>
          <w:rFonts w:ascii="Times New Roman"/>
        </w:rPr>
        <w:t xml:space="preserve">18.3 </w:t>
      </w:r>
      <w:r>
        <w:rPr>
          <w:rFonts w:ascii="Times New Roman" w:hint="eastAsia"/>
        </w:rPr>
        <w:t>经营风险与对策</w:t>
      </w:r>
      <w:r>
        <w:tab/>
      </w:r>
      <w:r>
        <w:fldChar w:fldCharType="begin"/>
      </w:r>
      <w:r>
        <w:instrText xml:space="preserve"> PAGEREF _Toc353747254 \h </w:instrText>
      </w:r>
      <w:r>
        <w:fldChar w:fldCharType="separate"/>
      </w:r>
      <w:r>
        <w:t>83</w:t>
      </w:r>
      <w:r>
        <w:fldChar w:fldCharType="end"/>
      </w:r>
    </w:p>
    <w:p>
      <w:pPr>
        <w:pStyle w:val="TOC2"/>
        <w:rPr>
          <w:rFonts w:ascii="Times New Roman" w:eastAsia="宋体"/>
          <w:smallCaps w:val="0"/>
          <w:kern w:val="2"/>
          <w:sz w:val="21"/>
        </w:rPr>
      </w:pPr>
      <w:r>
        <w:rPr>
          <w:rFonts w:ascii="Times New Roman"/>
        </w:rPr>
        <w:t xml:space="preserve">18.4 </w:t>
      </w:r>
      <w:r>
        <w:rPr>
          <w:rFonts w:ascii="Times New Roman" w:hint="eastAsia"/>
        </w:rPr>
        <w:t>工程</w:t>
      </w:r>
      <w:r>
        <w:rPr>
          <w:rFonts w:ascii="Times New Roman" w:hint="eastAsia"/>
          <w:lang w:eastAsia="zh-CN"/>
        </w:rPr>
        <w:t>合适的方案</w:t>
      </w:r>
      <w:r>
        <w:rPr>
          <w:rFonts w:ascii="Times New Roman" w:hint="eastAsia"/>
        </w:rPr>
        <w:t>风险与对策</w:t>
      </w:r>
      <w:r>
        <w:tab/>
      </w:r>
      <w:r>
        <w:fldChar w:fldCharType="begin"/>
      </w:r>
      <w:r>
        <w:instrText xml:space="preserve"> PAGEREF _Toc353747255 \h </w:instrText>
      </w:r>
      <w:r>
        <w:fldChar w:fldCharType="separate"/>
      </w:r>
      <w:r>
        <w:t>84</w:t>
      </w:r>
      <w:r>
        <w:fldChar w:fldCharType="end"/>
      </w:r>
    </w:p>
    <w:p>
      <w:pPr>
        <w:pStyle w:val="TOC2"/>
        <w:rPr>
          <w:rFonts w:ascii="Times New Roman" w:eastAsia="宋体"/>
          <w:smallCaps w:val="0"/>
          <w:kern w:val="2"/>
          <w:sz w:val="21"/>
        </w:rPr>
      </w:pPr>
      <w:r>
        <w:rPr>
          <w:rFonts w:ascii="Times New Roman"/>
        </w:rPr>
        <w:t xml:space="preserve">18.5 </w:t>
      </w:r>
      <w:r>
        <w:rPr>
          <w:rFonts w:ascii="Times New Roman" w:hint="eastAsia"/>
        </w:rPr>
        <w:t>综合风险评价</w:t>
      </w:r>
      <w:r>
        <w:tab/>
      </w:r>
      <w:r>
        <w:fldChar w:fldCharType="begin"/>
      </w:r>
      <w:r>
        <w:instrText xml:space="preserve"> PAGEREF _Toc353747256 \h </w:instrText>
      </w:r>
      <w:r>
        <w:fldChar w:fldCharType="separate"/>
      </w:r>
      <w:r>
        <w:t>84</w:t>
      </w:r>
      <w:r>
        <w:fldChar w:fldCharType="end"/>
      </w:r>
    </w:p>
    <w:p>
      <w:pPr>
        <w:pStyle w:val="TOC1"/>
        <w:rPr>
          <w:bCs w:val="0"/>
          <w:caps w:val="0"/>
          <w:kern w:val="2"/>
          <w:sz w:val="21"/>
          <w:szCs w:val="24"/>
        </w:rPr>
      </w:pPr>
      <w:r>
        <w:rPr>
          <w:rFonts w:eastAsia="黑体" w:hint="eastAsia"/>
        </w:rPr>
        <w:t>第十九章</w:t>
      </w:r>
      <w:r>
        <w:rPr>
          <w:rFonts w:eastAsia="黑体"/>
        </w:rPr>
        <w:t xml:space="preserve">  </w:t>
      </w:r>
      <w:r>
        <w:rPr>
          <w:rFonts w:eastAsia="黑体" w:hint="eastAsia"/>
        </w:rPr>
        <w:t>结论及建议</w:t>
      </w:r>
      <w:r>
        <w:tab/>
      </w:r>
      <w:r>
        <w:fldChar w:fldCharType="begin"/>
      </w:r>
      <w:r>
        <w:instrText xml:space="preserve"> PAGEREF _Toc353747257 \h </w:instrText>
      </w:r>
      <w:r>
        <w:fldChar w:fldCharType="separate"/>
      </w:r>
      <w:r>
        <w:t>85</w:t>
      </w:r>
      <w:r>
        <w:fldChar w:fldCharType="end"/>
      </w:r>
    </w:p>
    <w:p>
      <w:pPr>
        <w:pStyle w:val="TOC2"/>
        <w:rPr>
          <w:rFonts w:ascii="Times New Roman" w:eastAsia="宋体"/>
          <w:smallCaps w:val="0"/>
          <w:kern w:val="2"/>
          <w:sz w:val="21"/>
        </w:rPr>
      </w:pPr>
      <w:r>
        <w:rPr>
          <w:rFonts w:ascii="Times New Roman"/>
        </w:rPr>
        <w:t xml:space="preserve">19.1 </w:t>
      </w:r>
      <w:r>
        <w:rPr>
          <w:rFonts w:ascii="Times New Roman" w:hint="eastAsia"/>
        </w:rPr>
        <w:t>结论</w:t>
      </w:r>
      <w:r>
        <w:tab/>
      </w:r>
      <w:r>
        <w:fldChar w:fldCharType="begin"/>
      </w:r>
      <w:r>
        <w:instrText xml:space="preserve"> PAGEREF _Toc353747258 \h </w:instrText>
      </w:r>
      <w:r>
        <w:fldChar w:fldCharType="separate"/>
      </w:r>
      <w:r>
        <w:t>85</w:t>
      </w:r>
      <w:r>
        <w:fldChar w:fldCharType="end"/>
      </w:r>
    </w:p>
    <w:p>
      <w:pPr>
        <w:pStyle w:val="TOC2"/>
        <w:rPr>
          <w:rFonts w:ascii="Times New Roman" w:eastAsia="宋体"/>
          <w:smallCaps w:val="0"/>
          <w:kern w:val="2"/>
          <w:sz w:val="21"/>
        </w:rPr>
      </w:pPr>
      <w:r>
        <w:rPr>
          <w:rFonts w:ascii="Times New Roman"/>
        </w:rPr>
        <w:t xml:space="preserve">19.2 </w:t>
      </w:r>
      <w:r>
        <w:rPr>
          <w:rFonts w:ascii="Times New Roman" w:hint="eastAsia"/>
        </w:rPr>
        <w:t>建议</w:t>
      </w:r>
      <w:r>
        <w:tab/>
      </w:r>
      <w:r>
        <w:fldChar w:fldCharType="begin"/>
      </w:r>
      <w:r>
        <w:instrText xml:space="preserve"> PAGEREF _Toc353747259 \h </w:instrText>
      </w:r>
      <w:r>
        <w:fldChar w:fldCharType="separate"/>
      </w:r>
      <w:r>
        <w:t>86</w:t>
      </w:r>
      <w:r>
        <w:fldChar w:fldCharType="end"/>
      </w:r>
    </w:p>
    <w:p>
      <w:pPr>
        <w:pStyle w:val="TOC2"/>
        <w:rPr>
          <w:rFonts w:ascii="Times New Roman" w:eastAsia="宋体"/>
        </w:rPr>
        <w:sectPr>
          <w:headerReference w:type="even" r:id="rId22"/>
          <w:headerReference w:type="default" r:id="rId23"/>
          <w:footerReference w:type="even" r:id="rId24"/>
          <w:footerReference w:type="default" r:id="rId25"/>
          <w:headerReference w:type="first" r:id="rId26"/>
          <w:footerReference w:type="first" r:id="rId27"/>
          <w:type w:val="nextPage"/>
          <w:pgSz w:w="11907" w:h="16840"/>
          <w:pgMar w:top="1418" w:right="1588" w:bottom="1418" w:left="1588" w:header="851" w:footer="992" w:gutter="0"/>
          <w:pgNumType w:fmt="upperRoman" w:start="3"/>
          <w:cols w:num="1" w:space="425"/>
          <w:titlePg w:val="0"/>
          <w:docGrid w:linePitch="312" w:charSpace="0"/>
        </w:sectPr>
      </w:pPr>
      <w:r>
        <w:rPr>
          <w:rFonts w:ascii="Times New Roman" w:eastAsia="宋体"/>
        </w:rPr>
        <w:fldChar w:fldCharType="end"/>
      </w:r>
    </w:p>
    <w:p>
      <w:pPr>
        <w:pStyle w:val="Heading1"/>
        <w:spacing w:before="240" w:after="240" w:line="360" w:lineRule="auto"/>
        <w:jc w:val="center"/>
        <w:rPr>
          <w:rFonts w:eastAsia="黑体"/>
          <w:b w:val="0"/>
          <w:sz w:val="36"/>
          <w:szCs w:val="36"/>
        </w:rPr>
      </w:pPr>
      <w:bookmarkStart w:id="1" w:name="_Toc353747177"/>
      <w:bookmarkStart w:id="2" w:name="_Toc231630217"/>
      <w:r>
        <w:rPr>
          <w:rFonts w:eastAsia="黑体" w:hAnsi="黑体"/>
          <w:b w:val="0"/>
          <w:sz w:val="36"/>
          <w:szCs w:val="36"/>
        </w:rPr>
        <w:t>第一章</w:t>
      </w:r>
      <w:r>
        <w:rPr>
          <w:rFonts w:eastAsia="黑体"/>
          <w:b w:val="0"/>
          <w:sz w:val="36"/>
          <w:szCs w:val="36"/>
        </w:rPr>
        <w:t xml:space="preserve">  </w:t>
      </w:r>
      <w:r>
        <w:rPr>
          <w:rFonts w:eastAsia="黑体" w:hAnsi="黑体"/>
          <w:b w:val="0"/>
          <w:sz w:val="36"/>
          <w:szCs w:val="36"/>
        </w:rPr>
        <w:t>总</w:t>
      </w:r>
      <w:r>
        <w:rPr>
          <w:rFonts w:eastAsia="黑体"/>
          <w:b w:val="0"/>
          <w:sz w:val="36"/>
          <w:szCs w:val="36"/>
        </w:rPr>
        <w:t xml:space="preserve">  </w:t>
      </w:r>
      <w:r>
        <w:rPr>
          <w:rFonts w:eastAsia="黑体" w:hAnsi="黑体"/>
          <w:b w:val="0"/>
          <w:sz w:val="36"/>
          <w:szCs w:val="36"/>
        </w:rPr>
        <w:t>论</w:t>
      </w:r>
      <w:bookmarkEnd w:id="1"/>
      <w:bookmarkEnd w:id="2"/>
    </w:p>
    <w:p>
      <w:pPr>
        <w:pStyle w:val="Heading2"/>
        <w:spacing w:before="205" w:beforeLines="50" w:after="205" w:afterLines="50" w:line="360" w:lineRule="auto"/>
        <w:rPr>
          <w:rFonts w:ascii="Times New Roman" w:hAnsi="Times New Roman"/>
          <w:b w:val="0"/>
        </w:rPr>
      </w:pPr>
      <w:bookmarkStart w:id="3" w:name="_Toc353747178"/>
      <w:r>
        <w:rPr>
          <w:rFonts w:ascii="Times New Roman" w:hAnsi="Times New Roman"/>
          <w:b w:val="0"/>
        </w:rPr>
        <w:t xml:space="preserve">1.1 </w:t>
      </w:r>
      <w:r>
        <w:rPr>
          <w:rFonts w:ascii="Times New Roman" w:hAnsi="Times New Roman" w:hint="eastAsia"/>
          <w:b w:val="0"/>
          <w:lang w:eastAsia="zh-CN"/>
        </w:rPr>
        <w:t>相关项目</w:t>
      </w:r>
      <w:r>
        <w:rPr>
          <w:rFonts w:ascii="Times New Roman" w:hAnsi="Times New Roman"/>
          <w:b w:val="0"/>
        </w:rPr>
        <w:t>概况</w:t>
      </w:r>
      <w:bookmarkEnd w:id="3"/>
    </w:p>
    <w:p>
      <w:pPr>
        <w:pStyle w:val="Normal0"/>
        <w:spacing w:before="205" w:beforeLines="50" w:after="205" w:afterLines="50" w:line="360" w:lineRule="auto"/>
        <w:rPr>
          <w:b/>
          <w:sz w:val="24"/>
        </w:rPr>
      </w:pPr>
      <w:r>
        <w:rPr>
          <w:b/>
          <w:sz w:val="24"/>
        </w:rPr>
        <w:t xml:space="preserve">1.1.1 </w:t>
      </w:r>
      <w:r>
        <w:rPr>
          <w:rFonts w:hAnsi="宋体" w:hint="eastAsia"/>
          <w:b/>
          <w:sz w:val="24"/>
          <w:lang w:eastAsia="zh-CN"/>
        </w:rPr>
        <w:t>相关项目</w:t>
      </w:r>
      <w:r>
        <w:rPr>
          <w:rFonts w:hAnsi="宋体"/>
          <w:b/>
          <w:sz w:val="24"/>
        </w:rPr>
        <w:t>名称</w:t>
      </w:r>
    </w:p>
    <w:p>
      <w:pPr>
        <w:pStyle w:val="Normal0"/>
        <w:spacing w:line="360" w:lineRule="auto"/>
        <w:ind w:firstLine="560" w:firstLineChars="200"/>
        <w:rPr>
          <w:rFonts w:hint="eastAsia"/>
          <w:sz w:val="28"/>
          <w:szCs w:val="28"/>
        </w:rPr>
      </w:pPr>
      <w:r>
        <w:rPr>
          <w:rFonts w:hint="eastAsia"/>
          <w:sz w:val="28"/>
          <w:szCs w:val="28"/>
        </w:rPr>
        <w:t>安徽省广德县富通国际建机建材城</w:t>
      </w:r>
      <w:r>
        <w:rPr>
          <w:rFonts w:hint="eastAsia"/>
          <w:sz w:val="28"/>
          <w:szCs w:val="28"/>
          <w:lang w:eastAsia="zh-CN"/>
        </w:rPr>
        <w:t>相关项目</w:t>
      </w:r>
    </w:p>
    <w:p>
      <w:pPr>
        <w:pStyle w:val="Normal0"/>
        <w:spacing w:before="205" w:beforeLines="50" w:after="205" w:afterLines="50" w:line="360" w:lineRule="auto"/>
        <w:rPr>
          <w:b/>
          <w:sz w:val="24"/>
        </w:rPr>
      </w:pPr>
      <w:r>
        <w:rPr>
          <w:b/>
          <w:sz w:val="24"/>
        </w:rPr>
        <w:t xml:space="preserve">1.1.2 </w:t>
      </w:r>
      <w:r>
        <w:rPr>
          <w:rFonts w:hint="eastAsia"/>
          <w:b/>
          <w:sz w:val="24"/>
          <w:lang w:eastAsia="zh-CN"/>
        </w:rPr>
        <w:t>相关项目</w:t>
      </w:r>
      <w:r>
        <w:rPr>
          <w:b/>
          <w:sz w:val="24"/>
        </w:rPr>
        <w:t>建设地点</w:t>
      </w:r>
    </w:p>
    <w:p>
      <w:pPr>
        <w:pStyle w:val="Normal0"/>
        <w:spacing w:line="360" w:lineRule="auto"/>
        <w:ind w:firstLine="560" w:firstLineChars="200"/>
        <w:rPr>
          <w:rFonts w:hint="eastAsia"/>
          <w:sz w:val="28"/>
          <w:szCs w:val="28"/>
        </w:rPr>
      </w:pPr>
      <w:r>
        <w:rPr>
          <w:rFonts w:hint="eastAsia"/>
          <w:sz w:val="28"/>
          <w:szCs w:val="28"/>
        </w:rPr>
        <w:t>安徽省广德县富通国际建机建材城</w:t>
      </w:r>
      <w:r>
        <w:rPr>
          <w:sz w:val="28"/>
          <w:szCs w:val="28"/>
        </w:rPr>
        <w:t>地块</w:t>
      </w:r>
    </w:p>
    <w:p>
      <w:pPr>
        <w:pStyle w:val="Normal0"/>
        <w:spacing w:before="205" w:beforeLines="50" w:after="205" w:afterLines="50" w:line="360" w:lineRule="auto"/>
        <w:rPr>
          <w:b/>
          <w:sz w:val="24"/>
        </w:rPr>
      </w:pPr>
      <w:r>
        <w:rPr>
          <w:b/>
          <w:sz w:val="24"/>
        </w:rPr>
        <w:t xml:space="preserve">1.1.3 </w:t>
      </w:r>
      <w:r>
        <w:rPr>
          <w:rFonts w:hint="eastAsia"/>
          <w:b/>
          <w:sz w:val="24"/>
          <w:lang w:eastAsia="zh-CN"/>
        </w:rPr>
        <w:t>相关项目</w:t>
      </w:r>
      <w:r>
        <w:rPr>
          <w:b/>
          <w:sz w:val="24"/>
        </w:rPr>
        <w:t>建设单位</w:t>
      </w:r>
    </w:p>
    <w:p>
      <w:pPr>
        <w:pStyle w:val="Normal0"/>
        <w:spacing w:line="360" w:lineRule="auto"/>
        <w:ind w:firstLine="560" w:firstLineChars="200"/>
        <w:rPr>
          <w:sz w:val="28"/>
          <w:szCs w:val="28"/>
        </w:rPr>
      </w:pPr>
      <w:r>
        <w:rPr>
          <w:sz w:val="28"/>
          <w:szCs w:val="28"/>
        </w:rPr>
        <w:t>建设单位名称：</w:t>
      </w:r>
      <w:r>
        <w:rPr>
          <w:rFonts w:hint="eastAsia"/>
          <w:sz w:val="28"/>
          <w:szCs w:val="28"/>
        </w:rPr>
        <w:t>安徽XXXX公司</w:t>
      </w:r>
    </w:p>
    <w:p>
      <w:pPr>
        <w:pStyle w:val="Heading2"/>
        <w:spacing w:before="205" w:beforeLines="50" w:after="205" w:afterLines="50" w:line="360" w:lineRule="auto"/>
        <w:rPr>
          <w:rFonts w:ascii="Times New Roman" w:hAnsi="Times New Roman"/>
          <w:b w:val="0"/>
        </w:rPr>
      </w:pPr>
      <w:bookmarkStart w:id="4" w:name="_Toc353747179"/>
      <w:r>
        <w:rPr>
          <w:rFonts w:ascii="Times New Roman" w:hAnsi="Times New Roman"/>
          <w:b w:val="0"/>
        </w:rPr>
        <w:t>1.2 研究工作的依据与范围</w:t>
      </w:r>
      <w:bookmarkEnd w:id="4"/>
    </w:p>
    <w:p>
      <w:pPr>
        <w:pStyle w:val="Normal0"/>
        <w:spacing w:before="205" w:beforeLines="50" w:after="205" w:afterLines="50" w:line="360" w:lineRule="auto"/>
        <w:rPr>
          <w:b/>
          <w:sz w:val="24"/>
        </w:rPr>
      </w:pPr>
      <w:r>
        <w:rPr>
          <w:b/>
          <w:sz w:val="24"/>
        </w:rPr>
        <w:t>1.2.1 研究依据</w:t>
      </w:r>
    </w:p>
    <w:p>
      <w:pPr>
        <w:pStyle w:val="Normal0"/>
        <w:autoSpaceDE w:val="0"/>
        <w:autoSpaceDN w:val="0"/>
        <w:adjustRightInd w:val="0"/>
        <w:snapToGrid w:val="0"/>
        <w:spacing w:line="360" w:lineRule="auto"/>
        <w:ind w:left="210" w:firstLine="560" w:leftChars="100" w:firstLineChars="200"/>
        <w:rPr>
          <w:rFonts w:hint="eastAsia"/>
          <w:sz w:val="28"/>
          <w:szCs w:val="28"/>
        </w:rPr>
      </w:pPr>
      <w:r>
        <w:rPr>
          <w:sz w:val="28"/>
          <w:szCs w:val="28"/>
        </w:rPr>
        <w:t>（1）</w:t>
      </w:r>
      <w:r>
        <w:rPr>
          <w:rFonts w:hint="eastAsia"/>
          <w:sz w:val="28"/>
          <w:szCs w:val="28"/>
        </w:rPr>
        <w:t>《中华人民共和国国民经济和社会发展十二五规划》；</w:t>
      </w:r>
    </w:p>
    <w:p>
      <w:pPr>
        <w:pStyle w:val="Normal0"/>
        <w:autoSpaceDE w:val="0"/>
        <w:autoSpaceDN w:val="0"/>
        <w:adjustRightInd w:val="0"/>
        <w:snapToGrid w:val="0"/>
        <w:spacing w:line="360" w:lineRule="auto"/>
        <w:ind w:left="210" w:firstLine="560" w:leftChars="100" w:firstLineChars="200"/>
        <w:rPr>
          <w:rFonts w:hint="eastAsia"/>
          <w:sz w:val="28"/>
          <w:szCs w:val="28"/>
        </w:rPr>
      </w:pPr>
      <w:r>
        <w:rPr>
          <w:sz w:val="28"/>
          <w:szCs w:val="28"/>
        </w:rPr>
        <w:t>（2）</w:t>
      </w:r>
      <w:r>
        <w:rPr>
          <w:rFonts w:hint="eastAsia"/>
          <w:sz w:val="28"/>
          <w:szCs w:val="28"/>
        </w:rPr>
        <w:t>《安徽省国民经济和社会发展十二五规划》；</w:t>
      </w:r>
    </w:p>
    <w:p>
      <w:pPr>
        <w:pStyle w:val="Normal0"/>
        <w:autoSpaceDE w:val="0"/>
        <w:autoSpaceDN w:val="0"/>
        <w:adjustRightInd w:val="0"/>
        <w:snapToGrid w:val="0"/>
        <w:spacing w:line="360" w:lineRule="auto"/>
        <w:ind w:left="210" w:firstLine="560" w:leftChars="100" w:firstLineChars="200"/>
        <w:rPr>
          <w:rFonts w:hint="eastAsia"/>
          <w:sz w:val="28"/>
          <w:szCs w:val="28"/>
        </w:rPr>
      </w:pPr>
      <w:r>
        <w:rPr>
          <w:rFonts w:hint="eastAsia"/>
          <w:sz w:val="28"/>
          <w:szCs w:val="28"/>
        </w:rPr>
        <w:t>（3）《宣城市国民经济和社会发展十二五规划》；</w:t>
      </w:r>
    </w:p>
    <w:p>
      <w:pPr>
        <w:pStyle w:val="Normal0"/>
        <w:autoSpaceDE w:val="0"/>
        <w:autoSpaceDN w:val="0"/>
        <w:adjustRightInd w:val="0"/>
        <w:snapToGrid w:val="0"/>
        <w:spacing w:line="360" w:lineRule="auto"/>
        <w:ind w:left="210" w:firstLine="560" w:leftChars="100" w:firstLineChars="200"/>
        <w:rPr>
          <w:rFonts w:hint="eastAsia"/>
          <w:sz w:val="28"/>
          <w:szCs w:val="28"/>
        </w:rPr>
      </w:pPr>
      <w:r>
        <w:rPr>
          <w:rFonts w:hint="eastAsia"/>
          <w:sz w:val="28"/>
          <w:szCs w:val="28"/>
        </w:rPr>
        <w:t>（4）《宣城市城市总体规划（2007-2020）》；</w:t>
      </w:r>
    </w:p>
    <w:p>
      <w:pPr>
        <w:pStyle w:val="Normal0"/>
        <w:autoSpaceDE w:val="0"/>
        <w:autoSpaceDN w:val="0"/>
        <w:adjustRightInd w:val="0"/>
        <w:snapToGrid w:val="0"/>
        <w:spacing w:line="360" w:lineRule="auto"/>
        <w:ind w:left="210" w:firstLine="560" w:leftChars="100" w:firstLineChars="200"/>
        <w:rPr>
          <w:rFonts w:hint="eastAsia"/>
          <w:sz w:val="28"/>
          <w:szCs w:val="28"/>
        </w:rPr>
      </w:pPr>
      <w:r>
        <w:rPr>
          <w:rFonts w:hint="eastAsia"/>
          <w:sz w:val="28"/>
          <w:szCs w:val="28"/>
        </w:rPr>
        <w:t>（5）《宣城服务业发展规划》；</w:t>
      </w:r>
    </w:p>
    <w:p>
      <w:pPr>
        <w:pStyle w:val="Normal0"/>
        <w:autoSpaceDE w:val="0"/>
        <w:autoSpaceDN w:val="0"/>
        <w:adjustRightInd w:val="0"/>
        <w:snapToGrid w:val="0"/>
        <w:spacing w:line="360" w:lineRule="auto"/>
        <w:ind w:left="210" w:firstLine="560" w:leftChars="100" w:firstLineChars="200"/>
        <w:rPr>
          <w:rFonts w:hint="eastAsia"/>
          <w:sz w:val="28"/>
          <w:szCs w:val="28"/>
        </w:rPr>
      </w:pPr>
      <w:r>
        <w:rPr>
          <w:rFonts w:hint="eastAsia"/>
          <w:sz w:val="28"/>
          <w:szCs w:val="28"/>
        </w:rPr>
        <w:t>（6）《城市用地分类与规划建设用地标准》；</w:t>
      </w:r>
    </w:p>
    <w:p>
      <w:pPr>
        <w:pStyle w:val="Normal0"/>
        <w:autoSpaceDE w:val="0"/>
        <w:autoSpaceDN w:val="0"/>
        <w:adjustRightInd w:val="0"/>
        <w:snapToGrid w:val="0"/>
        <w:spacing w:line="360" w:lineRule="auto"/>
        <w:ind w:left="210" w:firstLine="560" w:leftChars="100" w:firstLineChars="200"/>
        <w:rPr>
          <w:rFonts w:hint="eastAsia"/>
          <w:sz w:val="28"/>
          <w:szCs w:val="28"/>
        </w:rPr>
      </w:pPr>
      <w:r>
        <w:rPr>
          <w:sz w:val="28"/>
          <w:szCs w:val="28"/>
        </w:rPr>
        <w:t>（</w:t>
      </w:r>
      <w:r>
        <w:rPr>
          <w:rFonts w:hint="eastAsia"/>
          <w:sz w:val="28"/>
          <w:szCs w:val="28"/>
        </w:rPr>
        <w:t>7</w:t>
      </w:r>
      <w:r>
        <w:rPr>
          <w:sz w:val="28"/>
          <w:szCs w:val="28"/>
        </w:rPr>
        <w:t>）原国家计委建设部联合颁布的《建设</w:t>
      </w:r>
      <w:r>
        <w:rPr>
          <w:rFonts w:hint="eastAsia"/>
          <w:sz w:val="28"/>
          <w:szCs w:val="28"/>
          <w:lang w:eastAsia="zh-CN"/>
        </w:rPr>
        <w:t>相关项目</w:t>
      </w:r>
      <w:r>
        <w:rPr>
          <w:sz w:val="28"/>
          <w:szCs w:val="28"/>
        </w:rPr>
        <w:t>经济评价与参数》；</w:t>
      </w:r>
    </w:p>
    <w:p>
      <w:pPr>
        <w:pStyle w:val="Normal0"/>
        <w:autoSpaceDE w:val="0"/>
        <w:autoSpaceDN w:val="0"/>
        <w:adjustRightInd w:val="0"/>
        <w:snapToGrid w:val="0"/>
        <w:spacing w:line="360" w:lineRule="auto"/>
        <w:ind w:left="210" w:firstLine="560" w:leftChars="100" w:firstLineChars="200"/>
        <w:rPr>
          <w:sz w:val="28"/>
          <w:szCs w:val="28"/>
        </w:rPr>
        <w:sectPr>
          <w:headerReference w:type="even" r:id="rId28"/>
          <w:headerReference w:type="default" r:id="rId29"/>
          <w:footerReference w:type="even" r:id="rId30"/>
          <w:footerReference w:type="default" r:id="rId31"/>
          <w:headerReference w:type="first" r:id="rId32"/>
          <w:footerReference w:type="first" r:id="rId33"/>
          <w:pgSz w:w="11906" w:h="16838"/>
          <w:pgMar w:top="1440" w:right="1797" w:bottom="1440" w:left="1797" w:header="851" w:footer="992" w:gutter="0"/>
          <w:pgNumType w:start="1"/>
          <w:cols w:num="1" w:space="425"/>
          <w:titlePg/>
          <w:docGrid w:type="lines" w:linePitch="410" w:charSpace="0"/>
        </w:sectPr>
      </w:pPr>
      <w:r>
        <w:rPr>
          <w:sz w:val="28"/>
          <w:szCs w:val="28"/>
        </w:rPr>
        <w:t>（</w:t>
      </w:r>
      <w:r>
        <w:rPr>
          <w:rFonts w:hint="eastAsia"/>
          <w:sz w:val="28"/>
          <w:szCs w:val="28"/>
        </w:rPr>
        <w:t>8</w:t>
      </w:r>
      <w:r>
        <w:rPr>
          <w:sz w:val="28"/>
          <w:szCs w:val="28"/>
        </w:rPr>
        <w:t>）</w:t>
      </w:r>
      <w:r>
        <w:rPr>
          <w:rFonts w:hint="eastAsia"/>
          <w:sz w:val="28"/>
          <w:szCs w:val="28"/>
        </w:rPr>
        <w:t>《民用建筑设计通则》（GB50353-2005）</w:t>
      </w:r>
      <w:r>
        <w:rPr>
          <w:sz w:val="28"/>
          <w:szCs w:val="28"/>
        </w:rPr>
        <w:t>；</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w:t>
      </w:r>
      <w:r>
        <w:rPr>
          <w:rFonts w:hint="eastAsia"/>
          <w:sz w:val="28"/>
          <w:szCs w:val="28"/>
        </w:rPr>
        <w:t>9</w:t>
      </w:r>
      <w:r>
        <w:rPr>
          <w:sz w:val="28"/>
          <w:szCs w:val="28"/>
        </w:rPr>
        <w:t>）《建筑设计的防火规范》（GB</w:t>
      </w:r>
      <w:r>
        <w:rPr>
          <w:rFonts w:hint="eastAsia"/>
          <w:sz w:val="28"/>
          <w:szCs w:val="28"/>
        </w:rPr>
        <w:t>50016-2010 2011年修订版</w:t>
      </w:r>
      <w:r>
        <w:rPr>
          <w:sz w:val="28"/>
          <w:szCs w:val="28"/>
        </w:rPr>
        <w:t>）；</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（1</w:t>
      </w:r>
      <w:r>
        <w:rPr>
          <w:rFonts w:hint="eastAsia"/>
          <w:sz w:val="28"/>
          <w:szCs w:val="28"/>
        </w:rPr>
        <w:t>0</w:t>
      </w:r>
      <w:r>
        <w:rPr>
          <w:sz w:val="28"/>
          <w:szCs w:val="28"/>
        </w:rPr>
        <w:t>）《建筑物防雷设计规范》（GB50057-</w:t>
      </w:r>
      <w:r>
        <w:rPr>
          <w:rFonts w:hint="eastAsia"/>
          <w:sz w:val="28"/>
          <w:szCs w:val="28"/>
        </w:rPr>
        <w:t>2010 2011年版</w:t>
      </w:r>
      <w:r>
        <w:rPr>
          <w:sz w:val="28"/>
          <w:szCs w:val="28"/>
        </w:rPr>
        <w:t>）；</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（1</w:t>
      </w:r>
      <w:r>
        <w:rPr>
          <w:rFonts w:hint="eastAsia"/>
          <w:sz w:val="28"/>
          <w:szCs w:val="28"/>
        </w:rPr>
        <w:t>1</w:t>
      </w:r>
      <w:r>
        <w:rPr>
          <w:sz w:val="28"/>
          <w:szCs w:val="28"/>
        </w:rPr>
        <w:t>）《建筑物抗震设计规范》（GB 50011-2010）；</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（1</w:t>
      </w:r>
      <w:r>
        <w:rPr>
          <w:rFonts w:hint="eastAsia"/>
          <w:sz w:val="28"/>
          <w:szCs w:val="28"/>
        </w:rPr>
        <w:t>2</w:t>
      </w:r>
      <w:r>
        <w:rPr>
          <w:sz w:val="28"/>
          <w:szCs w:val="28"/>
        </w:rPr>
        <w:t>）《建筑物结构荷载规范》（</w:t>
      </w:r>
      <w:r>
        <w:rPr>
          <w:rFonts w:hint="eastAsia"/>
          <w:sz w:val="28"/>
          <w:szCs w:val="28"/>
        </w:rPr>
        <w:t>GB50009-2001 2006年版)</w:t>
      </w:r>
      <w:r>
        <w:rPr>
          <w:sz w:val="28"/>
          <w:szCs w:val="28"/>
        </w:rPr>
        <w:t>；</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（1</w:t>
      </w:r>
      <w:r>
        <w:rPr>
          <w:rFonts w:hint="eastAsia"/>
          <w:sz w:val="28"/>
          <w:szCs w:val="28"/>
        </w:rPr>
        <w:t>3</w:t>
      </w:r>
      <w:r>
        <w:rPr>
          <w:sz w:val="28"/>
          <w:szCs w:val="28"/>
        </w:rPr>
        <w:t>）《建筑物给水排水设计规范》（</w:t>
      </w:r>
      <w:r>
        <w:rPr>
          <w:rFonts w:hint="eastAsia"/>
          <w:sz w:val="28"/>
          <w:szCs w:val="28"/>
        </w:rPr>
        <w:t>GB50015-20032009版)</w:t>
      </w:r>
      <w:r>
        <w:rPr>
          <w:sz w:val="28"/>
          <w:szCs w:val="28"/>
        </w:rPr>
        <w:t>；</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（1</w:t>
      </w:r>
      <w:r>
        <w:rPr>
          <w:rFonts w:hint="eastAsia"/>
          <w:sz w:val="28"/>
          <w:szCs w:val="28"/>
        </w:rPr>
        <w:t>4</w:t>
      </w:r>
      <w:r>
        <w:rPr>
          <w:sz w:val="28"/>
          <w:szCs w:val="28"/>
        </w:rPr>
        <w:t>）《室外给水设计规范》（GB50013-2006</w:t>
      </w:r>
      <w:r>
        <w:rPr>
          <w:rFonts w:hint="eastAsia"/>
          <w:sz w:val="28"/>
          <w:szCs w:val="28"/>
        </w:rPr>
        <w:t>）</w:t>
      </w:r>
      <w:r>
        <w:rPr>
          <w:sz w:val="28"/>
          <w:szCs w:val="28"/>
        </w:rPr>
        <w:t>；</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（1</w:t>
      </w:r>
      <w:r>
        <w:rPr>
          <w:rFonts w:hint="eastAsia"/>
          <w:sz w:val="28"/>
          <w:szCs w:val="28"/>
        </w:rPr>
        <w:t>5</w:t>
      </w:r>
      <w:r>
        <w:rPr>
          <w:sz w:val="28"/>
          <w:szCs w:val="28"/>
        </w:rPr>
        <w:t>）《室外排水设计规范》（GB50014-2011</w:t>
      </w:r>
      <w:r>
        <w:rPr>
          <w:rFonts w:hint="eastAsia"/>
          <w:sz w:val="28"/>
          <w:szCs w:val="28"/>
        </w:rPr>
        <w:t>）</w:t>
      </w:r>
      <w:r>
        <w:rPr>
          <w:sz w:val="28"/>
          <w:szCs w:val="28"/>
        </w:rPr>
        <w:t>；</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（1</w:t>
      </w:r>
      <w:r>
        <w:rPr>
          <w:rFonts w:hint="eastAsia"/>
          <w:sz w:val="28"/>
          <w:szCs w:val="28"/>
        </w:rPr>
        <w:t>6</w:t>
      </w:r>
      <w:r>
        <w:rPr>
          <w:sz w:val="28"/>
          <w:szCs w:val="28"/>
        </w:rPr>
        <w:t>）《污水综合排放标准》（GB8978-1996）；</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（2</w:t>
      </w:r>
      <w:r>
        <w:rPr>
          <w:rFonts w:hint="eastAsia"/>
          <w:sz w:val="28"/>
          <w:szCs w:val="28"/>
        </w:rPr>
        <w:t>0</w:t>
      </w:r>
      <w:r>
        <w:rPr>
          <w:sz w:val="28"/>
          <w:szCs w:val="28"/>
        </w:rPr>
        <w:t>）《环境</w:t>
      </w:r>
      <w:r>
        <w:rPr>
          <w:rFonts w:hint="eastAsia"/>
          <w:sz w:val="28"/>
          <w:szCs w:val="28"/>
        </w:rPr>
        <w:t>空气</w:t>
      </w:r>
      <w:r>
        <w:rPr>
          <w:sz w:val="28"/>
          <w:szCs w:val="28"/>
        </w:rPr>
        <w:t>质量标准》（GB3095-</w:t>
      </w:r>
      <w:r>
        <w:rPr>
          <w:rFonts w:hint="eastAsia"/>
          <w:sz w:val="28"/>
          <w:szCs w:val="28"/>
        </w:rPr>
        <w:t>2012</w:t>
      </w:r>
      <w:r>
        <w:rPr>
          <w:sz w:val="28"/>
          <w:szCs w:val="28"/>
        </w:rPr>
        <w:t>）；</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（2</w:t>
      </w:r>
      <w:r>
        <w:rPr>
          <w:rFonts w:hint="eastAsia"/>
          <w:sz w:val="28"/>
          <w:szCs w:val="28"/>
        </w:rPr>
        <w:t>1</w:t>
      </w:r>
      <w:r>
        <w:rPr>
          <w:sz w:val="28"/>
          <w:szCs w:val="28"/>
        </w:rPr>
        <w:t>）《供配电系统设计规范》（GB50052-95）；</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（2</w:t>
      </w:r>
      <w:r>
        <w:rPr>
          <w:rFonts w:hint="eastAsia"/>
          <w:sz w:val="28"/>
          <w:szCs w:val="28"/>
        </w:rPr>
        <w:t>2</w:t>
      </w:r>
      <w:r>
        <w:rPr>
          <w:sz w:val="28"/>
          <w:szCs w:val="28"/>
        </w:rPr>
        <w:t>）《投资</w:t>
      </w:r>
      <w:r>
        <w:rPr>
          <w:rFonts w:hint="eastAsia"/>
          <w:sz w:val="28"/>
          <w:szCs w:val="28"/>
          <w:lang w:eastAsia="zh-CN"/>
        </w:rPr>
        <w:t>相关项目</w:t>
      </w:r>
      <w:r>
        <w:rPr>
          <w:sz w:val="28"/>
          <w:szCs w:val="28"/>
        </w:rPr>
        <w:t>可行性研究指南》（国家发展</w:t>
      </w:r>
      <w:r>
        <w:rPr>
          <w:rFonts w:hint="eastAsia"/>
          <w:sz w:val="28"/>
          <w:szCs w:val="28"/>
          <w:lang w:eastAsia="zh-CN"/>
        </w:rPr>
        <w:t>相关计划</w:t>
      </w:r>
      <w:r>
        <w:rPr>
          <w:sz w:val="28"/>
          <w:szCs w:val="28"/>
        </w:rPr>
        <w:t>委员会，计办投资[2001]1153号）；</w:t>
      </w:r>
    </w:p>
    <w:p>
      <w:pPr>
        <w:pStyle w:val="Normal0"/>
        <w:autoSpaceDE w:val="0"/>
        <w:autoSpaceDN w:val="0"/>
        <w:adjustRightInd w:val="0"/>
        <w:snapToGrid w:val="0"/>
        <w:spacing w:line="360" w:lineRule="auto"/>
        <w:ind w:left="210" w:firstLine="560" w:leftChars="100" w:firstLineChars="200"/>
        <w:rPr>
          <w:sz w:val="28"/>
          <w:szCs w:val="28"/>
        </w:rPr>
      </w:pPr>
      <w:r>
        <w:rPr>
          <w:sz w:val="28"/>
          <w:szCs w:val="28"/>
        </w:rPr>
        <w:t>（2</w:t>
      </w:r>
      <w:r>
        <w:rPr>
          <w:rFonts w:hint="eastAsia"/>
          <w:sz w:val="28"/>
          <w:szCs w:val="28"/>
        </w:rPr>
        <w:t>3</w:t>
      </w:r>
      <w:r>
        <w:rPr>
          <w:sz w:val="28"/>
          <w:szCs w:val="28"/>
        </w:rPr>
        <w:t>）《产业结构调整指导目录（2011年本）》（发改委令〔2011〕第9号）。</w:t>
      </w:r>
    </w:p>
    <w:p>
      <w:pPr>
        <w:pStyle w:val="Normal0"/>
        <w:spacing w:before="205" w:beforeLines="50" w:after="205" w:afterLines="50" w:line="360" w:lineRule="auto"/>
        <w:rPr>
          <w:b/>
          <w:sz w:val="28"/>
          <w:szCs w:val="28"/>
        </w:rPr>
      </w:pPr>
      <w:r>
        <w:rPr>
          <w:b/>
          <w:sz w:val="28"/>
          <w:szCs w:val="28"/>
        </w:rPr>
        <w:t>1.2.2 研究工作的范围</w:t>
      </w:r>
    </w:p>
    <w:p>
      <w:pPr>
        <w:pStyle w:val="Normal0"/>
        <w:autoSpaceDE w:val="0"/>
        <w:autoSpaceDN w:val="0"/>
        <w:adjustRightInd w:val="0"/>
        <w:snapToGrid w:val="0"/>
        <w:spacing w:line="360" w:lineRule="auto"/>
        <w:ind w:firstLine="560" w:firstLineChars="200"/>
        <w:rPr>
          <w:sz w:val="28"/>
          <w:szCs w:val="28"/>
        </w:rPr>
      </w:pPr>
      <w:r>
        <w:rPr>
          <w:sz w:val="28"/>
          <w:szCs w:val="28"/>
        </w:rPr>
        <w:t>本报告主要对</w:t>
      </w:r>
      <w:r>
        <w:rPr>
          <w:rFonts w:hint="eastAsia"/>
          <w:sz w:val="28"/>
          <w:szCs w:val="28"/>
        </w:rPr>
        <w:t>安徽省广德县富通国际建机建材城</w:t>
      </w:r>
      <w:r>
        <w:rPr>
          <w:rFonts w:hint="eastAsia"/>
          <w:sz w:val="28"/>
          <w:szCs w:val="28"/>
          <w:lang w:eastAsia="zh-CN"/>
        </w:rPr>
        <w:t>相关项目</w:t>
      </w:r>
      <w:r>
        <w:rPr>
          <w:sz w:val="28"/>
          <w:szCs w:val="28"/>
        </w:rPr>
        <w:t>的建设条件、投资必要性、工艺设备、投资估算、经济效益等诸方面可行性作出分析。研究范围包括：</w:t>
      </w:r>
    </w:p>
    <w:p>
      <w:pPr>
        <w:pStyle w:val="Normal0"/>
        <w:autoSpaceDE w:val="0"/>
        <w:autoSpaceDN w:val="0"/>
        <w:adjustRightInd w:val="0"/>
        <w:snapToGrid w:val="0"/>
        <w:spacing w:line="360" w:lineRule="auto"/>
        <w:ind w:firstLine="560" w:firstLineChars="200"/>
        <w:rPr>
          <w:sz w:val="28"/>
          <w:szCs w:val="28"/>
        </w:rPr>
      </w:pPr>
      <w:r>
        <w:rPr>
          <w:sz w:val="28"/>
          <w:szCs w:val="28"/>
        </w:rPr>
        <w:t>（1）</w:t>
      </w:r>
      <w:r>
        <w:rPr>
          <w:rFonts w:hint="eastAsia"/>
          <w:sz w:val="28"/>
          <w:szCs w:val="28"/>
          <w:lang w:eastAsia="zh-CN"/>
        </w:rPr>
        <w:t>相关项目</w:t>
      </w:r>
      <w:r>
        <w:rPr>
          <w:sz w:val="28"/>
          <w:szCs w:val="28"/>
        </w:rPr>
        <w:t>建设的背景和必要性</w:t>
      </w:r>
    </w:p>
    <w:p>
      <w:pPr>
        <w:pStyle w:val="Normal0"/>
        <w:autoSpaceDE w:val="0"/>
        <w:autoSpaceDN w:val="0"/>
        <w:adjustRightInd w:val="0"/>
        <w:snapToGrid w:val="0"/>
        <w:spacing w:line="360" w:lineRule="auto"/>
        <w:ind w:firstLine="560" w:firstLineChars="200"/>
        <w:rPr>
          <w:sz w:val="28"/>
          <w:szCs w:val="28"/>
        </w:rPr>
      </w:pPr>
      <w:r>
        <w:rPr>
          <w:sz w:val="28"/>
          <w:szCs w:val="28"/>
        </w:rPr>
        <w:t>（2）产品市场分析</w:t>
      </w:r>
    </w:p>
    <w:p>
      <w:pPr>
        <w:pStyle w:val="Normal0"/>
        <w:autoSpaceDE w:val="0"/>
        <w:autoSpaceDN w:val="0"/>
        <w:adjustRightInd w:val="0"/>
        <w:snapToGrid w:val="0"/>
        <w:spacing w:line="360" w:lineRule="auto"/>
        <w:ind w:firstLine="560" w:firstLineChars="200"/>
        <w:rPr>
          <w:rFonts w:hint="eastAsia"/>
          <w:sz w:val="28"/>
          <w:szCs w:val="28"/>
        </w:rPr>
      </w:pPr>
      <w:r>
        <w:rPr>
          <w:sz w:val="28"/>
          <w:szCs w:val="28"/>
        </w:rPr>
        <w:t>（3）</w:t>
      </w:r>
      <w:r>
        <w:rPr>
          <w:rFonts w:hint="eastAsia"/>
          <w:sz w:val="28"/>
          <w:szCs w:val="28"/>
          <w:lang w:eastAsia="zh-CN"/>
        </w:rPr>
        <w:t>相关项目</w:t>
      </w:r>
      <w:r>
        <w:rPr>
          <w:sz w:val="28"/>
          <w:szCs w:val="28"/>
        </w:rPr>
        <w:t>建设生产规模和产品</w:t>
      </w:r>
      <w:r>
        <w:rPr>
          <w:rFonts w:hint="eastAsia"/>
          <w:sz w:val="28"/>
          <w:szCs w:val="28"/>
          <w:lang w:eastAsia="zh-CN"/>
        </w:rPr>
        <w:t>合适的方案</w:t>
      </w:r>
    </w:p>
    <w:p>
      <w:pPr>
        <w:pStyle w:val="Normal0"/>
        <w:autoSpaceDE w:val="0"/>
        <w:autoSpaceDN w:val="0"/>
        <w:adjustRightInd w:val="0"/>
        <w:snapToGrid w:val="0"/>
        <w:spacing w:line="360" w:lineRule="auto"/>
        <w:ind w:firstLine="560" w:firstLineChars="200"/>
        <w:rPr>
          <w:sz w:val="28"/>
          <w:szCs w:val="28"/>
        </w:rPr>
      </w:pPr>
      <w:r>
        <w:rPr>
          <w:sz w:val="28"/>
          <w:szCs w:val="28"/>
        </w:rPr>
        <w:t>（4）工艺技术</w:t>
      </w:r>
      <w:r>
        <w:rPr>
          <w:rFonts w:hint="eastAsia"/>
          <w:sz w:val="28"/>
          <w:szCs w:val="28"/>
          <w:lang w:eastAsia="zh-CN"/>
        </w:rPr>
        <w:t>合适的方案</w:t>
      </w:r>
      <w:r>
        <w:rPr>
          <w:sz w:val="28"/>
          <w:szCs w:val="28"/>
        </w:rPr>
        <w:t>和原辅材料供应</w:t>
      </w:r>
    </w:p>
    <w:p>
      <w:pPr>
        <w:pStyle w:val="Normal0"/>
        <w:autoSpaceDE w:val="0"/>
        <w:autoSpaceDN w:val="0"/>
        <w:adjustRightInd w:val="0"/>
        <w:snapToGrid w:val="0"/>
        <w:spacing w:line="360" w:lineRule="auto"/>
        <w:ind w:firstLine="560" w:firstLineChars="200"/>
        <w:rPr>
          <w:rFonts w:hint="eastAsia"/>
          <w:sz w:val="28"/>
          <w:szCs w:val="28"/>
        </w:rPr>
      </w:pPr>
      <w:r>
        <w:rPr>
          <w:sz w:val="28"/>
          <w:szCs w:val="28"/>
        </w:rPr>
        <w:t>（5）工程建设</w:t>
      </w:r>
      <w:r>
        <w:rPr>
          <w:rFonts w:hint="eastAsia"/>
          <w:sz w:val="28"/>
          <w:szCs w:val="28"/>
          <w:lang w:eastAsia="zh-CN"/>
        </w:rPr>
        <w:t>合适的方案</w:t>
      </w:r>
    </w:p>
    <w:p>
      <w:pPr>
        <w:pStyle w:val="Normal0"/>
        <w:autoSpaceDE w:val="0"/>
        <w:autoSpaceDN w:val="0"/>
        <w:adjustRightInd w:val="0"/>
        <w:snapToGrid w:val="0"/>
        <w:spacing w:line="360" w:lineRule="auto"/>
        <w:ind w:firstLine="560" w:firstLineChars="200"/>
        <w:rPr>
          <w:sz w:val="28"/>
          <w:szCs w:val="28"/>
        </w:rPr>
      </w:pPr>
      <w:r>
        <w:rPr>
          <w:sz w:val="28"/>
          <w:szCs w:val="28"/>
        </w:rPr>
        <w:t>（6）环境保护和节能</w:t>
      </w:r>
    </w:p>
    <w:p>
      <w:pPr>
        <w:pStyle w:val="Normal0"/>
        <w:autoSpaceDE w:val="0"/>
        <w:autoSpaceDN w:val="0"/>
        <w:adjustRightInd w:val="0"/>
        <w:snapToGrid w:val="0"/>
        <w:spacing w:line="360" w:lineRule="auto"/>
        <w:ind w:firstLine="560" w:firstLineChars="200"/>
        <w:rPr>
          <w:sz w:val="28"/>
          <w:szCs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797" w:bottom="1440" w:left="1797" w:header="851" w:footer="992" w:gutter="0"/>
          <w:pgNumType w:start="2"/>
          <w:cols w:num="1" w:space="425"/>
          <w:titlePg w:val="0"/>
          <w:docGrid w:type="lines" w:linePitch="410" w:charSpace="0"/>
        </w:sectPr>
      </w:pPr>
      <w:r>
        <w:rPr>
          <w:sz w:val="28"/>
          <w:szCs w:val="28"/>
        </w:rPr>
        <w:t>（7）投资估算和资金筹措</w:t>
      </w:r>
    </w:p>
    <w:p>
      <w:pPr>
        <w:pStyle w:val="Normal0"/>
        <w:autoSpaceDE w:val="0"/>
        <w:autoSpaceDN w:val="0"/>
        <w:adjustRightInd w:val="0"/>
        <w:snapToGrid w:val="0"/>
        <w:spacing w:line="360" w:lineRule="auto"/>
        <w:ind w:firstLine="560" w:firstLineChars="200"/>
        <w:rPr>
          <w:sz w:val="28"/>
          <w:szCs w:val="28"/>
        </w:rPr>
      </w:pPr>
      <w:r>
        <w:rPr>
          <w:sz w:val="28"/>
          <w:szCs w:val="28"/>
        </w:rPr>
        <w:t>（8）财务分析与评价</w:t>
      </w:r>
    </w:p>
    <w:p>
      <w:pPr>
        <w:pStyle w:val="Normal0"/>
        <w:spacing w:before="205" w:beforeLines="50" w:after="205" w:afterLines="50" w:line="360" w:lineRule="auto"/>
        <w:rPr>
          <w:b/>
          <w:sz w:val="28"/>
          <w:szCs w:val="28"/>
        </w:rPr>
      </w:pPr>
      <w:r>
        <w:rPr>
          <w:b/>
          <w:sz w:val="28"/>
          <w:szCs w:val="28"/>
        </w:rPr>
        <w:t>1.2.3 编制原则</w:t>
      </w:r>
    </w:p>
    <w:p>
      <w:pPr>
        <w:pStyle w:val="Normal0"/>
        <w:autoSpaceDE w:val="0"/>
        <w:autoSpaceDN w:val="0"/>
        <w:adjustRightInd w:val="0"/>
        <w:snapToGrid w:val="0"/>
        <w:spacing w:line="360" w:lineRule="auto"/>
        <w:ind w:firstLine="560" w:firstLineChars="200"/>
        <w:rPr>
          <w:sz w:val="28"/>
          <w:szCs w:val="28"/>
        </w:rPr>
      </w:pPr>
      <w:r>
        <w:rPr>
          <w:sz w:val="28"/>
          <w:szCs w:val="28"/>
        </w:rPr>
        <w:t>坚持客观、公正、科学、可靠的原则和实事求是的工作态度，力求做到数据准确、</w:t>
      </w:r>
      <w:r>
        <w:rPr>
          <w:rFonts w:hint="eastAsia"/>
          <w:sz w:val="28"/>
          <w:szCs w:val="28"/>
          <w:lang w:eastAsia="zh-CN"/>
        </w:rPr>
        <w:t>合适的内容</w:t>
      </w:r>
      <w:r>
        <w:rPr>
          <w:sz w:val="28"/>
          <w:szCs w:val="28"/>
        </w:rPr>
        <w:t>完整、重点突出、结论科学。在调查研究的基础上，严格按照客观实际进行评价分析，以保证咨询报告的客观性、公正性和科学性。</w:t>
      </w:r>
    </w:p>
    <w:p>
      <w:pPr>
        <w:pStyle w:val="Heading2"/>
        <w:spacing w:before="205" w:beforeLines="50" w:after="205" w:afterLines="50" w:line="360" w:lineRule="auto"/>
        <w:rPr>
          <w:rFonts w:ascii="Times New Roman" w:hAnsi="Times New Roman" w:hint="eastAsia"/>
          <w:b w:val="0"/>
          <w:lang w:eastAsia="zh-CN"/>
        </w:rPr>
      </w:pPr>
      <w:bookmarkStart w:id="5" w:name="_Toc353747180"/>
      <w:r>
        <w:rPr>
          <w:rFonts w:ascii="Times New Roman" w:hAnsi="Times New Roman"/>
          <w:b w:val="0"/>
        </w:rPr>
        <w:t>1.3 推荐</w:t>
      </w:r>
      <w:bookmarkEnd w:id="5"/>
      <w:r>
        <w:rPr>
          <w:rFonts w:ascii="Times New Roman" w:hAnsi="Times New Roman" w:hint="eastAsia"/>
          <w:b w:val="0"/>
          <w:lang w:eastAsia="zh-CN"/>
        </w:rPr>
        <w:t>合适的方案</w:t>
      </w:r>
    </w:p>
    <w:p>
      <w:pPr>
        <w:pStyle w:val="Normal0"/>
        <w:spacing w:before="205" w:beforeLines="50" w:after="205" w:afterLines="50" w:line="360" w:lineRule="auto"/>
        <w:rPr>
          <w:rFonts w:hint="eastAsia"/>
          <w:b/>
          <w:sz w:val="28"/>
          <w:szCs w:val="28"/>
        </w:rPr>
      </w:pPr>
      <w:r>
        <w:rPr>
          <w:b/>
          <w:sz w:val="28"/>
          <w:szCs w:val="28"/>
        </w:rPr>
        <w:t xml:space="preserve">1.3.1 </w:t>
      </w:r>
      <w:r>
        <w:rPr>
          <w:rFonts w:hint="eastAsia"/>
          <w:b/>
          <w:sz w:val="28"/>
          <w:szCs w:val="28"/>
          <w:lang w:eastAsia="zh-CN"/>
        </w:rPr>
        <w:t>相关项目</w:t>
      </w:r>
      <w:r>
        <w:rPr>
          <w:b/>
          <w:sz w:val="28"/>
          <w:szCs w:val="28"/>
        </w:rPr>
        <w:t>建设</w:t>
      </w:r>
      <w:r>
        <w:rPr>
          <w:rFonts w:hint="eastAsia"/>
          <w:b/>
          <w:sz w:val="28"/>
          <w:szCs w:val="28"/>
          <w:lang w:eastAsia="zh-CN"/>
        </w:rPr>
        <w:t>合适的方案</w:t>
      </w:r>
    </w:p>
    <w:p>
      <w:pPr>
        <w:pStyle w:val="Normal0"/>
        <w:spacing w:line="360" w:lineRule="auto"/>
        <w:ind w:firstLine="560" w:firstLineChars="200"/>
        <w:rPr>
          <w:sz w:val="28"/>
          <w:szCs w:val="28"/>
        </w:rPr>
      </w:pPr>
      <w:r>
        <w:rPr>
          <w:sz w:val="28"/>
          <w:szCs w:val="28"/>
        </w:rPr>
        <w:t>（1）建设</w:t>
      </w:r>
      <w:r>
        <w:rPr>
          <w:rFonts w:hint="eastAsia"/>
          <w:sz w:val="28"/>
          <w:szCs w:val="28"/>
        </w:rPr>
        <w:t>及建筑机械、建材产品和相关配套服务功能为一体的商品市场</w:t>
      </w:r>
      <w:r>
        <w:rPr>
          <w:sz w:val="28"/>
          <w:szCs w:val="28"/>
        </w:rPr>
        <w:t>；</w:t>
      </w:r>
    </w:p>
    <w:p>
      <w:pPr>
        <w:pStyle w:val="Normal0"/>
        <w:spacing w:line="360" w:lineRule="auto"/>
        <w:ind w:firstLine="560" w:firstLineChars="200"/>
        <w:rPr>
          <w:sz w:val="28"/>
          <w:szCs w:val="28"/>
        </w:rPr>
      </w:pPr>
      <w:r>
        <w:rPr>
          <w:sz w:val="28"/>
          <w:szCs w:val="28"/>
        </w:rPr>
        <w:t>（2）</w:t>
      </w:r>
      <w:r>
        <w:rPr>
          <w:rFonts w:hint="eastAsia"/>
          <w:sz w:val="28"/>
          <w:szCs w:val="28"/>
          <w:lang w:eastAsia="zh-CN"/>
        </w:rPr>
        <w:t>相关计划</w:t>
      </w:r>
      <w:r>
        <w:rPr>
          <w:rFonts w:hint="eastAsia"/>
          <w:sz w:val="28"/>
          <w:szCs w:val="28"/>
        </w:rPr>
        <w:t>征地</w:t>
      </w:r>
      <w:r>
        <w:rPr>
          <w:sz w:val="28"/>
          <w:szCs w:val="28"/>
        </w:rPr>
        <w:t>建设</w:t>
      </w:r>
      <w:r>
        <w:rPr>
          <w:rFonts w:hint="eastAsia"/>
          <w:sz w:val="28"/>
          <w:szCs w:val="28"/>
          <w:lang w:eastAsia="zh-CN"/>
        </w:rPr>
        <w:t>相关项目</w:t>
      </w:r>
      <w:r>
        <w:rPr>
          <w:rFonts w:hint="eastAsia"/>
          <w:sz w:val="28"/>
          <w:szCs w:val="28"/>
        </w:rPr>
        <w:t>场地200亩</w:t>
      </w:r>
      <w:r>
        <w:rPr>
          <w:sz w:val="28"/>
          <w:szCs w:val="28"/>
        </w:rPr>
        <w:t>；</w:t>
      </w:r>
    </w:p>
    <w:p>
      <w:pPr>
        <w:pStyle w:val="Normal0"/>
        <w:spacing w:before="205" w:beforeLines="50" w:after="205" w:afterLines="50" w:line="360" w:lineRule="auto"/>
        <w:rPr>
          <w:rFonts w:hint="eastAsia"/>
          <w:b/>
          <w:sz w:val="28"/>
          <w:szCs w:val="28"/>
        </w:rPr>
      </w:pPr>
      <w:r>
        <w:rPr>
          <w:b/>
          <w:sz w:val="28"/>
          <w:szCs w:val="28"/>
        </w:rPr>
        <w:t xml:space="preserve">1.3.2 </w:t>
      </w:r>
      <w:r>
        <w:rPr>
          <w:rFonts w:hint="eastAsia"/>
          <w:b/>
          <w:sz w:val="28"/>
          <w:szCs w:val="28"/>
          <w:lang w:eastAsia="zh-CN"/>
        </w:rPr>
        <w:t>相关项目</w:t>
      </w:r>
      <w:r>
        <w:rPr>
          <w:b/>
          <w:sz w:val="28"/>
          <w:szCs w:val="28"/>
        </w:rPr>
        <w:t>产品</w:t>
      </w:r>
      <w:r>
        <w:rPr>
          <w:rFonts w:hint="eastAsia"/>
          <w:b/>
          <w:sz w:val="28"/>
          <w:szCs w:val="28"/>
          <w:lang w:eastAsia="zh-CN"/>
        </w:rPr>
        <w:t>合适的方案</w:t>
      </w:r>
    </w:p>
    <w:p>
      <w:pPr>
        <w:pStyle w:val="Normal0"/>
        <w:spacing w:line="360" w:lineRule="auto"/>
        <w:ind w:firstLine="560" w:firstLineChars="200"/>
        <w:rPr>
          <w:sz w:val="28"/>
          <w:szCs w:val="28"/>
        </w:rPr>
      </w:pPr>
      <w:r>
        <w:rPr>
          <w:rFonts w:hint="eastAsia"/>
          <w:sz w:val="28"/>
          <w:szCs w:val="28"/>
        </w:rPr>
        <w:t>本</w:t>
      </w:r>
      <w:r>
        <w:rPr>
          <w:rFonts w:hint="eastAsia"/>
          <w:sz w:val="28"/>
          <w:szCs w:val="28"/>
          <w:lang w:eastAsia="zh-CN"/>
        </w:rPr>
        <w:t>相关项目</w:t>
      </w:r>
      <w:r>
        <w:rPr>
          <w:rFonts w:hint="eastAsia"/>
          <w:sz w:val="28"/>
          <w:szCs w:val="28"/>
        </w:rPr>
        <w:t>为安徽省广德县富通国际建机建材城</w:t>
      </w:r>
      <w:r>
        <w:rPr>
          <w:rFonts w:hint="eastAsia"/>
          <w:sz w:val="28"/>
          <w:szCs w:val="28"/>
          <w:lang w:eastAsia="zh-CN"/>
        </w:rPr>
        <w:t>相关项目</w:t>
      </w:r>
      <w:r>
        <w:rPr>
          <w:rFonts w:hint="eastAsia"/>
          <w:sz w:val="28"/>
          <w:szCs w:val="28"/>
        </w:rPr>
        <w:t>，主要为集中厂家销售建筑机械、建材产品等。</w:t>
      </w:r>
    </w:p>
    <w:p>
      <w:pPr>
        <w:pStyle w:val="Normal0"/>
        <w:spacing w:before="205" w:beforeLines="50" w:after="205" w:afterLines="50" w:line="360" w:lineRule="auto"/>
        <w:rPr>
          <w:rFonts w:hint="eastAsia"/>
          <w:b/>
          <w:sz w:val="28"/>
          <w:szCs w:val="28"/>
        </w:rPr>
      </w:pPr>
      <w:r>
        <w:rPr>
          <w:b/>
          <w:sz w:val="28"/>
          <w:szCs w:val="28"/>
        </w:rPr>
        <w:t xml:space="preserve">1.3.3 </w:t>
      </w:r>
      <w:r>
        <w:rPr>
          <w:rFonts w:hint="eastAsia"/>
          <w:b/>
          <w:sz w:val="28"/>
          <w:szCs w:val="28"/>
          <w:lang w:eastAsia="zh-CN"/>
        </w:rPr>
        <w:t>相关项目</w:t>
      </w:r>
      <w:r>
        <w:rPr>
          <w:b/>
          <w:sz w:val="28"/>
          <w:szCs w:val="28"/>
        </w:rPr>
        <w:t>建设规模与建设</w:t>
      </w:r>
      <w:r>
        <w:rPr>
          <w:rFonts w:hint="eastAsia"/>
          <w:b/>
          <w:sz w:val="28"/>
          <w:szCs w:val="28"/>
          <w:lang w:eastAsia="zh-CN"/>
        </w:rPr>
        <w:t>合适的内容</w:t>
      </w:r>
    </w:p>
    <w:p>
      <w:pPr>
        <w:pStyle w:val="Normal0"/>
        <w:spacing w:line="360" w:lineRule="auto"/>
        <w:ind w:firstLine="560" w:firstLineChars="200"/>
        <w:rPr>
          <w:sz w:val="28"/>
          <w:szCs w:val="28"/>
        </w:rPr>
      </w:pPr>
      <w:r>
        <w:rPr>
          <w:sz w:val="28"/>
          <w:szCs w:val="28"/>
        </w:rPr>
        <w:t>（1）建设规模</w:t>
      </w:r>
    </w:p>
    <w:p>
      <w:pPr>
        <w:pStyle w:val="Normal0"/>
        <w:spacing w:line="360" w:lineRule="auto"/>
        <w:ind w:firstLine="560" w:firstLineChars="200"/>
        <w:rPr>
          <w:rFonts w:hint="eastAsia"/>
          <w:sz w:val="28"/>
          <w:szCs w:val="28"/>
        </w:rPr>
      </w:pPr>
      <w:r>
        <w:rPr>
          <w:rFonts w:hint="eastAsia"/>
          <w:sz w:val="28"/>
          <w:szCs w:val="28"/>
          <w:lang w:eastAsia="zh-CN"/>
        </w:rPr>
        <w:t>相关项目</w:t>
      </w:r>
      <w:r>
        <w:rPr>
          <w:rFonts w:hint="eastAsia"/>
          <w:sz w:val="28"/>
          <w:szCs w:val="28"/>
        </w:rPr>
        <w:t>场地占地200亩，</w:t>
      </w:r>
      <w:r>
        <w:rPr>
          <w:sz w:val="28"/>
          <w:szCs w:val="28"/>
        </w:rPr>
        <w:t>建设</w:t>
      </w:r>
      <w:r>
        <w:rPr>
          <w:rFonts w:hint="eastAsia"/>
          <w:sz w:val="28"/>
          <w:szCs w:val="28"/>
        </w:rPr>
        <w:t>及建筑机械、建材产品和相关配套服务功能为一体的商品市场。</w:t>
      </w:r>
    </w:p>
    <w:p>
      <w:pPr>
        <w:pStyle w:val="Normal0"/>
        <w:spacing w:line="360" w:lineRule="auto"/>
        <w:ind w:firstLine="560" w:firstLineChars="200"/>
        <w:rPr>
          <w:sz w:val="28"/>
          <w:szCs w:val="28"/>
        </w:rPr>
      </w:pPr>
      <w:r>
        <w:rPr>
          <w:sz w:val="28"/>
          <w:szCs w:val="28"/>
        </w:rPr>
        <w:t>（2）建设</w:t>
      </w:r>
      <w:r>
        <w:rPr>
          <w:rFonts w:hint="eastAsia"/>
          <w:sz w:val="28"/>
          <w:szCs w:val="28"/>
          <w:lang w:eastAsia="zh-CN"/>
        </w:rPr>
        <w:t>合适的内容</w:t>
      </w:r>
      <w:r>
        <w:rPr>
          <w:sz w:val="28"/>
          <w:szCs w:val="28"/>
        </w:rPr>
        <w:t>：</w:t>
      </w:r>
    </w:p>
    <w:p>
      <w:pPr>
        <w:pStyle w:val="Normal0"/>
        <w:spacing w:line="360" w:lineRule="auto"/>
        <w:ind w:firstLine="560" w:firstLineChars="200"/>
        <w:rPr>
          <w:sz w:val="28"/>
          <w:szCs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797" w:bottom="1440" w:left="1797" w:header="851" w:footer="992" w:gutter="0"/>
          <w:pgNumType w:start="3"/>
          <w:cols w:num="1" w:space="425"/>
          <w:titlePg w:val="0"/>
          <w:docGrid w:type="lines" w:linePitch="410" w:charSpace="0"/>
        </w:sectPr>
      </w:pPr>
      <w:r>
        <w:rPr>
          <w:sz w:val="28"/>
          <w:szCs w:val="28"/>
        </w:rPr>
        <w:t>主要建设</w:t>
      </w:r>
      <w:r>
        <w:rPr>
          <w:rFonts w:hint="eastAsia"/>
          <w:sz w:val="28"/>
          <w:szCs w:val="28"/>
          <w:lang w:eastAsia="zh-CN"/>
        </w:rPr>
        <w:t>合适的内容</w:t>
      </w:r>
      <w:r>
        <w:rPr>
          <w:sz w:val="28"/>
          <w:szCs w:val="28"/>
        </w:rPr>
        <w:t>包括：</w:t>
      </w:r>
      <w:r>
        <w:rPr>
          <w:rFonts w:hint="eastAsia"/>
          <w:sz w:val="28"/>
          <w:szCs w:val="28"/>
        </w:rPr>
        <w:t>总建筑面积183000</w:t>
      </w:r>
      <w:r>
        <w:rPr>
          <w:sz w:val="28"/>
          <w:szCs w:val="28"/>
        </w:rPr>
        <w:t>m</w:t>
      </w:r>
      <w:r>
        <w:rPr>
          <w:sz w:val="28"/>
          <w:szCs w:val="28"/>
          <w:vertAlign w:val="superscript"/>
        </w:rPr>
        <w:t>2</w:t>
      </w:r>
      <w:r>
        <w:rPr>
          <w:sz w:val="28"/>
          <w:szCs w:val="28"/>
        </w:rPr>
        <w:t>，</w:t>
      </w:r>
      <w:r>
        <w:rPr>
          <w:rFonts w:hint="eastAsia"/>
          <w:sz w:val="28"/>
          <w:szCs w:val="28"/>
        </w:rPr>
        <w:t>主要</w:t>
      </w:r>
    </w:p>
    <w:p>
      <w:pPr>
        <w:pStyle w:val="Normal0"/>
        <w:spacing w:line="360" w:lineRule="auto"/>
        <w:ind w:firstLine="560" w:firstLineChars="200"/>
        <w:rPr>
          <w:sz w:val="28"/>
          <w:szCs w:val="28"/>
        </w:rPr>
      </w:pPr>
      <w:r>
        <w:rPr>
          <w:sz w:val="28"/>
          <w:szCs w:val="28"/>
        </w:rPr>
        <w:t>建筑物如表1-1所示；</w:t>
      </w:r>
      <w:r>
        <w:rPr>
          <w:rFonts w:hint="eastAsia"/>
          <w:sz w:val="28"/>
          <w:szCs w:val="28"/>
        </w:rPr>
        <w:t>建机仓库50000</w:t>
      </w:r>
      <w:r>
        <w:rPr>
          <w:sz w:val="28"/>
          <w:szCs w:val="28"/>
        </w:rPr>
        <w:t>m</w:t>
      </w:r>
      <w:r>
        <w:rPr>
          <w:sz w:val="28"/>
          <w:szCs w:val="28"/>
          <w:vertAlign w:val="superscript"/>
        </w:rPr>
        <w:t>2</w:t>
      </w:r>
      <w:r>
        <w:rPr>
          <w:sz w:val="28"/>
          <w:szCs w:val="28"/>
        </w:rPr>
        <w:t>，</w:t>
      </w:r>
      <w:r>
        <w:rPr>
          <w:rFonts w:hint="eastAsia"/>
          <w:sz w:val="28"/>
          <w:szCs w:val="28"/>
        </w:rPr>
        <w:t>建材市场90000</w:t>
      </w:r>
      <w:r>
        <w:rPr>
          <w:sz w:val="28"/>
          <w:szCs w:val="28"/>
        </w:rPr>
        <w:t>m</w:t>
      </w:r>
      <w:r>
        <w:rPr>
          <w:sz w:val="28"/>
          <w:szCs w:val="28"/>
          <w:vertAlign w:val="superscript"/>
        </w:rPr>
        <w:t>2</w:t>
      </w:r>
      <w:r>
        <w:rPr>
          <w:sz w:val="28"/>
          <w:szCs w:val="28"/>
        </w:rPr>
        <w:t>，</w:t>
      </w:r>
      <w:r>
        <w:rPr>
          <w:rFonts w:hint="eastAsia"/>
          <w:sz w:val="28"/>
          <w:szCs w:val="28"/>
        </w:rPr>
        <w:t>物流配套服务用房40000</w:t>
      </w:r>
      <w:r>
        <w:rPr>
          <w:sz w:val="28"/>
          <w:szCs w:val="28"/>
        </w:rPr>
        <w:t>m</w:t>
      </w:r>
      <w:r>
        <w:rPr>
          <w:sz w:val="28"/>
          <w:szCs w:val="28"/>
          <w:vertAlign w:val="superscript"/>
        </w:rPr>
        <w:t>2</w:t>
      </w:r>
      <w:r>
        <w:rPr>
          <w:sz w:val="28"/>
          <w:szCs w:val="28"/>
        </w:rPr>
        <w:t>，</w:t>
      </w:r>
      <w:r>
        <w:rPr>
          <w:rFonts w:hint="eastAsia"/>
          <w:sz w:val="28"/>
          <w:szCs w:val="28"/>
        </w:rPr>
        <w:t>物业办公用房3000</w:t>
      </w:r>
      <w:r>
        <w:rPr>
          <w:sz w:val="28"/>
          <w:szCs w:val="28"/>
        </w:rPr>
        <w:t>m</w:t>
      </w:r>
      <w:r>
        <w:rPr>
          <w:sz w:val="28"/>
          <w:szCs w:val="28"/>
          <w:vertAlign w:val="superscript"/>
        </w:rPr>
        <w:t>2</w:t>
      </w:r>
      <w:r>
        <w:rPr>
          <w:rFonts w:hint="eastAsia"/>
          <w:sz w:val="28"/>
          <w:szCs w:val="28"/>
        </w:rPr>
        <w:t>；</w:t>
      </w:r>
      <w:r>
        <w:rPr>
          <w:sz w:val="28"/>
          <w:szCs w:val="28"/>
        </w:rPr>
        <w:t>与场地环境相适应和配套的给排水、供电、网络通讯、接线道路等设施，以及楼房周围景观绿化和广场等设施。</w:t>
      </w:r>
    </w:p>
    <w:p>
      <w:pPr>
        <w:pStyle w:val="Normal0"/>
        <w:jc w:val="center"/>
        <w:rPr>
          <w:b/>
          <w:sz w:val="24"/>
          <w:szCs w:val="28"/>
        </w:rPr>
      </w:pPr>
      <w:r>
        <w:rPr>
          <w:b/>
          <w:sz w:val="24"/>
          <w:szCs w:val="28"/>
        </w:rPr>
        <w:t xml:space="preserve">表1-1  </w:t>
      </w:r>
      <w:r>
        <w:rPr>
          <w:rFonts w:hint="eastAsia"/>
          <w:b/>
          <w:sz w:val="24"/>
          <w:szCs w:val="28"/>
          <w:lang w:eastAsia="zh-CN"/>
        </w:rPr>
        <w:t>相关项目</w:t>
      </w:r>
      <w:r>
        <w:rPr>
          <w:b/>
          <w:sz w:val="24"/>
          <w:szCs w:val="28"/>
        </w:rPr>
        <w:t>主要建筑物一览表</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38"/>
        <w:gridCol w:w="2521"/>
        <w:gridCol w:w="2100"/>
        <w:gridCol w:w="1890"/>
        <w:gridCol w:w="1279"/>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05"/>
          <w:jc w:val="center"/>
        </w:trPr>
        <w:tc>
          <w:tcPr>
            <w:tcW w:w="433" w:type="pct"/>
            <w:vAlign w:val="center"/>
          </w:tcPr>
          <w:p>
            <w:pPr>
              <w:pStyle w:val="Normal0"/>
              <w:spacing w:line="440" w:lineRule="exact"/>
              <w:jc w:val="center"/>
              <w:rPr>
                <w:rFonts w:eastAsia="楷体_GB2312" w:hint="eastAsia"/>
                <w:b/>
                <w:sz w:val="24"/>
              </w:rPr>
            </w:pPr>
            <w:r>
              <w:rPr>
                <w:rFonts w:eastAsia="楷体_GB2312" w:hint="eastAsia"/>
                <w:b/>
                <w:sz w:val="24"/>
              </w:rPr>
              <w:t>序号</w:t>
            </w:r>
          </w:p>
        </w:tc>
        <w:tc>
          <w:tcPr>
            <w:tcW w:w="1478" w:type="pct"/>
            <w:vAlign w:val="center"/>
          </w:tcPr>
          <w:p>
            <w:pPr>
              <w:pStyle w:val="Normal0"/>
              <w:spacing w:line="440" w:lineRule="exact"/>
              <w:jc w:val="center"/>
              <w:rPr>
                <w:rFonts w:eastAsia="楷体_GB2312"/>
                <w:b/>
                <w:sz w:val="24"/>
              </w:rPr>
            </w:pPr>
            <w:r>
              <w:rPr>
                <w:rFonts w:eastAsia="楷体_GB2312"/>
                <w:b/>
                <w:sz w:val="24"/>
              </w:rPr>
              <w:t>建筑物名称</w:t>
            </w:r>
          </w:p>
        </w:tc>
        <w:tc>
          <w:tcPr>
            <w:tcW w:w="1231" w:type="pct"/>
            <w:vAlign w:val="center"/>
          </w:tcPr>
          <w:p>
            <w:pPr>
              <w:pStyle w:val="Normal0"/>
              <w:spacing w:line="440" w:lineRule="exact"/>
              <w:jc w:val="center"/>
              <w:rPr>
                <w:rFonts w:eastAsia="楷体_GB2312"/>
                <w:b/>
                <w:sz w:val="24"/>
              </w:rPr>
            </w:pPr>
            <w:r>
              <w:rPr>
                <w:rFonts w:eastAsia="楷体_GB2312"/>
                <w:b/>
                <w:sz w:val="24"/>
              </w:rPr>
              <w:t>建筑面积（m</w:t>
            </w:r>
            <w:r>
              <w:rPr>
                <w:rFonts w:eastAsia="楷体_GB2312"/>
                <w:b/>
                <w:sz w:val="24"/>
                <w:vertAlign w:val="superscript"/>
              </w:rPr>
              <w:t>2</w:t>
            </w:r>
            <w:r>
              <w:rPr>
                <w:rFonts w:eastAsia="楷体_GB2312"/>
                <w:b/>
                <w:sz w:val="24"/>
              </w:rPr>
              <w:t>）</w:t>
            </w:r>
          </w:p>
        </w:tc>
        <w:tc>
          <w:tcPr>
            <w:tcW w:w="1108" w:type="pct"/>
            <w:vAlign w:val="center"/>
          </w:tcPr>
          <w:p>
            <w:pPr>
              <w:pStyle w:val="Normal0"/>
              <w:spacing w:line="440" w:lineRule="exact"/>
              <w:jc w:val="center"/>
              <w:rPr>
                <w:rFonts w:eastAsia="楷体_GB2312"/>
                <w:b/>
                <w:sz w:val="24"/>
              </w:rPr>
            </w:pPr>
            <w:r>
              <w:rPr>
                <w:rFonts w:eastAsia="楷体_GB2312" w:hint="eastAsia"/>
                <w:b/>
                <w:sz w:val="24"/>
              </w:rPr>
              <w:t>占地</w:t>
            </w:r>
            <w:r>
              <w:rPr>
                <w:rFonts w:eastAsia="楷体_GB2312"/>
                <w:b/>
                <w:sz w:val="24"/>
              </w:rPr>
              <w:t>面积（m</w:t>
            </w:r>
            <w:r>
              <w:rPr>
                <w:rFonts w:eastAsia="楷体_GB2312"/>
                <w:b/>
                <w:sz w:val="24"/>
                <w:vertAlign w:val="superscript"/>
              </w:rPr>
              <w:t>2</w:t>
            </w:r>
            <w:r>
              <w:rPr>
                <w:rFonts w:eastAsia="楷体_GB2312"/>
                <w:b/>
                <w:sz w:val="24"/>
              </w:rPr>
              <w:t>）</w:t>
            </w:r>
          </w:p>
        </w:tc>
        <w:tc>
          <w:tcPr>
            <w:tcW w:w="750" w:type="pct"/>
            <w:vAlign w:val="center"/>
          </w:tcPr>
          <w:p>
            <w:pPr>
              <w:pStyle w:val="Normal0"/>
              <w:spacing w:line="440" w:lineRule="exact"/>
              <w:jc w:val="center"/>
              <w:rPr>
                <w:rFonts w:eastAsia="楷体_GB2312" w:hint="eastAsia"/>
                <w:b/>
                <w:sz w:val="24"/>
              </w:rPr>
            </w:pPr>
            <w:r>
              <w:rPr>
                <w:rFonts w:eastAsia="楷体_GB2312" w:hint="eastAsia"/>
                <w:b/>
                <w:sz w:val="24"/>
              </w:rPr>
              <w:t>备注</w:t>
            </w:r>
          </w:p>
        </w:tc>
      </w:tr>
      <w:tr>
        <w:tblPrEx>
          <w:tblW w:w="5000" w:type="pct"/>
          <w:jc w:val="center"/>
          <w:tblCellMar>
            <w:top w:w="0" w:type="dxa"/>
            <w:left w:w="108" w:type="dxa"/>
            <w:bottom w:w="0" w:type="dxa"/>
            <w:right w:w="108" w:type="dxa"/>
          </w:tblCellMar>
        </w:tblPrEx>
        <w:trPr>
          <w:jc w:val="center"/>
        </w:trPr>
        <w:tc>
          <w:tcPr>
            <w:tcW w:w="433" w:type="pct"/>
            <w:vAlign w:val="center"/>
          </w:tcPr>
          <w:p>
            <w:pPr>
              <w:pStyle w:val="Normal0"/>
              <w:jc w:val="center"/>
              <w:rPr>
                <w:rFonts w:ascii="宋体" w:hAnsi="宋体" w:cs="宋体"/>
                <w:sz w:val="24"/>
              </w:rPr>
            </w:pPr>
            <w:r>
              <w:rPr>
                <w:rFonts w:hint="eastAsia"/>
              </w:rPr>
              <w:t>1</w:t>
            </w:r>
          </w:p>
        </w:tc>
        <w:tc>
          <w:tcPr>
            <w:tcW w:w="1478" w:type="pct"/>
            <w:vAlign w:val="center"/>
          </w:tcPr>
          <w:p>
            <w:pPr>
              <w:pStyle w:val="Normal0"/>
              <w:spacing w:line="440" w:lineRule="exact"/>
              <w:jc w:val="center"/>
              <w:rPr>
                <w:rFonts w:eastAsia="楷体_GB2312" w:hint="eastAsia"/>
                <w:sz w:val="24"/>
              </w:rPr>
            </w:pPr>
            <w:r>
              <w:rPr>
                <w:rFonts w:eastAsia="楷体_GB2312" w:hint="eastAsia"/>
                <w:sz w:val="24"/>
              </w:rPr>
              <w:t>建筑面积</w:t>
            </w:r>
          </w:p>
        </w:tc>
        <w:tc>
          <w:tcPr>
            <w:tcW w:w="1231" w:type="pct"/>
            <w:vAlign w:val="center"/>
          </w:tcPr>
          <w:p>
            <w:pPr>
              <w:pStyle w:val="Normal0"/>
              <w:jc w:val="center"/>
              <w:rPr>
                <w:rFonts w:hint="eastAsia"/>
                <w:sz w:val="24"/>
              </w:rPr>
            </w:pPr>
            <w:r>
              <w:rPr>
                <w:rFonts w:eastAsia="楷体_GB2312" w:hint="eastAsia"/>
                <w:sz w:val="24"/>
              </w:rPr>
              <w:t>183000</w:t>
            </w:r>
          </w:p>
        </w:tc>
        <w:tc>
          <w:tcPr>
            <w:tcW w:w="1108" w:type="pct"/>
            <w:vAlign w:val="center"/>
          </w:tcPr>
          <w:p>
            <w:pPr>
              <w:pStyle w:val="Normal0"/>
              <w:jc w:val="center"/>
              <w:rPr>
                <w:rFonts w:hint="eastAsia"/>
                <w:sz w:val="24"/>
              </w:rPr>
            </w:pPr>
            <w:r>
              <w:rPr>
                <w:rFonts w:eastAsia="楷体_GB2312" w:hint="eastAsia"/>
                <w:sz w:val="24"/>
              </w:rPr>
              <w:t>91000</w:t>
            </w:r>
          </w:p>
        </w:tc>
        <w:tc>
          <w:tcPr>
            <w:tcW w:w="750" w:type="pct"/>
            <w:vAlign w:val="center"/>
          </w:tcPr>
          <w:p>
            <w:pPr>
              <w:pStyle w:val="Normal0"/>
              <w:jc w:val="center"/>
              <w:rPr>
                <w:rFonts w:hint="eastAsia"/>
                <w:sz w:val="24"/>
              </w:rPr>
            </w:pPr>
          </w:p>
        </w:tc>
      </w:tr>
      <w:tr>
        <w:tblPrEx>
          <w:tblW w:w="5000" w:type="pct"/>
          <w:jc w:val="center"/>
          <w:tblCellMar>
            <w:top w:w="0" w:type="dxa"/>
            <w:left w:w="108" w:type="dxa"/>
            <w:bottom w:w="0" w:type="dxa"/>
            <w:right w:w="108" w:type="dxa"/>
          </w:tblCellMar>
        </w:tblPrEx>
        <w:trPr>
          <w:jc w:val="center"/>
        </w:trPr>
        <w:tc>
          <w:tcPr>
            <w:tcW w:w="433" w:type="pct"/>
            <w:vAlign w:val="center"/>
          </w:tcPr>
          <w:p>
            <w:pPr>
              <w:pStyle w:val="Normal0"/>
              <w:jc w:val="center"/>
              <w:rPr>
                <w:rFonts w:ascii="宋体" w:hAnsi="宋体" w:cs="宋体"/>
                <w:sz w:val="24"/>
              </w:rPr>
            </w:pPr>
            <w:r>
              <w:rPr>
                <w:rFonts w:hint="eastAsia"/>
              </w:rPr>
              <w:t>2</w:t>
            </w:r>
          </w:p>
        </w:tc>
        <w:tc>
          <w:tcPr>
            <w:tcW w:w="1478" w:type="pct"/>
            <w:vAlign w:val="center"/>
          </w:tcPr>
          <w:p>
            <w:pPr>
              <w:pStyle w:val="Normal0"/>
              <w:spacing w:line="440" w:lineRule="exact"/>
              <w:jc w:val="center"/>
              <w:rPr>
                <w:rFonts w:eastAsia="楷体_GB2312" w:hint="eastAsia"/>
                <w:sz w:val="24"/>
              </w:rPr>
            </w:pPr>
            <w:r>
              <w:rPr>
                <w:rFonts w:eastAsia="楷体_GB2312" w:hint="eastAsia"/>
                <w:sz w:val="24"/>
              </w:rPr>
              <w:t>建机仓库</w:t>
            </w:r>
          </w:p>
        </w:tc>
        <w:tc>
          <w:tcPr>
            <w:tcW w:w="1231" w:type="pct"/>
            <w:vAlign w:val="center"/>
          </w:tcPr>
          <w:p>
            <w:pPr>
              <w:pStyle w:val="Normal0"/>
              <w:jc w:val="center"/>
              <w:rPr>
                <w:rFonts w:hint="eastAsia"/>
                <w:sz w:val="24"/>
              </w:rPr>
            </w:pPr>
            <w:r>
              <w:rPr>
                <w:rFonts w:hint="eastAsia"/>
              </w:rPr>
              <w:t>50000</w:t>
            </w:r>
          </w:p>
        </w:tc>
        <w:tc>
          <w:tcPr>
            <w:tcW w:w="1108" w:type="pct"/>
            <w:vAlign w:val="center"/>
          </w:tcPr>
          <w:p>
            <w:pPr>
              <w:pStyle w:val="Normal0"/>
              <w:jc w:val="center"/>
              <w:rPr>
                <w:rFonts w:hint="eastAsia"/>
                <w:sz w:val="24"/>
              </w:rPr>
            </w:pPr>
            <w:r>
              <w:rPr>
                <w:rFonts w:hint="eastAsia"/>
              </w:rPr>
              <w:t>50000</w:t>
            </w:r>
          </w:p>
        </w:tc>
        <w:tc>
          <w:tcPr>
            <w:tcW w:w="750" w:type="pct"/>
            <w:vAlign w:val="center"/>
          </w:tcPr>
          <w:p>
            <w:pPr>
              <w:pStyle w:val="Normal0"/>
              <w:jc w:val="center"/>
              <w:rPr>
                <w:rFonts w:hint="eastAsia"/>
                <w:sz w:val="24"/>
              </w:rPr>
            </w:pPr>
          </w:p>
        </w:tc>
      </w:tr>
      <w:tr>
        <w:tblPrEx>
          <w:tblW w:w="5000" w:type="pct"/>
          <w:jc w:val="center"/>
          <w:tblCellMar>
            <w:top w:w="0" w:type="dxa"/>
            <w:left w:w="108" w:type="dxa"/>
            <w:bottom w:w="0" w:type="dxa"/>
            <w:right w:w="108" w:type="dxa"/>
          </w:tblCellMar>
        </w:tblPrEx>
        <w:trPr>
          <w:jc w:val="center"/>
        </w:trPr>
        <w:tc>
          <w:tcPr>
            <w:tcW w:w="433" w:type="pct"/>
            <w:vAlign w:val="center"/>
          </w:tcPr>
          <w:p>
            <w:pPr>
              <w:pStyle w:val="Normal0"/>
              <w:jc w:val="center"/>
              <w:rPr>
                <w:rFonts w:ascii="宋体" w:hAnsi="宋体" w:cs="宋体"/>
                <w:sz w:val="24"/>
              </w:rPr>
            </w:pPr>
            <w:r>
              <w:rPr>
                <w:rFonts w:hint="eastAsia"/>
              </w:rPr>
              <w:t>3</w:t>
            </w:r>
          </w:p>
        </w:tc>
        <w:tc>
          <w:tcPr>
            <w:tcW w:w="1478" w:type="pct"/>
            <w:vAlign w:val="center"/>
          </w:tcPr>
          <w:p>
            <w:pPr>
              <w:pStyle w:val="Normal0"/>
              <w:spacing w:line="440" w:lineRule="exact"/>
              <w:jc w:val="center"/>
              <w:rPr>
                <w:rFonts w:eastAsia="楷体_GB2312" w:hint="eastAsia"/>
                <w:sz w:val="24"/>
              </w:rPr>
            </w:pPr>
            <w:r>
              <w:rPr>
                <w:rFonts w:eastAsia="楷体_GB2312" w:hint="eastAsia"/>
                <w:sz w:val="24"/>
              </w:rPr>
              <w:t>建材市场</w:t>
            </w:r>
          </w:p>
        </w:tc>
        <w:tc>
          <w:tcPr>
            <w:tcW w:w="1231" w:type="pct"/>
            <w:vAlign w:val="center"/>
          </w:tcPr>
          <w:p>
            <w:pPr>
              <w:pStyle w:val="Normal0"/>
              <w:jc w:val="center"/>
              <w:rPr>
                <w:rFonts w:hint="eastAsia"/>
                <w:sz w:val="24"/>
              </w:rPr>
            </w:pPr>
            <w:r>
              <w:rPr>
                <w:rFonts w:hint="eastAsia"/>
              </w:rPr>
              <w:t>90000</w:t>
            </w:r>
          </w:p>
        </w:tc>
        <w:tc>
          <w:tcPr>
            <w:tcW w:w="1108" w:type="pct"/>
            <w:vAlign w:val="center"/>
          </w:tcPr>
          <w:p>
            <w:pPr>
              <w:pStyle w:val="Normal0"/>
              <w:jc w:val="center"/>
              <w:rPr>
                <w:rFonts w:hint="eastAsia"/>
                <w:sz w:val="24"/>
              </w:rPr>
            </w:pPr>
            <w:r>
              <w:rPr>
                <w:rFonts w:hint="eastAsia"/>
                <w:sz w:val="24"/>
              </w:rPr>
              <w:t>20000</w:t>
            </w:r>
          </w:p>
        </w:tc>
        <w:tc>
          <w:tcPr>
            <w:tcW w:w="750" w:type="pct"/>
            <w:vAlign w:val="center"/>
          </w:tcPr>
          <w:p>
            <w:pPr>
              <w:pStyle w:val="Normal0"/>
              <w:jc w:val="center"/>
              <w:rPr>
                <w:rFonts w:hint="eastAsia"/>
                <w:sz w:val="24"/>
              </w:rPr>
            </w:pPr>
          </w:p>
        </w:tc>
      </w:tr>
      <w:tr>
        <w:tblPrEx>
          <w:tblW w:w="5000" w:type="pct"/>
          <w:jc w:val="center"/>
          <w:tblCellMar>
            <w:top w:w="0" w:type="dxa"/>
            <w:left w:w="108" w:type="dxa"/>
            <w:bottom w:w="0" w:type="dxa"/>
            <w:right w:w="108" w:type="dxa"/>
          </w:tblCellMar>
        </w:tblPrEx>
        <w:trPr>
          <w:jc w:val="center"/>
        </w:trPr>
        <w:tc>
          <w:tcPr>
            <w:tcW w:w="433" w:type="pct"/>
            <w:vAlign w:val="center"/>
          </w:tcPr>
          <w:p>
            <w:pPr>
              <w:pStyle w:val="Normal0"/>
              <w:jc w:val="center"/>
              <w:rPr>
                <w:rFonts w:ascii="宋体" w:hAnsi="宋体" w:cs="宋体"/>
                <w:sz w:val="24"/>
              </w:rPr>
            </w:pPr>
            <w:r>
              <w:rPr>
                <w:rFonts w:hint="eastAsia"/>
              </w:rPr>
              <w:t>4</w:t>
            </w:r>
          </w:p>
        </w:tc>
        <w:tc>
          <w:tcPr>
            <w:tcW w:w="1478" w:type="pct"/>
            <w:vAlign w:val="center"/>
          </w:tcPr>
          <w:p>
            <w:pPr>
              <w:pStyle w:val="Normal0"/>
              <w:spacing w:line="440" w:lineRule="exact"/>
              <w:jc w:val="center"/>
              <w:rPr>
                <w:rFonts w:eastAsia="楷体_GB2312" w:hint="eastAsia"/>
                <w:sz w:val="24"/>
              </w:rPr>
            </w:pPr>
            <w:r>
              <w:rPr>
                <w:rFonts w:eastAsia="楷体_GB2312" w:hint="eastAsia"/>
                <w:sz w:val="24"/>
              </w:rPr>
              <w:t>物流配套服务用房</w:t>
            </w:r>
          </w:p>
        </w:tc>
        <w:tc>
          <w:tcPr>
            <w:tcW w:w="1231" w:type="pct"/>
            <w:vAlign w:val="center"/>
          </w:tcPr>
          <w:p>
            <w:pPr>
              <w:pStyle w:val="Normal0"/>
              <w:jc w:val="center"/>
              <w:rPr>
                <w:rFonts w:hint="eastAsia"/>
                <w:sz w:val="24"/>
              </w:rPr>
            </w:pPr>
            <w:r>
              <w:t>4000</w:t>
            </w:r>
            <w:r>
              <w:rPr>
                <w:rFonts w:hint="eastAsia"/>
              </w:rPr>
              <w:t>0</w:t>
            </w:r>
          </w:p>
        </w:tc>
        <w:tc>
          <w:tcPr>
            <w:tcW w:w="1108" w:type="pct"/>
            <w:vAlign w:val="center"/>
          </w:tcPr>
          <w:p>
            <w:pPr>
              <w:pStyle w:val="Normal0"/>
              <w:jc w:val="center"/>
              <w:rPr>
                <w:rFonts w:hint="eastAsia"/>
                <w:sz w:val="24"/>
              </w:rPr>
            </w:pPr>
            <w:r>
              <w:rPr>
                <w:rFonts w:hint="eastAsia"/>
              </w:rPr>
              <w:t>2</w:t>
            </w:r>
            <w:r>
              <w:t>000</w:t>
            </w:r>
            <w:r>
              <w:rPr>
                <w:rFonts w:hint="eastAsia"/>
              </w:rPr>
              <w:t>0</w:t>
            </w:r>
          </w:p>
        </w:tc>
        <w:tc>
          <w:tcPr>
            <w:tcW w:w="750" w:type="pct"/>
            <w:vAlign w:val="center"/>
          </w:tcPr>
          <w:p>
            <w:pPr>
              <w:pStyle w:val="Normal0"/>
              <w:jc w:val="center"/>
              <w:rPr>
                <w:rFonts w:hint="eastAsia"/>
                <w:sz w:val="24"/>
              </w:rPr>
            </w:pPr>
          </w:p>
        </w:tc>
      </w:tr>
      <w:tr>
        <w:tblPrEx>
          <w:tblW w:w="5000" w:type="pct"/>
          <w:jc w:val="center"/>
          <w:tblCellMar>
            <w:top w:w="0" w:type="dxa"/>
            <w:left w:w="108" w:type="dxa"/>
            <w:bottom w:w="0" w:type="dxa"/>
            <w:right w:w="108" w:type="dxa"/>
          </w:tblCellMar>
        </w:tblPrEx>
        <w:trPr>
          <w:jc w:val="center"/>
        </w:trPr>
        <w:tc>
          <w:tcPr>
            <w:tcW w:w="433" w:type="pct"/>
            <w:vAlign w:val="center"/>
          </w:tcPr>
          <w:p>
            <w:pPr>
              <w:pStyle w:val="Normal0"/>
              <w:jc w:val="center"/>
              <w:rPr>
                <w:rFonts w:ascii="宋体" w:hAnsi="宋体" w:cs="宋体"/>
                <w:sz w:val="24"/>
              </w:rPr>
            </w:pPr>
            <w:r>
              <w:rPr>
                <w:rFonts w:hint="eastAsia"/>
              </w:rPr>
              <w:t>5</w:t>
            </w:r>
          </w:p>
        </w:tc>
        <w:tc>
          <w:tcPr>
            <w:tcW w:w="1478" w:type="pct"/>
            <w:vAlign w:val="center"/>
          </w:tcPr>
          <w:p>
            <w:pPr>
              <w:pStyle w:val="Normal0"/>
              <w:spacing w:line="440" w:lineRule="exact"/>
              <w:jc w:val="center"/>
              <w:rPr>
                <w:rFonts w:eastAsia="楷体_GB2312" w:hint="eastAsia"/>
                <w:sz w:val="24"/>
              </w:rPr>
            </w:pPr>
            <w:r>
              <w:rPr>
                <w:rFonts w:eastAsia="楷体_GB2312" w:hint="eastAsia"/>
                <w:sz w:val="24"/>
              </w:rPr>
              <w:t>物业办公及配套用房</w:t>
            </w:r>
          </w:p>
        </w:tc>
        <w:tc>
          <w:tcPr>
            <w:tcW w:w="1231" w:type="pct"/>
            <w:vAlign w:val="center"/>
          </w:tcPr>
          <w:p>
            <w:pPr>
              <w:pStyle w:val="Normal0"/>
              <w:jc w:val="center"/>
              <w:rPr>
                <w:rFonts w:hint="eastAsia"/>
                <w:sz w:val="24"/>
              </w:rPr>
            </w:pPr>
            <w:r>
              <w:rPr>
                <w:rFonts w:hint="eastAsia"/>
              </w:rPr>
              <w:t>3000</w:t>
            </w:r>
          </w:p>
        </w:tc>
        <w:tc>
          <w:tcPr>
            <w:tcW w:w="1108" w:type="pct"/>
            <w:vAlign w:val="center"/>
          </w:tcPr>
          <w:p>
            <w:pPr>
              <w:pStyle w:val="Normal0"/>
              <w:jc w:val="center"/>
              <w:rPr>
                <w:rFonts w:hint="eastAsia"/>
                <w:sz w:val="24"/>
              </w:rPr>
            </w:pPr>
            <w:r>
              <w:rPr>
                <w:rFonts w:hint="eastAsia"/>
                <w:sz w:val="24"/>
              </w:rPr>
              <w:t>1000</w:t>
            </w:r>
          </w:p>
        </w:tc>
        <w:tc>
          <w:tcPr>
            <w:tcW w:w="750" w:type="pct"/>
            <w:vAlign w:val="center"/>
          </w:tcPr>
          <w:p>
            <w:pPr>
              <w:pStyle w:val="Normal0"/>
              <w:jc w:val="center"/>
              <w:rPr>
                <w:rFonts w:hint="eastAsia"/>
                <w:sz w:val="24"/>
              </w:rPr>
            </w:pPr>
          </w:p>
        </w:tc>
      </w:tr>
      <w:tr>
        <w:tblPrEx>
          <w:tblW w:w="5000" w:type="pct"/>
          <w:jc w:val="center"/>
          <w:tblCellMar>
            <w:top w:w="0" w:type="dxa"/>
            <w:left w:w="108" w:type="dxa"/>
            <w:bottom w:w="0" w:type="dxa"/>
            <w:right w:w="108" w:type="dxa"/>
          </w:tblCellMar>
        </w:tblPrEx>
        <w:trPr>
          <w:jc w:val="center"/>
        </w:trPr>
        <w:tc>
          <w:tcPr>
            <w:tcW w:w="433" w:type="pct"/>
            <w:vAlign w:val="center"/>
          </w:tcPr>
          <w:p>
            <w:pPr>
              <w:pStyle w:val="Normal0"/>
              <w:jc w:val="center"/>
              <w:rPr>
                <w:rFonts w:hint="eastAsia"/>
              </w:rPr>
            </w:pPr>
            <w:r>
              <w:rPr>
                <w:rFonts w:hint="eastAsia"/>
              </w:rPr>
              <w:t>6</w:t>
            </w:r>
          </w:p>
        </w:tc>
        <w:tc>
          <w:tcPr>
            <w:tcW w:w="1478" w:type="pct"/>
            <w:vAlign w:val="center"/>
          </w:tcPr>
          <w:p>
            <w:pPr>
              <w:pStyle w:val="Normal0"/>
              <w:spacing w:line="440" w:lineRule="exact"/>
              <w:jc w:val="center"/>
              <w:rPr>
                <w:rFonts w:eastAsia="楷体_GB2312" w:hint="eastAsia"/>
                <w:sz w:val="24"/>
              </w:rPr>
            </w:pPr>
            <w:r>
              <w:rPr>
                <w:rFonts w:eastAsia="楷体_GB2312" w:hint="eastAsia"/>
                <w:sz w:val="24"/>
              </w:rPr>
              <w:t>容积率</w:t>
            </w:r>
          </w:p>
        </w:tc>
        <w:tc>
          <w:tcPr>
            <w:tcW w:w="1231" w:type="pct"/>
            <w:vAlign w:val="center"/>
          </w:tcPr>
          <w:p>
            <w:pPr>
              <w:pStyle w:val="Normal0"/>
              <w:jc w:val="center"/>
              <w:rPr>
                <w:rFonts w:hint="eastAsia"/>
              </w:rPr>
            </w:pPr>
            <w:r>
              <w:rPr>
                <w:rFonts w:hint="eastAsia"/>
              </w:rPr>
              <w:t>1.37</w:t>
            </w:r>
          </w:p>
        </w:tc>
        <w:tc>
          <w:tcPr>
            <w:tcW w:w="1108" w:type="pct"/>
            <w:vAlign w:val="center"/>
          </w:tcPr>
          <w:p>
            <w:pPr>
              <w:pStyle w:val="Normal0"/>
              <w:spacing w:line="440" w:lineRule="exact"/>
              <w:jc w:val="center"/>
              <w:rPr>
                <w:rFonts w:eastAsia="楷体_GB2312" w:hint="eastAsia"/>
                <w:sz w:val="24"/>
              </w:rPr>
            </w:pPr>
          </w:p>
        </w:tc>
        <w:tc>
          <w:tcPr>
            <w:tcW w:w="750" w:type="pct"/>
            <w:vAlign w:val="center"/>
          </w:tcPr>
          <w:p>
            <w:pPr>
              <w:pStyle w:val="Normal0"/>
              <w:spacing w:line="440" w:lineRule="exact"/>
              <w:jc w:val="center"/>
              <w:rPr>
                <w:rFonts w:eastAsia="楷体_GB2312" w:hint="eastAsia"/>
                <w:sz w:val="24"/>
              </w:rPr>
            </w:pPr>
          </w:p>
        </w:tc>
      </w:tr>
      <w:tr>
        <w:tblPrEx>
          <w:tblW w:w="5000" w:type="pct"/>
          <w:jc w:val="center"/>
          <w:tblCellMar>
            <w:top w:w="0" w:type="dxa"/>
            <w:left w:w="108" w:type="dxa"/>
            <w:bottom w:w="0" w:type="dxa"/>
            <w:right w:w="108" w:type="dxa"/>
          </w:tblCellMar>
        </w:tblPrEx>
        <w:trPr>
          <w:jc w:val="center"/>
        </w:trPr>
        <w:tc>
          <w:tcPr>
            <w:tcW w:w="433" w:type="pct"/>
            <w:vAlign w:val="center"/>
          </w:tcPr>
          <w:p>
            <w:pPr>
              <w:pStyle w:val="Normal0"/>
              <w:jc w:val="center"/>
              <w:rPr>
                <w:rFonts w:hint="eastAsia"/>
              </w:rPr>
            </w:pPr>
            <w:r>
              <w:rPr>
                <w:rFonts w:hint="eastAsia"/>
              </w:rPr>
              <w:t>7</w:t>
            </w:r>
          </w:p>
        </w:tc>
        <w:tc>
          <w:tcPr>
            <w:tcW w:w="1478" w:type="pct"/>
            <w:vAlign w:val="center"/>
          </w:tcPr>
          <w:p>
            <w:pPr>
              <w:pStyle w:val="Normal0"/>
              <w:spacing w:line="440" w:lineRule="exact"/>
              <w:jc w:val="center"/>
              <w:rPr>
                <w:rFonts w:eastAsia="楷体_GB2312" w:hint="eastAsia"/>
                <w:sz w:val="24"/>
              </w:rPr>
            </w:pPr>
            <w:r>
              <w:rPr>
                <w:rFonts w:eastAsia="楷体_GB2312" w:hint="eastAsia"/>
                <w:sz w:val="24"/>
              </w:rPr>
              <w:t>建筑密度</w:t>
            </w:r>
          </w:p>
        </w:tc>
        <w:tc>
          <w:tcPr>
            <w:tcW w:w="1231" w:type="pct"/>
            <w:vAlign w:val="center"/>
          </w:tcPr>
          <w:p>
            <w:pPr>
              <w:pStyle w:val="Normal0"/>
              <w:jc w:val="center"/>
              <w:rPr>
                <w:rFonts w:hint="eastAsia"/>
              </w:rPr>
            </w:pPr>
            <w:r>
              <w:rPr>
                <w:rFonts w:hint="eastAsia"/>
              </w:rPr>
              <w:t>68.25%</w:t>
            </w:r>
          </w:p>
        </w:tc>
        <w:tc>
          <w:tcPr>
            <w:tcW w:w="1108" w:type="pct"/>
            <w:vAlign w:val="center"/>
          </w:tcPr>
          <w:p>
            <w:pPr>
              <w:pStyle w:val="Normal0"/>
              <w:spacing w:line="440" w:lineRule="exact"/>
              <w:jc w:val="center"/>
              <w:rPr>
                <w:rFonts w:eastAsia="楷体_GB2312" w:hint="eastAsia"/>
                <w:sz w:val="24"/>
              </w:rPr>
            </w:pPr>
          </w:p>
        </w:tc>
        <w:tc>
          <w:tcPr>
            <w:tcW w:w="750" w:type="pct"/>
            <w:vAlign w:val="center"/>
          </w:tcPr>
          <w:p>
            <w:pPr>
              <w:pStyle w:val="Normal0"/>
              <w:spacing w:line="440" w:lineRule="exact"/>
              <w:jc w:val="center"/>
              <w:rPr>
                <w:rFonts w:eastAsia="楷体_GB2312" w:hint="eastAsia"/>
                <w:sz w:val="24"/>
              </w:rPr>
            </w:pPr>
          </w:p>
        </w:tc>
      </w:tr>
      <w:tr>
        <w:tblPrEx>
          <w:tblW w:w="5000" w:type="pct"/>
          <w:jc w:val="center"/>
          <w:tblCellMar>
            <w:top w:w="0" w:type="dxa"/>
            <w:left w:w="108" w:type="dxa"/>
            <w:bottom w:w="0" w:type="dxa"/>
            <w:right w:w="108" w:type="dxa"/>
          </w:tblCellMar>
        </w:tblPrEx>
        <w:trPr>
          <w:jc w:val="center"/>
        </w:trPr>
        <w:tc>
          <w:tcPr>
            <w:tcW w:w="433" w:type="pct"/>
            <w:vAlign w:val="center"/>
          </w:tcPr>
          <w:p>
            <w:pPr>
              <w:pStyle w:val="Normal0"/>
              <w:jc w:val="center"/>
              <w:rPr>
                <w:rFonts w:hint="eastAsia"/>
              </w:rPr>
            </w:pPr>
            <w:r>
              <w:rPr>
                <w:rFonts w:hint="eastAsia"/>
              </w:rPr>
              <w:t>8</w:t>
            </w:r>
          </w:p>
        </w:tc>
        <w:tc>
          <w:tcPr>
            <w:tcW w:w="1478" w:type="pct"/>
            <w:vAlign w:val="center"/>
          </w:tcPr>
          <w:p>
            <w:pPr>
              <w:pStyle w:val="Normal0"/>
              <w:spacing w:line="440" w:lineRule="exact"/>
              <w:jc w:val="center"/>
              <w:rPr>
                <w:rFonts w:eastAsia="楷体_GB2312" w:hint="eastAsia"/>
                <w:sz w:val="24"/>
              </w:rPr>
            </w:pPr>
            <w:r>
              <w:rPr>
                <w:rFonts w:eastAsia="楷体_GB2312" w:hint="eastAsia"/>
                <w:sz w:val="24"/>
              </w:rPr>
              <w:t>绿地率</w:t>
            </w:r>
          </w:p>
        </w:tc>
        <w:tc>
          <w:tcPr>
            <w:tcW w:w="1231" w:type="pct"/>
            <w:vAlign w:val="center"/>
          </w:tcPr>
          <w:p>
            <w:pPr>
              <w:pStyle w:val="Normal0"/>
              <w:spacing w:line="440" w:lineRule="exact"/>
              <w:jc w:val="center"/>
              <w:rPr>
                <w:rFonts w:eastAsia="楷体_GB2312" w:hint="eastAsia"/>
                <w:sz w:val="24"/>
              </w:rPr>
            </w:pPr>
            <w:r>
              <w:rPr>
                <w:rFonts w:eastAsia="楷体_GB2312" w:hint="eastAsia"/>
                <w:sz w:val="24"/>
              </w:rPr>
              <w:t>10%</w:t>
            </w:r>
          </w:p>
        </w:tc>
        <w:tc>
          <w:tcPr>
            <w:tcW w:w="1108" w:type="pct"/>
            <w:vAlign w:val="center"/>
          </w:tcPr>
          <w:p>
            <w:pPr>
              <w:pStyle w:val="Normal0"/>
              <w:spacing w:line="440" w:lineRule="exact"/>
              <w:jc w:val="center"/>
              <w:rPr>
                <w:rFonts w:eastAsia="楷体_GB2312" w:hint="eastAsia"/>
                <w:sz w:val="24"/>
              </w:rPr>
            </w:pPr>
          </w:p>
        </w:tc>
        <w:tc>
          <w:tcPr>
            <w:tcW w:w="750" w:type="pct"/>
            <w:vAlign w:val="center"/>
          </w:tcPr>
          <w:p>
            <w:pPr>
              <w:pStyle w:val="Normal0"/>
              <w:spacing w:line="440" w:lineRule="exact"/>
              <w:jc w:val="center"/>
              <w:rPr>
                <w:rFonts w:eastAsia="楷体_GB2312" w:hint="eastAsia"/>
                <w:sz w:val="24"/>
              </w:rPr>
            </w:pPr>
          </w:p>
        </w:tc>
      </w:tr>
    </w:tbl>
    <w:p>
      <w:pPr>
        <w:pStyle w:val="Normal0"/>
        <w:spacing w:before="205" w:beforeLines="50" w:after="205" w:afterLines="50" w:line="360" w:lineRule="auto"/>
        <w:rPr>
          <w:b/>
          <w:sz w:val="28"/>
          <w:szCs w:val="28"/>
        </w:rPr>
      </w:pPr>
      <w:r>
        <w:rPr>
          <w:b/>
          <w:sz w:val="28"/>
          <w:szCs w:val="28"/>
        </w:rPr>
        <w:t xml:space="preserve">1.3.4 </w:t>
      </w:r>
      <w:r>
        <w:rPr>
          <w:rFonts w:hint="eastAsia"/>
          <w:b/>
          <w:sz w:val="28"/>
          <w:szCs w:val="28"/>
          <w:lang w:eastAsia="zh-CN"/>
        </w:rPr>
        <w:t>相关项目</w:t>
      </w:r>
      <w:r>
        <w:rPr>
          <w:b/>
          <w:sz w:val="28"/>
          <w:szCs w:val="28"/>
        </w:rPr>
        <w:t>投资与资金筹措</w:t>
      </w:r>
    </w:p>
    <w:p>
      <w:pPr>
        <w:pStyle w:val="Normal0"/>
        <w:spacing w:line="360" w:lineRule="auto"/>
        <w:ind w:firstLine="560" w:firstLineChars="200"/>
        <w:rPr>
          <w:sz w:val="28"/>
          <w:szCs w:val="28"/>
        </w:rPr>
      </w:pPr>
      <w:r>
        <w:rPr>
          <w:rFonts w:hint="eastAsia"/>
          <w:sz w:val="28"/>
          <w:szCs w:val="28"/>
        </w:rPr>
        <w:t>1、</w:t>
      </w:r>
      <w:r>
        <w:rPr>
          <w:rFonts w:hint="eastAsia"/>
          <w:sz w:val="28"/>
          <w:szCs w:val="28"/>
          <w:lang w:eastAsia="zh-CN"/>
        </w:rPr>
        <w:t>相关项目</w:t>
      </w:r>
      <w:r>
        <w:rPr>
          <w:sz w:val="28"/>
          <w:szCs w:val="28"/>
        </w:rPr>
        <w:t>总投资</w:t>
      </w:r>
    </w:p>
    <w:p>
      <w:pPr>
        <w:pStyle w:val="Normal0"/>
        <w:spacing w:line="560" w:lineRule="exact"/>
        <w:ind w:firstLine="560" w:firstLineChars="200"/>
        <w:rPr>
          <w:sz w:val="28"/>
          <w:szCs w:val="28"/>
        </w:rPr>
      </w:pPr>
      <w:r>
        <w:rPr>
          <w:rFonts w:ascii="宋体" w:hAnsi="宋体" w:hint="eastAsia"/>
          <w:sz w:val="28"/>
          <w:szCs w:val="28"/>
          <w:lang w:eastAsia="zh-CN"/>
        </w:rPr>
        <w:t>相关项目</w:t>
      </w:r>
      <w:r>
        <w:rPr>
          <w:rFonts w:ascii="宋体" w:hAnsi="宋体"/>
          <w:sz w:val="28"/>
          <w:szCs w:val="28"/>
        </w:rPr>
        <w:t>总投资估算为</w:t>
      </w:r>
      <w:r>
        <w:rPr>
          <w:rFonts w:ascii="宋体" w:hAnsi="宋体" w:hint="eastAsia"/>
          <w:sz w:val="28"/>
          <w:szCs w:val="28"/>
        </w:rPr>
        <w:t>41886.49</w:t>
      </w:r>
      <w:r>
        <w:rPr>
          <w:rFonts w:ascii="宋体" w:hAnsi="宋体"/>
          <w:sz w:val="28"/>
          <w:szCs w:val="28"/>
        </w:rPr>
        <w:t>万元，建设投资估算为</w:t>
      </w:r>
      <w:r>
        <w:rPr>
          <w:rFonts w:ascii="宋体" w:hAnsi="宋体" w:hint="eastAsia"/>
          <w:sz w:val="28"/>
          <w:szCs w:val="28"/>
        </w:rPr>
        <w:t>40949.31</w:t>
      </w:r>
      <w:r>
        <w:rPr>
          <w:rFonts w:ascii="宋体" w:hAnsi="宋体"/>
          <w:sz w:val="28"/>
          <w:szCs w:val="28"/>
        </w:rPr>
        <w:t>万元：其中，工程费用</w:t>
      </w:r>
      <w:r>
        <w:rPr>
          <w:rFonts w:ascii="宋体" w:hAnsi="宋体" w:hint="eastAsia"/>
          <w:sz w:val="28"/>
          <w:szCs w:val="28"/>
        </w:rPr>
        <w:t>33780.00</w:t>
      </w:r>
      <w:r>
        <w:rPr>
          <w:rFonts w:ascii="宋体" w:hAnsi="宋体"/>
          <w:sz w:val="28"/>
          <w:szCs w:val="28"/>
        </w:rPr>
        <w:t>万元，占总投资的</w:t>
      </w:r>
      <w:r>
        <w:rPr>
          <w:rFonts w:ascii="宋体" w:hAnsi="宋体" w:hint="eastAsia"/>
          <w:sz w:val="28"/>
          <w:szCs w:val="28"/>
        </w:rPr>
        <w:t>80.65</w:t>
      </w:r>
      <w:r>
        <w:rPr>
          <w:rFonts w:ascii="宋体" w:hAnsi="宋体"/>
          <w:sz w:val="28"/>
          <w:szCs w:val="28"/>
        </w:rPr>
        <w:t>%；工程建设其他费用</w:t>
      </w:r>
      <w:r>
        <w:rPr>
          <w:rFonts w:ascii="宋体" w:hAnsi="宋体" w:hint="eastAsia"/>
          <w:sz w:val="28"/>
          <w:szCs w:val="28"/>
        </w:rPr>
        <w:t>4065.94</w:t>
      </w:r>
      <w:r>
        <w:rPr>
          <w:rFonts w:ascii="宋体" w:hAnsi="宋体"/>
          <w:sz w:val="28"/>
          <w:szCs w:val="28"/>
        </w:rPr>
        <w:t>万元，占总投资的</w:t>
      </w:r>
      <w:r>
        <w:rPr>
          <w:rFonts w:ascii="宋体" w:hAnsi="宋体" w:hint="eastAsia"/>
          <w:sz w:val="28"/>
          <w:szCs w:val="28"/>
        </w:rPr>
        <w:t>9.71</w:t>
      </w:r>
      <w:r>
        <w:rPr>
          <w:rFonts w:ascii="宋体" w:hAnsi="宋体"/>
          <w:sz w:val="28"/>
          <w:szCs w:val="28"/>
        </w:rPr>
        <w:t>%；</w:t>
      </w:r>
      <w:r>
        <w:rPr>
          <w:rFonts w:ascii="宋体" w:hAnsi="宋体" w:hint="eastAsia"/>
          <w:sz w:val="28"/>
          <w:szCs w:val="28"/>
          <w:lang w:eastAsia="zh-CN"/>
        </w:rPr>
        <w:t>相关项目</w:t>
      </w:r>
      <w:r>
        <w:rPr>
          <w:rFonts w:ascii="宋体" w:hAnsi="宋体" w:hint="eastAsia"/>
          <w:sz w:val="28"/>
          <w:szCs w:val="28"/>
        </w:rPr>
        <w:t>基本预备费用3103.37万元，</w:t>
      </w:r>
      <w:r>
        <w:rPr>
          <w:rFonts w:ascii="宋体" w:hAnsi="宋体"/>
          <w:sz w:val="28"/>
          <w:szCs w:val="28"/>
        </w:rPr>
        <w:t>占总投资的</w:t>
      </w:r>
      <w:r>
        <w:rPr>
          <w:rFonts w:ascii="宋体" w:hAnsi="宋体" w:hint="eastAsia"/>
          <w:sz w:val="28"/>
          <w:szCs w:val="28"/>
        </w:rPr>
        <w:t>7.41</w:t>
      </w:r>
      <w:r>
        <w:rPr>
          <w:rFonts w:ascii="宋体" w:hAnsi="宋体"/>
          <w:sz w:val="28"/>
          <w:szCs w:val="28"/>
        </w:rPr>
        <w:t>%；建流动资金</w:t>
      </w:r>
      <w:r>
        <w:rPr>
          <w:rFonts w:ascii="宋体" w:hAnsi="宋体" w:hint="eastAsia"/>
          <w:sz w:val="28"/>
          <w:szCs w:val="28"/>
        </w:rPr>
        <w:t>937.19</w:t>
      </w:r>
      <w:r>
        <w:rPr>
          <w:rFonts w:ascii="宋体" w:hAnsi="宋体"/>
          <w:sz w:val="28"/>
          <w:szCs w:val="28"/>
        </w:rPr>
        <w:t>万元，占总投资的</w:t>
      </w:r>
      <w:r>
        <w:rPr>
          <w:rFonts w:ascii="宋体" w:hAnsi="宋体" w:hint="eastAsia"/>
          <w:sz w:val="28"/>
          <w:szCs w:val="28"/>
        </w:rPr>
        <w:t>2.24</w:t>
      </w:r>
      <w:r>
        <w:rPr>
          <w:rFonts w:ascii="宋体" w:hAnsi="宋体"/>
          <w:sz w:val="28"/>
          <w:szCs w:val="28"/>
        </w:rPr>
        <w:t>%。</w:t>
      </w:r>
    </w:p>
    <w:p>
      <w:pPr>
        <w:pStyle w:val="Normal0"/>
        <w:spacing w:line="560" w:lineRule="exact"/>
        <w:ind w:firstLine="560" w:firstLineChars="200"/>
        <w:rPr>
          <w:sz w:val="28"/>
          <w:szCs w:val="28"/>
        </w:rPr>
      </w:pPr>
      <w:r>
        <w:rPr>
          <w:rFonts w:hint="eastAsia"/>
          <w:sz w:val="28"/>
          <w:szCs w:val="28"/>
        </w:rPr>
        <w:t>2、</w:t>
      </w:r>
      <w:r>
        <w:rPr>
          <w:sz w:val="28"/>
          <w:szCs w:val="28"/>
        </w:rPr>
        <w:t>资金筹措</w:t>
      </w:r>
    </w:p>
    <w:p>
      <w:pPr>
        <w:pStyle w:val="Normal0"/>
        <w:spacing w:line="560" w:lineRule="exact"/>
        <w:ind w:firstLine="560" w:firstLineChars="200"/>
        <w:rPr>
          <w:rFonts w:ascii="宋体" w:hAnsi="宋体" w:hint="eastAsia"/>
          <w:sz w:val="28"/>
          <w:szCs w:val="28"/>
        </w:rPr>
      </w:pPr>
      <w:r>
        <w:rPr>
          <w:rFonts w:ascii="宋体" w:hAnsi="宋体" w:hint="eastAsia"/>
          <w:sz w:val="28"/>
          <w:szCs w:val="28"/>
          <w:lang w:eastAsia="zh-CN"/>
        </w:rPr>
        <w:t>相关项目</w:t>
      </w:r>
      <w:r>
        <w:rPr>
          <w:rFonts w:ascii="宋体" w:hAnsi="宋体"/>
          <w:sz w:val="28"/>
          <w:szCs w:val="28"/>
        </w:rPr>
        <w:t>总投资估算为</w:t>
      </w:r>
      <w:r>
        <w:rPr>
          <w:rFonts w:ascii="宋体" w:hAnsi="宋体" w:hint="eastAsia"/>
          <w:sz w:val="28"/>
          <w:szCs w:val="28"/>
        </w:rPr>
        <w:t>41886.49</w:t>
      </w:r>
      <w:r>
        <w:rPr>
          <w:rFonts w:ascii="宋体" w:hAnsi="宋体"/>
          <w:sz w:val="28"/>
          <w:szCs w:val="28"/>
        </w:rPr>
        <w:t>万元</w:t>
      </w:r>
      <w:r>
        <w:rPr>
          <w:rFonts w:ascii="宋体" w:hAnsi="宋体" w:hint="eastAsia"/>
          <w:sz w:val="28"/>
          <w:szCs w:val="28"/>
        </w:rPr>
        <w:t>，由企业自筹。</w:t>
      </w:r>
    </w:p>
    <w:p>
      <w:pPr>
        <w:pStyle w:val="Normal0"/>
        <w:spacing w:before="205" w:beforeLines="50" w:after="205" w:afterLines="50" w:line="360" w:lineRule="auto"/>
        <w:rPr>
          <w:b/>
          <w:sz w:val="28"/>
          <w:szCs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797" w:bottom="1440" w:left="1797" w:header="851" w:footer="992" w:gutter="0"/>
          <w:pgNumType w:start="4"/>
          <w:cols w:num="1" w:space="425"/>
          <w:titlePg w:val="0"/>
          <w:docGrid w:type="lines" w:linePitch="410" w:charSpace="0"/>
        </w:sectPr>
      </w:pPr>
      <w:r>
        <w:rPr>
          <w:b/>
          <w:sz w:val="28"/>
          <w:szCs w:val="28"/>
        </w:rPr>
        <w:t xml:space="preserve">1.3.5 </w:t>
      </w:r>
      <w:r>
        <w:rPr>
          <w:rFonts w:hint="eastAsia"/>
          <w:b/>
          <w:sz w:val="28"/>
          <w:szCs w:val="28"/>
          <w:lang w:eastAsia="zh-CN"/>
        </w:rPr>
        <w:t>相关项目</w:t>
      </w:r>
      <w:r>
        <w:rPr>
          <w:b/>
          <w:sz w:val="28"/>
          <w:szCs w:val="28"/>
        </w:rPr>
        <w:t>实施进度安排</w:t>
      </w:r>
    </w:p>
    <w:p>
      <w:pPr>
        <w:pStyle w:val="Normal0"/>
        <w:spacing w:after="205" w:afterLines="50" w:line="360" w:lineRule="auto"/>
        <w:ind w:firstLine="560" w:firstLineChars="200"/>
        <w:rPr>
          <w:rFonts w:hint="eastAsia"/>
          <w:sz w:val="28"/>
          <w:szCs w:val="28"/>
        </w:rPr>
      </w:pPr>
      <w:r>
        <w:rPr>
          <w:rFonts w:hint="eastAsia"/>
          <w:sz w:val="28"/>
          <w:szCs w:val="28"/>
          <w:lang w:eastAsia="zh-CN"/>
        </w:rPr>
        <w:t>相关项目</w:t>
      </w:r>
      <w:r>
        <w:rPr>
          <w:sz w:val="28"/>
          <w:szCs w:val="28"/>
        </w:rPr>
        <w:t>的实施进度</w:t>
      </w:r>
      <w:r>
        <w:rPr>
          <w:rFonts w:hint="eastAsia"/>
          <w:sz w:val="28"/>
          <w:szCs w:val="28"/>
          <w:lang w:eastAsia="zh-CN"/>
        </w:rPr>
        <w:t>相关计划</w:t>
      </w:r>
      <w:r>
        <w:rPr>
          <w:sz w:val="28"/>
          <w:szCs w:val="28"/>
        </w:rPr>
        <w:t>如下：</w:t>
      </w:r>
    </w:p>
    <w:p>
      <w:pPr>
        <w:pStyle w:val="Normal0"/>
        <w:spacing w:after="205" w:afterLines="50" w:line="360" w:lineRule="auto"/>
        <w:ind w:firstLine="560" w:firstLineChars="200"/>
        <w:rPr>
          <w:rFonts w:hint="eastAsia"/>
          <w:sz w:val="28"/>
          <w:szCs w:val="28"/>
        </w:rPr>
      </w:pPr>
      <w:r>
        <w:rPr>
          <w:rFonts w:hint="eastAsia"/>
          <w:sz w:val="28"/>
          <w:szCs w:val="28"/>
        </w:rPr>
        <w:t>（1）2013年4月完成可行性研究报告的编制论证和评审。</w:t>
      </w:r>
    </w:p>
    <w:p>
      <w:pPr>
        <w:pStyle w:val="Normal0"/>
        <w:spacing w:after="205" w:afterLines="50" w:line="360" w:lineRule="auto"/>
        <w:ind w:firstLine="560" w:firstLineChars="200"/>
        <w:rPr>
          <w:rFonts w:hint="eastAsia"/>
          <w:sz w:val="28"/>
          <w:szCs w:val="28"/>
        </w:rPr>
      </w:pPr>
      <w:r>
        <w:rPr>
          <w:rFonts w:hint="eastAsia"/>
          <w:sz w:val="28"/>
          <w:szCs w:val="28"/>
        </w:rPr>
        <w:t>（2）2013年5月底以前完成设计、施工</w:t>
      </w:r>
      <w:r>
        <w:rPr>
          <w:rFonts w:hint="eastAsia"/>
          <w:sz w:val="28"/>
          <w:szCs w:val="28"/>
          <w:lang w:eastAsia="zh-CN"/>
        </w:rPr>
        <w:t>相关计划</w:t>
      </w:r>
      <w:r>
        <w:rPr>
          <w:rFonts w:hint="eastAsia"/>
          <w:sz w:val="28"/>
          <w:szCs w:val="28"/>
        </w:rPr>
        <w:t>及审批工作。</w:t>
      </w:r>
    </w:p>
    <w:p>
      <w:pPr>
        <w:pStyle w:val="Normal0"/>
        <w:spacing w:after="205" w:afterLines="50" w:line="360" w:lineRule="auto"/>
        <w:ind w:firstLine="560" w:firstLineChars="200"/>
        <w:rPr>
          <w:rFonts w:hint="eastAsia"/>
          <w:sz w:val="28"/>
          <w:szCs w:val="28"/>
        </w:rPr>
      </w:pPr>
      <w:r>
        <w:rPr>
          <w:rFonts w:hint="eastAsia"/>
          <w:sz w:val="28"/>
          <w:szCs w:val="28"/>
        </w:rPr>
        <w:t>（3）2013年6月开始土建工程基础施工。</w:t>
      </w:r>
    </w:p>
    <w:p>
      <w:pPr>
        <w:pStyle w:val="Normal0"/>
        <w:spacing w:after="205" w:afterLines="50" w:line="360" w:lineRule="auto"/>
        <w:ind w:firstLine="560" w:firstLineChars="200"/>
        <w:rPr>
          <w:rFonts w:hint="eastAsia"/>
          <w:sz w:val="28"/>
          <w:szCs w:val="28"/>
        </w:rPr>
      </w:pPr>
      <w:r>
        <w:rPr>
          <w:rFonts w:hint="eastAsia"/>
          <w:sz w:val="28"/>
          <w:szCs w:val="28"/>
        </w:rPr>
        <w:t>（4）2014年7月开始建材市场装饰工程。</w:t>
      </w:r>
    </w:p>
    <w:p>
      <w:pPr>
        <w:pStyle w:val="Normal0"/>
        <w:spacing w:after="205" w:afterLines="50" w:line="360" w:lineRule="auto"/>
        <w:ind w:firstLine="560" w:firstLineChars="200"/>
        <w:rPr>
          <w:rFonts w:hint="eastAsia"/>
          <w:sz w:val="28"/>
          <w:szCs w:val="28"/>
        </w:rPr>
      </w:pPr>
      <w:r>
        <w:rPr>
          <w:rFonts w:hint="eastAsia"/>
          <w:sz w:val="28"/>
          <w:szCs w:val="28"/>
        </w:rPr>
        <w:t>（5）2014年8月开始对购入设备进行安装。</w:t>
      </w:r>
    </w:p>
    <w:p>
      <w:pPr>
        <w:pStyle w:val="Normal0"/>
        <w:spacing w:after="205" w:afterLines="50" w:line="360" w:lineRule="auto"/>
        <w:ind w:firstLine="560" w:firstLineChars="200"/>
        <w:rPr>
          <w:rFonts w:hint="eastAsia"/>
          <w:sz w:val="28"/>
          <w:szCs w:val="28"/>
        </w:rPr>
      </w:pPr>
      <w:r>
        <w:rPr>
          <w:rFonts w:hint="eastAsia"/>
          <w:sz w:val="28"/>
          <w:szCs w:val="28"/>
        </w:rPr>
        <w:t>（6）2014年8月进行室外工程。</w:t>
      </w:r>
    </w:p>
    <w:p>
      <w:pPr>
        <w:pStyle w:val="Normal0"/>
        <w:spacing w:after="205" w:afterLines="50" w:line="360" w:lineRule="auto"/>
        <w:ind w:firstLine="560" w:firstLineChars="200"/>
        <w:rPr>
          <w:rFonts w:hint="eastAsia"/>
          <w:sz w:val="28"/>
          <w:szCs w:val="28"/>
        </w:rPr>
      </w:pPr>
      <w:r>
        <w:rPr>
          <w:rFonts w:hint="eastAsia"/>
          <w:sz w:val="28"/>
          <w:szCs w:val="28"/>
        </w:rPr>
        <w:t>（7）2014年10月竣工正式投入运营。</w:t>
      </w:r>
    </w:p>
    <w:p>
      <w:pPr>
        <w:pStyle w:val="Heading2"/>
        <w:spacing w:before="205" w:beforeLines="50" w:after="205" w:afterLines="50" w:line="360" w:lineRule="auto"/>
        <w:rPr>
          <w:rFonts w:ascii="Times New Roman" w:hAnsi="Times New Roman"/>
          <w:b w:val="0"/>
        </w:rPr>
      </w:pPr>
      <w:bookmarkStart w:id="6" w:name="_Toc353747181"/>
      <w:bookmarkStart w:id="7" w:name="_Toc231630220"/>
      <w:r>
        <w:rPr>
          <w:rFonts w:ascii="Times New Roman" w:hAnsi="Times New Roman"/>
          <w:b w:val="0"/>
        </w:rPr>
        <w:t>1.4 结论与建议</w:t>
      </w:r>
      <w:bookmarkEnd w:id="6"/>
      <w:bookmarkEnd w:id="7"/>
    </w:p>
    <w:p>
      <w:pPr>
        <w:pStyle w:val="Normal0"/>
        <w:spacing w:before="205" w:beforeLines="50" w:after="205" w:afterLines="50" w:line="360" w:lineRule="auto"/>
        <w:rPr>
          <w:b/>
          <w:sz w:val="28"/>
          <w:szCs w:val="28"/>
        </w:rPr>
      </w:pPr>
      <w:r>
        <w:rPr>
          <w:b/>
          <w:sz w:val="28"/>
          <w:szCs w:val="28"/>
        </w:rPr>
        <w:t>1.4.1 结论</w:t>
      </w:r>
    </w:p>
    <w:p>
      <w:pPr>
        <w:pStyle w:val="Normal0"/>
        <w:spacing w:line="360" w:lineRule="auto"/>
        <w:ind w:firstLine="560" w:firstLineChars="200"/>
        <w:rPr>
          <w:rFonts w:hint="eastAsia"/>
          <w:sz w:val="28"/>
          <w:szCs w:val="28"/>
        </w:rPr>
      </w:pPr>
      <w:r>
        <w:rPr>
          <w:sz w:val="28"/>
          <w:szCs w:val="28"/>
        </w:rPr>
        <w:t>（1）</w:t>
      </w:r>
      <w:r>
        <w:rPr>
          <w:rFonts w:hint="eastAsia"/>
          <w:sz w:val="28"/>
          <w:szCs w:val="28"/>
          <w:lang w:eastAsia="zh-CN"/>
        </w:rPr>
        <w:t>相关项目</w:t>
      </w:r>
      <w:r>
        <w:rPr>
          <w:sz w:val="28"/>
          <w:szCs w:val="28"/>
        </w:rPr>
        <w:t>符合国家《广德县经济社会发展规划》要求，符合国家相关产业发展规划和产业政策要求</w:t>
      </w:r>
      <w:r>
        <w:rPr>
          <w:rFonts w:hint="eastAsia"/>
          <w:sz w:val="28"/>
          <w:szCs w:val="28"/>
        </w:rPr>
        <w:t>；</w:t>
      </w:r>
    </w:p>
    <w:p>
      <w:pPr>
        <w:pStyle w:val="Normal0"/>
        <w:spacing w:line="360" w:lineRule="auto"/>
        <w:ind w:firstLine="560" w:firstLineChars="200"/>
        <w:rPr>
          <w:rFonts w:hint="eastAsia"/>
          <w:sz w:val="28"/>
          <w:szCs w:val="28"/>
        </w:rPr>
      </w:pPr>
      <w:r>
        <w:rPr>
          <w:sz w:val="28"/>
          <w:szCs w:val="28"/>
        </w:rPr>
        <w:t>（2）</w:t>
      </w:r>
      <w:r>
        <w:rPr>
          <w:rFonts w:hint="eastAsia"/>
          <w:sz w:val="28"/>
          <w:szCs w:val="28"/>
          <w:lang w:eastAsia="zh-CN"/>
        </w:rPr>
        <w:t>相关项目</w:t>
      </w:r>
      <w:r>
        <w:rPr>
          <w:sz w:val="28"/>
          <w:szCs w:val="28"/>
        </w:rPr>
        <w:t>以科学技术为支撑，充分利用</w:t>
      </w:r>
      <w:r>
        <w:rPr>
          <w:rFonts w:hint="eastAsia"/>
          <w:sz w:val="28"/>
          <w:szCs w:val="28"/>
        </w:rPr>
        <w:t>广德县建机、建材市场及周边产业的</w:t>
      </w:r>
      <w:r>
        <w:rPr>
          <w:sz w:val="28"/>
          <w:szCs w:val="28"/>
        </w:rPr>
        <w:t>优势资源，对增强</w:t>
      </w:r>
      <w:r>
        <w:rPr>
          <w:rFonts w:hint="eastAsia"/>
          <w:sz w:val="28"/>
          <w:szCs w:val="28"/>
        </w:rPr>
        <w:t>广德县区域范围影响</w:t>
      </w:r>
      <w:r>
        <w:rPr>
          <w:sz w:val="28"/>
          <w:szCs w:val="28"/>
        </w:rPr>
        <w:t>、促进广德县经济可持续发展是十分必要的</w:t>
      </w:r>
      <w:r>
        <w:rPr>
          <w:rFonts w:hint="eastAsia"/>
          <w:sz w:val="28"/>
          <w:szCs w:val="28"/>
        </w:rPr>
        <w:t>；</w:t>
      </w:r>
    </w:p>
    <w:p>
      <w:pPr>
        <w:pStyle w:val="Normal0"/>
        <w:spacing w:line="360" w:lineRule="auto"/>
        <w:ind w:firstLine="560" w:firstLineChars="200"/>
        <w:rPr>
          <w:sz w:val="28"/>
          <w:szCs w:val="28"/>
        </w:rPr>
      </w:pPr>
      <w:r>
        <w:rPr>
          <w:sz w:val="28"/>
          <w:szCs w:val="28"/>
        </w:rPr>
        <w:t>（</w:t>
      </w:r>
      <w:r>
        <w:rPr>
          <w:rFonts w:hint="eastAsia"/>
          <w:sz w:val="28"/>
          <w:szCs w:val="28"/>
        </w:rPr>
        <w:t>3</w:t>
      </w:r>
      <w:r>
        <w:rPr>
          <w:sz w:val="28"/>
          <w:szCs w:val="28"/>
        </w:rPr>
        <w:t>）</w:t>
      </w:r>
      <w:r>
        <w:rPr>
          <w:rFonts w:hint="eastAsia"/>
          <w:sz w:val="28"/>
          <w:szCs w:val="28"/>
        </w:rPr>
        <w:t>建设以建机、建材市场，以配套服务资源为基础，采用合理的市场营销，优化市场运营</w:t>
      </w:r>
      <w:r>
        <w:rPr>
          <w:rFonts w:hint="eastAsia"/>
          <w:sz w:val="28"/>
          <w:szCs w:val="28"/>
          <w:lang w:eastAsia="zh-CN"/>
        </w:rPr>
        <w:t>合适的方案</w:t>
      </w:r>
      <w:r>
        <w:rPr>
          <w:rFonts w:hint="eastAsia"/>
          <w:sz w:val="28"/>
          <w:szCs w:val="28"/>
        </w:rPr>
        <w:t>，最大程度地提高市场需求。</w:t>
      </w:r>
    </w:p>
    <w:p>
      <w:pPr>
        <w:pStyle w:val="Normal0"/>
        <w:spacing w:line="360" w:lineRule="auto"/>
        <w:ind w:firstLine="560" w:firstLineChars="200"/>
        <w:rPr>
          <w:sz w:val="28"/>
          <w:szCs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797" w:bottom="1440" w:left="1797" w:header="851" w:footer="992" w:gutter="0"/>
          <w:pgNumType w:start="5"/>
          <w:cols w:num="1" w:space="425"/>
          <w:titlePg w:val="0"/>
          <w:docGrid w:type="lines" w:linePitch="410" w:charSpace="0"/>
        </w:sectPr>
      </w:pPr>
      <w:r>
        <w:rPr>
          <w:sz w:val="28"/>
          <w:szCs w:val="28"/>
        </w:rPr>
        <w:t>（</w:t>
      </w:r>
      <w:r>
        <w:rPr>
          <w:rFonts w:hint="eastAsia"/>
          <w:sz w:val="28"/>
          <w:szCs w:val="28"/>
        </w:rPr>
        <w:t>4</w:t>
      </w:r>
      <w:r>
        <w:rPr>
          <w:sz w:val="28"/>
          <w:szCs w:val="28"/>
        </w:rPr>
        <w:t>）</w:t>
      </w:r>
      <w:r>
        <w:rPr>
          <w:rFonts w:hint="eastAsia"/>
          <w:sz w:val="28"/>
          <w:szCs w:val="28"/>
          <w:lang w:eastAsia="zh-CN"/>
        </w:rPr>
        <w:t>相关项目</w:t>
      </w:r>
      <w:r>
        <w:rPr>
          <w:sz w:val="28"/>
          <w:szCs w:val="28"/>
        </w:rPr>
        <w:t>建成后，可实现年</w:t>
      </w:r>
      <w:r>
        <w:rPr>
          <w:rFonts w:hint="eastAsia"/>
          <w:sz w:val="28"/>
          <w:szCs w:val="28"/>
        </w:rPr>
        <w:t>均租赁</w:t>
      </w:r>
      <w:r>
        <w:rPr>
          <w:sz w:val="28"/>
          <w:szCs w:val="28"/>
        </w:rPr>
        <w:t>收入</w:t>
      </w:r>
      <w:r>
        <w:rPr>
          <w:rFonts w:hint="eastAsia"/>
          <w:sz w:val="28"/>
          <w:szCs w:val="28"/>
        </w:rPr>
        <w:t>36750万</w:t>
      </w:r>
      <w:r>
        <w:rPr>
          <w:sz w:val="28"/>
          <w:szCs w:val="28"/>
        </w:rPr>
        <w:t>元，</w:t>
      </w:r>
      <w:r>
        <w:rPr>
          <w:rFonts w:hint="eastAsia"/>
          <w:sz w:val="28"/>
          <w:szCs w:val="28"/>
        </w:rPr>
        <w:t>正常运营年均利润总额29177.97</w:t>
      </w:r>
      <w:r>
        <w:rPr>
          <w:sz w:val="28"/>
          <w:szCs w:val="28"/>
        </w:rPr>
        <w:t>万元，</w:t>
      </w:r>
    </w:p>
    <w:p>
      <w:pPr>
        <w:pStyle w:val="Normal0"/>
        <w:spacing w:line="360" w:lineRule="auto"/>
        <w:ind w:firstLine="560" w:firstLineChars="200"/>
        <w:rPr>
          <w:sz w:val="28"/>
          <w:szCs w:val="28"/>
        </w:rPr>
      </w:pPr>
      <w:r>
        <w:rPr>
          <w:rFonts w:hint="eastAsia"/>
          <w:sz w:val="28"/>
          <w:szCs w:val="28"/>
        </w:rPr>
        <w:t>年均营业税金2021.25万元，年均所得税7294.49万元。</w:t>
      </w:r>
      <w:r>
        <w:rPr>
          <w:sz w:val="28"/>
          <w:szCs w:val="28"/>
        </w:rPr>
        <w:t>对</w:t>
      </w:r>
      <w:r>
        <w:rPr>
          <w:rFonts w:hint="eastAsia"/>
          <w:sz w:val="28"/>
          <w:szCs w:val="28"/>
        </w:rPr>
        <w:t>劳动人员</w:t>
      </w:r>
      <w:r>
        <w:rPr>
          <w:sz w:val="28"/>
          <w:szCs w:val="28"/>
        </w:rPr>
        <w:t>人均纯收入增长的贡献率提高明显，加工企业和核心基地直接安排本地人员就业</w:t>
      </w:r>
      <w:r>
        <w:rPr>
          <w:rFonts w:hint="eastAsia"/>
          <w:sz w:val="28"/>
          <w:szCs w:val="28"/>
        </w:rPr>
        <w:t>100</w:t>
      </w:r>
      <w:r>
        <w:rPr>
          <w:sz w:val="28"/>
          <w:szCs w:val="28"/>
        </w:rPr>
        <w:t>人，</w:t>
      </w:r>
      <w:r>
        <w:rPr>
          <w:rFonts w:hint="eastAsia"/>
          <w:sz w:val="28"/>
          <w:szCs w:val="28"/>
        </w:rPr>
        <w:t>福利工资共计360.0万元</w:t>
      </w:r>
      <w:r>
        <w:rPr>
          <w:sz w:val="28"/>
          <w:szCs w:val="28"/>
        </w:rPr>
        <w:t>。</w:t>
      </w:r>
    </w:p>
    <w:p>
      <w:pPr>
        <w:pStyle w:val="Normal0"/>
        <w:spacing w:line="360" w:lineRule="auto"/>
        <w:ind w:firstLine="560" w:firstLineChars="200"/>
        <w:rPr>
          <w:sz w:val="28"/>
          <w:szCs w:val="28"/>
        </w:rPr>
      </w:pPr>
      <w:r>
        <w:rPr>
          <w:sz w:val="28"/>
          <w:szCs w:val="28"/>
        </w:rPr>
        <w:t>（</w:t>
      </w:r>
      <w:r>
        <w:rPr>
          <w:rFonts w:hint="eastAsia"/>
          <w:sz w:val="28"/>
          <w:szCs w:val="28"/>
        </w:rPr>
        <w:t>5</w:t>
      </w:r>
      <w:r>
        <w:rPr>
          <w:sz w:val="28"/>
          <w:szCs w:val="28"/>
        </w:rPr>
        <w:t>）</w:t>
      </w:r>
      <w:r>
        <w:rPr>
          <w:rFonts w:hint="eastAsia"/>
          <w:sz w:val="28"/>
          <w:szCs w:val="28"/>
          <w:lang w:eastAsia="zh-CN"/>
        </w:rPr>
        <w:t>相关项目</w:t>
      </w:r>
      <w:r>
        <w:rPr>
          <w:sz w:val="28"/>
          <w:szCs w:val="28"/>
        </w:rPr>
        <w:t>财务效益好，投资回收期短。</w:t>
      </w:r>
    </w:p>
    <w:p>
      <w:pPr>
        <w:pStyle w:val="Normal0"/>
        <w:spacing w:line="360" w:lineRule="auto"/>
        <w:ind w:firstLine="560" w:firstLineChars="200"/>
        <w:rPr>
          <w:sz w:val="28"/>
          <w:szCs w:val="28"/>
        </w:rPr>
      </w:pPr>
      <w:r>
        <w:rPr>
          <w:sz w:val="28"/>
          <w:szCs w:val="28"/>
        </w:rPr>
        <w:t>（</w:t>
      </w:r>
      <w:r>
        <w:rPr>
          <w:rFonts w:hint="eastAsia"/>
          <w:sz w:val="28"/>
          <w:szCs w:val="28"/>
        </w:rPr>
        <w:t>6</w:t>
      </w:r>
      <w:r>
        <w:rPr>
          <w:sz w:val="28"/>
          <w:szCs w:val="28"/>
        </w:rPr>
        <w:t>）主要技术经济指标</w:t>
      </w:r>
    </w:p>
    <w:p>
      <w:pPr>
        <w:pStyle w:val="Normal0"/>
        <w:spacing w:line="360" w:lineRule="auto"/>
        <w:ind w:firstLine="560" w:firstLineChars="200"/>
        <w:rPr>
          <w:sz w:val="28"/>
          <w:szCs w:val="28"/>
        </w:rPr>
      </w:pPr>
      <w:r>
        <w:rPr>
          <w:sz w:val="28"/>
          <w:szCs w:val="28"/>
        </w:rPr>
        <w:t>本</w:t>
      </w:r>
      <w:r>
        <w:rPr>
          <w:rFonts w:hint="eastAsia"/>
          <w:sz w:val="28"/>
          <w:szCs w:val="28"/>
          <w:lang w:eastAsia="zh-CN"/>
        </w:rPr>
        <w:t>相关项目</w:t>
      </w:r>
      <w:r>
        <w:rPr>
          <w:sz w:val="28"/>
          <w:szCs w:val="28"/>
        </w:rPr>
        <w:t>的主要技术经济指标如表1-</w:t>
      </w:r>
      <w:r>
        <w:rPr>
          <w:rFonts w:hint="eastAsia"/>
          <w:sz w:val="28"/>
          <w:szCs w:val="28"/>
        </w:rPr>
        <w:t>2</w:t>
      </w:r>
      <w:r>
        <w:rPr>
          <w:sz w:val="28"/>
          <w:szCs w:val="28"/>
        </w:rPr>
        <w:t>所示。</w:t>
      </w:r>
    </w:p>
    <w:p>
      <w:pPr>
        <w:pStyle w:val="Normal0"/>
        <w:jc w:val="center"/>
        <w:rPr>
          <w:b/>
          <w:sz w:val="24"/>
        </w:rPr>
      </w:pPr>
      <w:r>
        <w:rPr>
          <w:b/>
          <w:sz w:val="24"/>
        </w:rPr>
        <w:t>表1-</w:t>
      </w:r>
      <w:r>
        <w:rPr>
          <w:rFonts w:hint="eastAsia"/>
          <w:b/>
          <w:sz w:val="24"/>
        </w:rPr>
        <w:t>2</w:t>
      </w:r>
      <w:r>
        <w:rPr>
          <w:b/>
          <w:sz w:val="24"/>
        </w:rPr>
        <w:t xml:space="preserve"> 主要技术经济指标汇总表</w:t>
      </w:r>
    </w:p>
    <w:tbl>
      <w:tblPr>
        <w:tblStyle w:val="TableNormal"/>
        <w:tblW w:w="5187" w:type="pct"/>
        <w:tblInd w:w="0" w:type="dxa"/>
        <w:tblLayout w:type="fixed"/>
        <w:tblCellMar>
          <w:top w:w="74" w:type="dxa"/>
          <w:left w:w="57" w:type="dxa"/>
          <w:bottom w:w="74" w:type="dxa"/>
          <w:right w:w="0" w:type="dxa"/>
        </w:tblCellMar>
      </w:tblPr>
      <w:tblGrid>
        <w:gridCol w:w="661"/>
        <w:gridCol w:w="3174"/>
        <w:gridCol w:w="900"/>
        <w:gridCol w:w="1099"/>
        <w:gridCol w:w="2858"/>
      </w:tblGrid>
      <w:tr>
        <w:tblPrEx>
          <w:tblW w:w="5187" w:type="pct"/>
          <w:tblInd w:w="0" w:type="dxa"/>
          <w:tblLayout w:type="fixed"/>
          <w:tblCellMar>
            <w:top w:w="74" w:type="dxa"/>
            <w:left w:w="57" w:type="dxa"/>
            <w:bottom w:w="74" w:type="dxa"/>
            <w:right w:w="0" w:type="dxa"/>
          </w:tblCellMar>
        </w:tblPrEx>
        <w:trPr>
          <w:trHeight w:val="312"/>
        </w:trPr>
        <w:tc>
          <w:tcPr>
            <w:tcW w:w="380" w:type="pct"/>
            <w:tcBorders>
              <w:top w:val="single" w:sz="8" w:space="0" w:color="000000"/>
              <w:left w:val="single" w:sz="8" w:space="0" w:color="000000"/>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b/>
                <w:sz w:val="24"/>
              </w:rPr>
            </w:pPr>
            <w:r>
              <w:rPr>
                <w:rFonts w:ascii="楷体_GB2312" w:eastAsia="楷体_GB2312" w:hint="eastAsia"/>
                <w:b/>
                <w:sz w:val="24"/>
              </w:rPr>
              <w:t>序 号</w:t>
            </w:r>
          </w:p>
        </w:tc>
        <w:tc>
          <w:tcPr>
            <w:tcW w:w="1826" w:type="pct"/>
            <w:tcBorders>
              <w:top w:val="single" w:sz="8" w:space="0" w:color="000000"/>
              <w:left w:val="nil"/>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b/>
                <w:sz w:val="24"/>
              </w:rPr>
            </w:pPr>
            <w:r>
              <w:rPr>
                <w:rFonts w:ascii="楷体_GB2312" w:eastAsia="楷体_GB2312" w:hint="eastAsia"/>
                <w:b/>
                <w:sz w:val="24"/>
              </w:rPr>
              <w:t xml:space="preserve"> 项　 　　目</w:t>
            </w:r>
          </w:p>
        </w:tc>
        <w:tc>
          <w:tcPr>
            <w:tcW w:w="518" w:type="pct"/>
            <w:tcBorders>
              <w:top w:val="single" w:sz="8" w:space="0" w:color="000000"/>
              <w:left w:val="nil"/>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b/>
                <w:sz w:val="24"/>
              </w:rPr>
            </w:pPr>
            <w:r>
              <w:rPr>
                <w:rFonts w:ascii="楷体_GB2312" w:eastAsia="楷体_GB2312" w:hint="eastAsia"/>
                <w:b/>
                <w:sz w:val="24"/>
              </w:rPr>
              <w:t xml:space="preserve">单 位 </w:t>
            </w:r>
          </w:p>
        </w:tc>
        <w:tc>
          <w:tcPr>
            <w:tcW w:w="632" w:type="pct"/>
            <w:tcBorders>
              <w:top w:val="single" w:sz="8" w:space="0" w:color="000000"/>
              <w:left w:val="nil"/>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b/>
                <w:sz w:val="24"/>
              </w:rPr>
            </w:pPr>
            <w:r>
              <w:rPr>
                <w:rFonts w:ascii="楷体_GB2312" w:eastAsia="楷体_GB2312" w:hint="eastAsia"/>
                <w:b/>
                <w:sz w:val="24"/>
              </w:rPr>
              <w:t>经济指标</w:t>
            </w:r>
          </w:p>
        </w:tc>
        <w:tc>
          <w:tcPr>
            <w:tcW w:w="1644" w:type="pct"/>
            <w:tcBorders>
              <w:top w:val="single" w:sz="8" w:space="0" w:color="000000"/>
              <w:left w:val="nil"/>
              <w:bottom w:val="single" w:sz="4" w:space="0" w:color="000000"/>
              <w:right w:val="single" w:sz="8" w:space="0" w:color="000000"/>
            </w:tcBorders>
            <w:shd w:val="clear" w:color="auto" w:fill="auto"/>
            <w:noWrap/>
            <w:vAlign w:val="center"/>
          </w:tcPr>
          <w:p>
            <w:pPr>
              <w:pStyle w:val="Normal0"/>
              <w:jc w:val="center"/>
              <w:rPr>
                <w:rFonts w:ascii="楷体_GB2312" w:eastAsia="楷体_GB2312" w:hint="eastAsia"/>
                <w:b/>
                <w:sz w:val="24"/>
              </w:rPr>
            </w:pPr>
            <w:r>
              <w:rPr>
                <w:rFonts w:ascii="楷体_GB2312" w:eastAsia="楷体_GB2312" w:hint="eastAsia"/>
                <w:b/>
                <w:sz w:val="24"/>
              </w:rPr>
              <w:t>备  注</w:t>
            </w: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bottom"/>
          </w:tcPr>
          <w:p>
            <w:pPr>
              <w:pStyle w:val="Normal0"/>
              <w:jc w:val="center"/>
              <w:rPr>
                <w:rFonts w:ascii="楷体_GB2312" w:eastAsia="楷体_GB2312" w:hint="eastAsia"/>
                <w:sz w:val="24"/>
              </w:rPr>
            </w:pPr>
            <w:r>
              <w:rPr>
                <w:rFonts w:ascii="楷体_GB2312" w:eastAsia="楷体_GB2312" w:hint="eastAsia"/>
                <w:sz w:val="24"/>
              </w:rPr>
              <w:t>1</w:t>
            </w:r>
          </w:p>
        </w:tc>
        <w:tc>
          <w:tcPr>
            <w:tcW w:w="1826" w:type="pct"/>
            <w:tcBorders>
              <w:top w:val="nil"/>
              <w:left w:val="nil"/>
              <w:bottom w:val="single" w:sz="4" w:space="0" w:color="000000"/>
              <w:right w:val="single" w:sz="4" w:space="0" w:color="000000"/>
            </w:tcBorders>
            <w:shd w:val="clear" w:color="auto" w:fill="auto"/>
            <w:noWrap/>
            <w:vAlign w:val="bottom"/>
          </w:tcPr>
          <w:p>
            <w:pPr>
              <w:pStyle w:val="Normal0"/>
              <w:rPr>
                <w:rFonts w:ascii="楷体_GB2312" w:eastAsia="楷体_GB2312" w:hint="eastAsia"/>
                <w:sz w:val="24"/>
              </w:rPr>
            </w:pPr>
            <w:r>
              <w:rPr>
                <w:rFonts w:ascii="楷体_GB2312" w:eastAsia="楷体_GB2312" w:hint="eastAsia"/>
                <w:sz w:val="24"/>
              </w:rPr>
              <w:t>占地面积</w:t>
            </w:r>
          </w:p>
        </w:tc>
        <w:tc>
          <w:tcPr>
            <w:tcW w:w="518"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hint="eastAsia"/>
                <w:sz w:val="24"/>
              </w:rPr>
            </w:pPr>
            <w:r>
              <w:rPr>
                <w:rFonts w:ascii="楷体_GB2312" w:eastAsia="楷体_GB2312" w:hint="eastAsia"/>
                <w:sz w:val="24"/>
              </w:rPr>
              <w:t>亩</w:t>
            </w:r>
          </w:p>
        </w:tc>
        <w:tc>
          <w:tcPr>
            <w:tcW w:w="632" w:type="pct"/>
            <w:tcBorders>
              <w:top w:val="nil"/>
              <w:left w:val="nil"/>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sz w:val="24"/>
              </w:rPr>
            </w:pPr>
            <w:r>
              <w:rPr>
                <w:rFonts w:ascii="楷体_GB2312" w:eastAsia="楷体_GB2312" w:hint="eastAsia"/>
                <w:sz w:val="24"/>
              </w:rPr>
              <w:t>200</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jc w:val="center"/>
              <w:rPr>
                <w:rFonts w:ascii="楷体_GB2312" w:eastAsia="楷体_GB2312" w:hint="eastAsia"/>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sz w:val="24"/>
              </w:rPr>
            </w:pPr>
            <w:r>
              <w:rPr>
                <w:rFonts w:ascii="楷体_GB2312" w:eastAsia="楷体_GB2312" w:hint="eastAsia"/>
                <w:sz w:val="24"/>
              </w:rPr>
              <w:t>2</w:t>
            </w:r>
          </w:p>
        </w:tc>
        <w:tc>
          <w:tcPr>
            <w:tcW w:w="1826" w:type="pct"/>
            <w:tcBorders>
              <w:top w:val="nil"/>
              <w:left w:val="nil"/>
              <w:bottom w:val="single" w:sz="4" w:space="0" w:color="000000"/>
              <w:right w:val="single" w:sz="4" w:space="0" w:color="000000"/>
            </w:tcBorders>
            <w:shd w:val="clear" w:color="auto" w:fill="auto"/>
            <w:noWrap/>
            <w:vAlign w:val="bottom"/>
          </w:tcPr>
          <w:p>
            <w:pPr>
              <w:pStyle w:val="Normal0"/>
              <w:rPr>
                <w:rFonts w:ascii="楷体_GB2312" w:eastAsia="楷体_GB2312" w:hint="eastAsia"/>
                <w:sz w:val="24"/>
              </w:rPr>
            </w:pPr>
            <w:r>
              <w:rPr>
                <w:rFonts w:ascii="楷体_GB2312" w:eastAsia="楷体_GB2312" w:hint="eastAsia"/>
                <w:sz w:val="24"/>
              </w:rPr>
              <w:t>建筑面积</w:t>
            </w:r>
          </w:p>
        </w:tc>
        <w:tc>
          <w:tcPr>
            <w:tcW w:w="518"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hint="eastAsia"/>
                <w:sz w:val="24"/>
              </w:rPr>
            </w:pPr>
            <w:r>
              <w:rPr>
                <w:rFonts w:ascii="楷体_GB2312" w:eastAsia="楷体_GB2312" w:hint="eastAsia"/>
                <w:sz w:val="24"/>
              </w:rPr>
              <w:t>m</w:t>
            </w:r>
            <w:r>
              <w:rPr>
                <w:rFonts w:ascii="楷体_GB2312" w:eastAsia="楷体_GB2312" w:hint="eastAsia"/>
                <w:sz w:val="24"/>
                <w:vertAlign w:val="superscript"/>
              </w:rPr>
              <w:t>2</w:t>
            </w:r>
          </w:p>
        </w:tc>
        <w:tc>
          <w:tcPr>
            <w:tcW w:w="632" w:type="pct"/>
            <w:tcBorders>
              <w:top w:val="nil"/>
              <w:left w:val="nil"/>
              <w:bottom w:val="single" w:sz="4" w:space="0" w:color="000000"/>
              <w:right w:val="single" w:sz="4" w:space="0" w:color="000000"/>
            </w:tcBorders>
            <w:shd w:val="clear" w:color="auto" w:fill="auto"/>
            <w:noWrap/>
            <w:vAlign w:val="center"/>
          </w:tcPr>
          <w:p>
            <w:pPr>
              <w:pStyle w:val="Normal0"/>
              <w:rPr>
                <w:rFonts w:ascii="楷体_GB2312" w:eastAsia="楷体_GB2312" w:hint="eastAsia"/>
                <w:sz w:val="24"/>
              </w:rPr>
            </w:pPr>
            <w:r>
              <w:rPr>
                <w:rFonts w:ascii="楷体_GB2312" w:eastAsia="楷体_GB2312" w:hint="eastAsia"/>
                <w:sz w:val="24"/>
              </w:rPr>
              <w:t>183000</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jc w:val="center"/>
              <w:rPr>
                <w:rFonts w:ascii="楷体_GB2312" w:eastAsia="楷体_GB2312" w:hint="eastAsia"/>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sz w:val="24"/>
              </w:rPr>
            </w:pPr>
            <w:r>
              <w:rPr>
                <w:rFonts w:ascii="楷体_GB2312" w:eastAsia="楷体_GB2312" w:hint="eastAsia"/>
                <w:sz w:val="24"/>
              </w:rPr>
              <w:t>2.1</w:t>
            </w:r>
          </w:p>
        </w:tc>
        <w:tc>
          <w:tcPr>
            <w:tcW w:w="1826" w:type="pct"/>
            <w:tcBorders>
              <w:top w:val="nil"/>
              <w:left w:val="nil"/>
              <w:bottom w:val="single" w:sz="4" w:space="0" w:color="000000"/>
              <w:right w:val="single" w:sz="4" w:space="0" w:color="000000"/>
            </w:tcBorders>
            <w:shd w:val="clear" w:color="auto" w:fill="auto"/>
            <w:noWrap/>
            <w:vAlign w:val="bottom"/>
          </w:tcPr>
          <w:p>
            <w:pPr>
              <w:pStyle w:val="Normal0"/>
              <w:rPr>
                <w:rFonts w:ascii="楷体_GB2312" w:eastAsia="楷体_GB2312"/>
                <w:sz w:val="24"/>
              </w:rPr>
            </w:pPr>
            <w:r>
              <w:rPr>
                <w:rFonts w:ascii="楷体_GB2312" w:eastAsia="楷体_GB2312" w:hint="eastAsia"/>
                <w:sz w:val="24"/>
              </w:rPr>
              <w:t>建机仓库</w:t>
            </w:r>
          </w:p>
        </w:tc>
        <w:tc>
          <w:tcPr>
            <w:tcW w:w="518"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hint="eastAsia"/>
                <w:sz w:val="24"/>
              </w:rPr>
            </w:pPr>
            <w:r>
              <w:rPr>
                <w:rFonts w:ascii="楷体_GB2312" w:eastAsia="楷体_GB2312" w:hint="eastAsia"/>
                <w:sz w:val="24"/>
              </w:rPr>
              <w:t>m</w:t>
            </w:r>
            <w:r>
              <w:rPr>
                <w:rFonts w:ascii="楷体_GB2312" w:eastAsia="楷体_GB2312" w:hint="eastAsia"/>
                <w:sz w:val="24"/>
                <w:vertAlign w:val="superscript"/>
              </w:rPr>
              <w:t>2</w:t>
            </w:r>
          </w:p>
        </w:tc>
        <w:tc>
          <w:tcPr>
            <w:tcW w:w="632"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sz w:val="24"/>
              </w:rPr>
            </w:pPr>
            <w:r>
              <w:rPr>
                <w:rFonts w:ascii="楷体_GB2312" w:eastAsia="楷体_GB2312"/>
                <w:sz w:val="24"/>
              </w:rPr>
              <w:t>50000.00</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jc w:val="center"/>
              <w:rPr>
                <w:rFonts w:ascii="楷体_GB2312" w:eastAsia="楷体_GB2312" w:hint="eastAsia"/>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sz w:val="24"/>
              </w:rPr>
            </w:pPr>
            <w:r>
              <w:rPr>
                <w:rFonts w:ascii="楷体_GB2312" w:eastAsia="楷体_GB2312" w:hint="eastAsia"/>
                <w:sz w:val="24"/>
              </w:rPr>
              <w:t>2.2</w:t>
            </w:r>
          </w:p>
        </w:tc>
        <w:tc>
          <w:tcPr>
            <w:tcW w:w="1826" w:type="pct"/>
            <w:tcBorders>
              <w:top w:val="nil"/>
              <w:left w:val="nil"/>
              <w:bottom w:val="single" w:sz="4" w:space="0" w:color="000000"/>
              <w:right w:val="single" w:sz="4" w:space="0" w:color="000000"/>
            </w:tcBorders>
            <w:shd w:val="clear" w:color="auto" w:fill="auto"/>
            <w:noWrap/>
            <w:vAlign w:val="bottom"/>
          </w:tcPr>
          <w:p>
            <w:pPr>
              <w:pStyle w:val="Normal0"/>
              <w:rPr>
                <w:rFonts w:ascii="楷体_GB2312" w:eastAsia="楷体_GB2312"/>
                <w:sz w:val="24"/>
              </w:rPr>
            </w:pPr>
            <w:r>
              <w:rPr>
                <w:rFonts w:ascii="楷体_GB2312" w:eastAsia="楷体_GB2312" w:hint="eastAsia"/>
                <w:sz w:val="24"/>
              </w:rPr>
              <w:t>建材市场</w:t>
            </w:r>
          </w:p>
        </w:tc>
        <w:tc>
          <w:tcPr>
            <w:tcW w:w="518"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hint="eastAsia"/>
                <w:sz w:val="24"/>
              </w:rPr>
            </w:pPr>
            <w:r>
              <w:rPr>
                <w:rFonts w:ascii="楷体_GB2312" w:eastAsia="楷体_GB2312" w:hint="eastAsia"/>
                <w:sz w:val="24"/>
              </w:rPr>
              <w:t>m</w:t>
            </w:r>
            <w:r>
              <w:rPr>
                <w:rFonts w:ascii="楷体_GB2312" w:eastAsia="楷体_GB2312" w:hint="eastAsia"/>
                <w:sz w:val="24"/>
                <w:vertAlign w:val="superscript"/>
              </w:rPr>
              <w:t>2</w:t>
            </w:r>
          </w:p>
        </w:tc>
        <w:tc>
          <w:tcPr>
            <w:tcW w:w="632"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sz w:val="24"/>
              </w:rPr>
            </w:pPr>
            <w:r>
              <w:rPr>
                <w:rFonts w:ascii="楷体_GB2312" w:eastAsia="楷体_GB2312"/>
                <w:sz w:val="24"/>
              </w:rPr>
              <w:t>90000.00</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jc w:val="center"/>
              <w:rPr>
                <w:rFonts w:ascii="楷体_GB2312" w:eastAsia="楷体_GB2312" w:hint="eastAsia"/>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sz w:val="24"/>
              </w:rPr>
            </w:pPr>
            <w:r>
              <w:rPr>
                <w:rFonts w:ascii="楷体_GB2312" w:eastAsia="楷体_GB2312" w:hint="eastAsia"/>
                <w:sz w:val="24"/>
              </w:rPr>
              <w:t>2.3</w:t>
            </w:r>
          </w:p>
        </w:tc>
        <w:tc>
          <w:tcPr>
            <w:tcW w:w="1826" w:type="pct"/>
            <w:tcBorders>
              <w:top w:val="nil"/>
              <w:left w:val="nil"/>
              <w:bottom w:val="single" w:sz="4" w:space="0" w:color="000000"/>
              <w:right w:val="single" w:sz="4" w:space="0" w:color="000000"/>
            </w:tcBorders>
            <w:shd w:val="clear" w:color="auto" w:fill="auto"/>
            <w:noWrap/>
            <w:vAlign w:val="bottom"/>
          </w:tcPr>
          <w:p>
            <w:pPr>
              <w:pStyle w:val="Normal0"/>
              <w:rPr>
                <w:rFonts w:ascii="楷体_GB2312" w:eastAsia="楷体_GB2312"/>
                <w:sz w:val="24"/>
              </w:rPr>
            </w:pPr>
            <w:r>
              <w:rPr>
                <w:rFonts w:ascii="楷体_GB2312" w:eastAsia="楷体_GB2312" w:hint="eastAsia"/>
                <w:sz w:val="24"/>
              </w:rPr>
              <w:t>物流配套服务用房</w:t>
            </w:r>
          </w:p>
        </w:tc>
        <w:tc>
          <w:tcPr>
            <w:tcW w:w="518"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hint="eastAsia"/>
                <w:sz w:val="24"/>
              </w:rPr>
            </w:pPr>
            <w:r>
              <w:rPr>
                <w:rFonts w:ascii="楷体_GB2312" w:eastAsia="楷体_GB2312" w:hint="eastAsia"/>
                <w:sz w:val="24"/>
              </w:rPr>
              <w:t>m</w:t>
            </w:r>
            <w:r>
              <w:rPr>
                <w:rFonts w:ascii="楷体_GB2312" w:eastAsia="楷体_GB2312" w:hint="eastAsia"/>
                <w:sz w:val="24"/>
                <w:vertAlign w:val="superscript"/>
              </w:rPr>
              <w:t>2</w:t>
            </w:r>
          </w:p>
        </w:tc>
        <w:tc>
          <w:tcPr>
            <w:tcW w:w="632"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sz w:val="24"/>
              </w:rPr>
            </w:pPr>
            <w:r>
              <w:rPr>
                <w:rFonts w:ascii="楷体_GB2312" w:eastAsia="楷体_GB2312"/>
                <w:sz w:val="24"/>
              </w:rPr>
              <w:t>40000.00</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jc w:val="center"/>
              <w:rPr>
                <w:rFonts w:ascii="楷体_GB2312" w:eastAsia="楷体_GB2312" w:hint="eastAsia"/>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sz w:val="24"/>
              </w:rPr>
            </w:pPr>
            <w:r>
              <w:rPr>
                <w:rFonts w:ascii="楷体_GB2312" w:eastAsia="楷体_GB2312" w:hint="eastAsia"/>
                <w:sz w:val="24"/>
              </w:rPr>
              <w:t>2.4</w:t>
            </w:r>
          </w:p>
        </w:tc>
        <w:tc>
          <w:tcPr>
            <w:tcW w:w="1826" w:type="pct"/>
            <w:tcBorders>
              <w:top w:val="nil"/>
              <w:left w:val="nil"/>
              <w:bottom w:val="single" w:sz="4" w:space="0" w:color="000000"/>
              <w:right w:val="single" w:sz="4" w:space="0" w:color="000000"/>
            </w:tcBorders>
            <w:shd w:val="clear" w:color="auto" w:fill="auto"/>
            <w:noWrap/>
            <w:vAlign w:val="bottom"/>
          </w:tcPr>
          <w:p>
            <w:pPr>
              <w:pStyle w:val="Normal0"/>
              <w:rPr>
                <w:rFonts w:ascii="楷体_GB2312" w:eastAsia="楷体_GB2312"/>
                <w:sz w:val="24"/>
              </w:rPr>
            </w:pPr>
            <w:r>
              <w:rPr>
                <w:rFonts w:ascii="楷体_GB2312" w:eastAsia="楷体_GB2312" w:hint="eastAsia"/>
                <w:sz w:val="24"/>
              </w:rPr>
              <w:t>物业办公用房</w:t>
            </w:r>
          </w:p>
        </w:tc>
        <w:tc>
          <w:tcPr>
            <w:tcW w:w="518"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hint="eastAsia"/>
                <w:sz w:val="24"/>
              </w:rPr>
            </w:pPr>
            <w:r>
              <w:rPr>
                <w:rFonts w:ascii="楷体_GB2312" w:eastAsia="楷体_GB2312" w:hint="eastAsia"/>
                <w:sz w:val="24"/>
              </w:rPr>
              <w:t>m</w:t>
            </w:r>
            <w:r>
              <w:rPr>
                <w:rFonts w:ascii="楷体_GB2312" w:eastAsia="楷体_GB2312" w:hint="eastAsia"/>
                <w:sz w:val="24"/>
                <w:vertAlign w:val="superscript"/>
              </w:rPr>
              <w:t>2</w:t>
            </w:r>
          </w:p>
        </w:tc>
        <w:tc>
          <w:tcPr>
            <w:tcW w:w="632" w:type="pct"/>
            <w:tcBorders>
              <w:top w:val="nil"/>
              <w:left w:val="nil"/>
              <w:bottom w:val="single" w:sz="4" w:space="0" w:color="000000"/>
              <w:right w:val="single" w:sz="4" w:space="0" w:color="000000"/>
            </w:tcBorders>
            <w:shd w:val="clear" w:color="auto" w:fill="auto"/>
            <w:noWrap/>
            <w:vAlign w:val="bottom"/>
          </w:tcPr>
          <w:p>
            <w:pPr>
              <w:pStyle w:val="Normal0"/>
              <w:jc w:val="center"/>
              <w:rPr>
                <w:rFonts w:ascii="楷体_GB2312" w:eastAsia="楷体_GB2312"/>
                <w:sz w:val="24"/>
              </w:rPr>
            </w:pPr>
            <w:r>
              <w:rPr>
                <w:rFonts w:ascii="楷体_GB2312" w:eastAsia="楷体_GB2312"/>
                <w:sz w:val="24"/>
              </w:rPr>
              <w:t>3000.00</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jc w:val="center"/>
              <w:rPr>
                <w:rFonts w:ascii="楷体_GB2312" w:eastAsia="楷体_GB2312" w:hint="eastAsia"/>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jc w:val="center"/>
              <w:rPr>
                <w:rFonts w:ascii="楷体_GB2312" w:eastAsia="楷体_GB2312" w:hAnsi="宋体" w:cs="宋体" w:hint="eastAsia"/>
                <w:sz w:val="24"/>
              </w:rPr>
            </w:pPr>
            <w:r>
              <w:rPr>
                <w:rFonts w:ascii="楷体_GB2312" w:eastAsia="楷体_GB2312" w:hint="eastAsia"/>
                <w:sz w:val="24"/>
              </w:rPr>
              <w:t>3</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rPr>
                <w:rFonts w:ascii="楷体_GB2312" w:eastAsia="楷体_GB2312" w:hAnsi="宋体" w:cs="宋体" w:hint="eastAsia"/>
                <w:sz w:val="24"/>
              </w:rPr>
            </w:pPr>
            <w:r>
              <w:rPr>
                <w:rFonts w:ascii="楷体_GB2312" w:eastAsia="楷体_GB2312" w:hint="eastAsia"/>
                <w:sz w:val="24"/>
              </w:rPr>
              <w:t>主要经济数据</w:t>
            </w:r>
          </w:p>
        </w:tc>
        <w:tc>
          <w:tcPr>
            <w:tcW w:w="518" w:type="pct"/>
            <w:tcBorders>
              <w:top w:val="nil"/>
              <w:left w:val="nil"/>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sz w:val="24"/>
              </w:rPr>
            </w:pPr>
            <w:r>
              <w:rPr>
                <w:rFonts w:ascii="楷体_GB2312" w:eastAsia="楷体_GB2312" w:hint="eastAsia"/>
                <w:sz w:val="24"/>
              </w:rPr>
              <w:t>　</w:t>
            </w:r>
          </w:p>
        </w:tc>
        <w:tc>
          <w:tcPr>
            <w:tcW w:w="632" w:type="pct"/>
            <w:tcBorders>
              <w:top w:val="nil"/>
              <w:left w:val="nil"/>
              <w:bottom w:val="single" w:sz="4" w:space="0" w:color="000000"/>
              <w:right w:val="single" w:sz="4" w:space="0" w:color="000000"/>
            </w:tcBorders>
            <w:shd w:val="clear" w:color="auto" w:fill="auto"/>
            <w:noWrap/>
            <w:vAlign w:val="center"/>
          </w:tcPr>
          <w:p>
            <w:pPr>
              <w:pStyle w:val="Normal0"/>
              <w:jc w:val="center"/>
              <w:rPr>
                <w:rFonts w:ascii="楷体_GB2312" w:eastAsia="楷体_GB2312" w:hint="eastAsia"/>
                <w:sz w:val="24"/>
              </w:rPr>
            </w:pPr>
          </w:p>
        </w:tc>
        <w:tc>
          <w:tcPr>
            <w:tcW w:w="1644" w:type="pct"/>
            <w:tcBorders>
              <w:top w:val="nil"/>
              <w:left w:val="nil"/>
              <w:bottom w:val="single" w:sz="4" w:space="0" w:color="000000"/>
              <w:right w:val="single" w:sz="8" w:space="0" w:color="000000"/>
            </w:tcBorders>
            <w:shd w:val="clear" w:color="auto" w:fill="auto"/>
            <w:noWrap/>
            <w:vAlign w:val="center"/>
          </w:tcPr>
          <w:p>
            <w:pPr>
              <w:pStyle w:val="Normal0"/>
              <w:jc w:val="center"/>
              <w:rPr>
                <w:rFonts w:ascii="楷体_GB2312" w:eastAsia="楷体_GB2312" w:hint="eastAsia"/>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3.1</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lang w:eastAsia="zh-CN"/>
              </w:rPr>
              <w:t>相关项目</w:t>
            </w:r>
            <w:r>
              <w:rPr>
                <w:rFonts w:ascii="楷体_GB2312" w:eastAsia="楷体_GB2312" w:hint="eastAsia"/>
                <w:kern w:val="0"/>
                <w:sz w:val="24"/>
              </w:rPr>
              <w:t>总投资</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41886.49</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其中：规模总投资</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41886.49</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3.2</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建设投资</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40949.31</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3.3</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流动资金</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937.19</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3.4</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年均营业（销售）收入</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36750.00</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3.5</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年均补贴收入和其他收入</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0.00</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3.6</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年均营业税金及附加</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2021.25</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3.7</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lang w:eastAsia="zh-CN"/>
              </w:rPr>
              <w:t>相关项目管理管控</w:t>
            </w:r>
            <w:r>
              <w:rPr>
                <w:rFonts w:ascii="楷体_GB2312" w:eastAsia="楷体_GB2312" w:hint="eastAsia"/>
                <w:kern w:val="0"/>
                <w:sz w:val="24"/>
              </w:rPr>
              <w:t>费</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551.25</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3.8</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年均总成本费用</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5550.78</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bl>
    <w:p>
      <w:p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797" w:bottom="1440" w:left="1797" w:header="851" w:footer="992" w:gutter="0"/>
          <w:pgNumType w:start="6"/>
          <w:cols w:num="1" w:space="425"/>
          <w:titlePg w:val="0"/>
          <w:docGrid w:type="lines" w:linePitch="410" w:charSpace="0"/>
        </w:sectPr>
      </w:pPr>
    </w:p>
    <w:tbl>
      <w:tblPr>
        <w:tblStyle w:val="TableNormal"/>
        <w:tblW w:w="5187" w:type="pct"/>
        <w:tblInd w:w="0" w:type="dxa"/>
        <w:tblLayout w:type="fixed"/>
        <w:tblCellMar>
          <w:top w:w="74" w:type="dxa"/>
          <w:left w:w="57" w:type="dxa"/>
          <w:bottom w:w="74" w:type="dxa"/>
          <w:right w:w="0" w:type="dxa"/>
        </w:tblCellMar>
      </w:tblPr>
      <w:tblGrid>
        <w:gridCol w:w="661"/>
        <w:gridCol w:w="3174"/>
        <w:gridCol w:w="900"/>
        <w:gridCol w:w="1099"/>
        <w:gridCol w:w="2858"/>
      </w:tblGrid>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3.9</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其中：折旧</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1992.07</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3.10</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年均利润总额</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29177.97</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3.11</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年均所得税</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7294.49</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3.12</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年均净利润</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21883.48</w:t>
            </w: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4</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rPr>
              <w:t>评价指标</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　</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p>
        </w:tc>
        <w:tc>
          <w:tcPr>
            <w:tcW w:w="1644" w:type="pct"/>
            <w:tcBorders>
              <w:top w:val="nil"/>
              <w:left w:val="nil"/>
              <w:bottom w:val="single" w:sz="4" w:space="0" w:color="000000"/>
              <w:right w:val="single" w:sz="8" w:space="0" w:color="000000"/>
            </w:tcBorders>
            <w:shd w:val="clear" w:color="auto" w:fill="auto"/>
            <w:noWrap/>
            <w:vAlign w:val="bottom"/>
          </w:tcPr>
          <w:p>
            <w:pPr>
              <w:pStyle w:val="Normal0"/>
              <w:widowControl/>
              <w:jc w:val="center"/>
              <w:rPr>
                <w:rFonts w:ascii="楷体_GB2312" w:eastAsia="楷体_GB2312" w:hint="eastAsia"/>
                <w:kern w:val="0"/>
                <w:sz w:val="24"/>
              </w:rPr>
            </w:pP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4.1</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lang w:eastAsia="zh-CN"/>
              </w:rPr>
              <w:t>相关项目</w:t>
            </w:r>
            <w:r>
              <w:rPr>
                <w:rFonts w:ascii="楷体_GB2312" w:eastAsia="楷体_GB2312" w:hint="eastAsia"/>
                <w:kern w:val="0"/>
                <w:sz w:val="24"/>
              </w:rPr>
              <w:t>财务内部收益率</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45.19%</w:t>
            </w:r>
          </w:p>
        </w:tc>
        <w:tc>
          <w:tcPr>
            <w:tcW w:w="1644" w:type="pct"/>
            <w:tcBorders>
              <w:top w:val="nil"/>
              <w:left w:val="nil"/>
              <w:bottom w:val="single" w:sz="4" w:space="0" w:color="000000"/>
              <w:right w:val="single" w:sz="8" w:space="0" w:color="000000"/>
            </w:tcBorders>
            <w:shd w:val="clear" w:color="auto" w:fill="auto"/>
            <w:noWrap/>
            <w:vAlign w:val="center"/>
          </w:tcPr>
          <w:p>
            <w:pPr>
              <w:pStyle w:val="Normal0"/>
              <w:rPr>
                <w:rFonts w:ascii="楷体_GB2312" w:eastAsia="楷体_GB2312" w:hint="eastAsia"/>
                <w:kern w:val="0"/>
                <w:sz w:val="24"/>
              </w:rPr>
            </w:pPr>
            <w:r>
              <w:rPr>
                <w:rFonts w:ascii="楷体_GB2312" w:eastAsia="楷体_GB2312" w:hint="eastAsia"/>
                <w:kern w:val="0"/>
                <w:sz w:val="24"/>
              </w:rPr>
              <w:t>所得税前</w:t>
            </w: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4.2</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lang w:eastAsia="zh-CN"/>
              </w:rPr>
              <w:t>相关项目</w:t>
            </w:r>
            <w:r>
              <w:rPr>
                <w:rFonts w:ascii="楷体_GB2312" w:eastAsia="楷体_GB2312" w:hint="eastAsia"/>
                <w:kern w:val="0"/>
                <w:sz w:val="24"/>
              </w:rPr>
              <w:t>财务净现值（i</w:t>
            </w:r>
            <w:r>
              <w:rPr>
                <w:rFonts w:ascii="楷体_GB2312" w:eastAsia="楷体_GB2312" w:hint="eastAsia"/>
                <w:kern w:val="0"/>
                <w:sz w:val="24"/>
                <w:vertAlign w:val="subscript"/>
              </w:rPr>
              <w:t>c</w:t>
            </w:r>
            <w:r>
              <w:rPr>
                <w:rFonts w:ascii="楷体_GB2312" w:eastAsia="楷体_GB2312" w:hint="eastAsia"/>
                <w:kern w:val="0"/>
                <w:sz w:val="24"/>
              </w:rPr>
              <w:t>=10%）</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76059.66</w:t>
            </w:r>
          </w:p>
        </w:tc>
        <w:tc>
          <w:tcPr>
            <w:tcW w:w="1644" w:type="pct"/>
            <w:tcBorders>
              <w:top w:val="nil"/>
              <w:left w:val="nil"/>
              <w:bottom w:val="single" w:sz="4" w:space="0" w:color="000000"/>
              <w:right w:val="single" w:sz="8" w:space="0" w:color="000000"/>
            </w:tcBorders>
            <w:shd w:val="clear" w:color="auto" w:fill="auto"/>
            <w:noWrap/>
            <w:vAlign w:val="center"/>
          </w:tcPr>
          <w:p>
            <w:pPr>
              <w:pStyle w:val="Normal0"/>
              <w:rPr>
                <w:rFonts w:ascii="楷体_GB2312" w:eastAsia="楷体_GB2312" w:hint="eastAsia"/>
                <w:kern w:val="0"/>
                <w:sz w:val="24"/>
              </w:rPr>
            </w:pPr>
            <w:r>
              <w:rPr>
                <w:rFonts w:ascii="楷体_GB2312" w:eastAsia="楷体_GB2312" w:hint="eastAsia"/>
                <w:kern w:val="0"/>
                <w:sz w:val="24"/>
              </w:rPr>
              <w:t>所得税前</w:t>
            </w: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4.3</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lang w:eastAsia="zh-CN"/>
              </w:rPr>
              <w:t>相关项目</w:t>
            </w:r>
            <w:r>
              <w:rPr>
                <w:rFonts w:ascii="楷体_GB2312" w:eastAsia="楷体_GB2312" w:hint="eastAsia"/>
                <w:kern w:val="0"/>
                <w:sz w:val="24"/>
              </w:rPr>
              <w:t>投资回收期</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年</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4.16</w:t>
            </w:r>
          </w:p>
        </w:tc>
        <w:tc>
          <w:tcPr>
            <w:tcW w:w="1644" w:type="pct"/>
            <w:tcBorders>
              <w:top w:val="nil"/>
              <w:left w:val="nil"/>
              <w:bottom w:val="single" w:sz="4" w:space="0" w:color="000000"/>
              <w:right w:val="single" w:sz="8" w:space="0" w:color="000000"/>
            </w:tcBorders>
            <w:shd w:val="clear" w:color="auto" w:fill="auto"/>
            <w:noWrap/>
            <w:vAlign w:val="center"/>
          </w:tcPr>
          <w:p>
            <w:pPr>
              <w:pStyle w:val="Normal0"/>
              <w:rPr>
                <w:rFonts w:ascii="楷体_GB2312" w:eastAsia="楷体_GB2312" w:hint="eastAsia"/>
                <w:kern w:val="0"/>
                <w:sz w:val="24"/>
              </w:rPr>
            </w:pPr>
            <w:r>
              <w:rPr>
                <w:rFonts w:ascii="楷体_GB2312" w:eastAsia="楷体_GB2312" w:hint="eastAsia"/>
                <w:kern w:val="0"/>
                <w:sz w:val="24"/>
              </w:rPr>
              <w:t>所得税前（含建设期2年）</w:t>
            </w: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4.4</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lang w:eastAsia="zh-CN"/>
              </w:rPr>
              <w:t>相关项目</w:t>
            </w:r>
            <w:r>
              <w:rPr>
                <w:rFonts w:ascii="楷体_GB2312" w:eastAsia="楷体_GB2312" w:hint="eastAsia"/>
                <w:kern w:val="0"/>
                <w:sz w:val="24"/>
              </w:rPr>
              <w:t>财务内部收益率</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36.65%</w:t>
            </w:r>
          </w:p>
        </w:tc>
        <w:tc>
          <w:tcPr>
            <w:tcW w:w="1644" w:type="pct"/>
            <w:tcBorders>
              <w:top w:val="nil"/>
              <w:left w:val="nil"/>
              <w:bottom w:val="single" w:sz="4" w:space="0" w:color="000000"/>
              <w:right w:val="single" w:sz="8" w:space="0" w:color="000000"/>
            </w:tcBorders>
            <w:shd w:val="clear" w:color="auto" w:fill="auto"/>
            <w:noWrap/>
            <w:vAlign w:val="center"/>
          </w:tcPr>
          <w:p>
            <w:pPr>
              <w:pStyle w:val="Normal0"/>
              <w:rPr>
                <w:rFonts w:ascii="楷体_GB2312" w:eastAsia="楷体_GB2312" w:hint="eastAsia"/>
                <w:kern w:val="0"/>
                <w:sz w:val="24"/>
              </w:rPr>
            </w:pPr>
            <w:r>
              <w:rPr>
                <w:rFonts w:ascii="楷体_GB2312" w:eastAsia="楷体_GB2312" w:hint="eastAsia"/>
                <w:kern w:val="0"/>
                <w:sz w:val="24"/>
              </w:rPr>
              <w:t>所得税后</w:t>
            </w: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4.5</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lang w:eastAsia="zh-CN"/>
              </w:rPr>
              <w:t>相关项目</w:t>
            </w:r>
            <w:r>
              <w:rPr>
                <w:rFonts w:ascii="楷体_GB2312" w:eastAsia="楷体_GB2312" w:hint="eastAsia"/>
                <w:kern w:val="0"/>
                <w:sz w:val="24"/>
              </w:rPr>
              <w:t>财务净现值（i</w:t>
            </w:r>
            <w:r>
              <w:rPr>
                <w:rFonts w:ascii="楷体_GB2312" w:eastAsia="楷体_GB2312" w:hint="eastAsia"/>
                <w:kern w:val="0"/>
                <w:sz w:val="24"/>
                <w:vertAlign w:val="subscript"/>
              </w:rPr>
              <w:t>c</w:t>
            </w:r>
            <w:r>
              <w:rPr>
                <w:rFonts w:ascii="楷体_GB2312" w:eastAsia="楷体_GB2312" w:hint="eastAsia"/>
                <w:kern w:val="0"/>
                <w:sz w:val="24"/>
              </w:rPr>
              <w:t>=10%）</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万元</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52043.91</w:t>
            </w:r>
          </w:p>
        </w:tc>
        <w:tc>
          <w:tcPr>
            <w:tcW w:w="1644" w:type="pct"/>
            <w:tcBorders>
              <w:top w:val="nil"/>
              <w:left w:val="nil"/>
              <w:bottom w:val="single" w:sz="4" w:space="0" w:color="000000"/>
              <w:right w:val="single" w:sz="8" w:space="0" w:color="000000"/>
            </w:tcBorders>
            <w:shd w:val="clear" w:color="auto" w:fill="auto"/>
            <w:noWrap/>
            <w:vAlign w:val="center"/>
          </w:tcPr>
          <w:p>
            <w:pPr>
              <w:pStyle w:val="Normal0"/>
              <w:rPr>
                <w:rFonts w:ascii="楷体_GB2312" w:eastAsia="楷体_GB2312" w:hint="eastAsia"/>
                <w:kern w:val="0"/>
                <w:sz w:val="24"/>
              </w:rPr>
            </w:pPr>
            <w:r>
              <w:rPr>
                <w:rFonts w:ascii="楷体_GB2312" w:eastAsia="楷体_GB2312" w:hint="eastAsia"/>
                <w:kern w:val="0"/>
                <w:sz w:val="24"/>
              </w:rPr>
              <w:t>所得税后</w:t>
            </w:r>
          </w:p>
        </w:tc>
      </w:tr>
      <w:tr>
        <w:tblPrEx>
          <w:tblW w:w="5187" w:type="pct"/>
          <w:tblInd w:w="0" w:type="dxa"/>
          <w:tblLayout w:type="fixed"/>
          <w:tblCellMar>
            <w:top w:w="74" w:type="dxa"/>
            <w:left w:w="57" w:type="dxa"/>
            <w:bottom w:w="74" w:type="dxa"/>
            <w:right w:w="0" w:type="dxa"/>
          </w:tblCellMar>
        </w:tblPrEx>
        <w:trPr>
          <w:trHeight w:val="319"/>
        </w:trPr>
        <w:tc>
          <w:tcPr>
            <w:tcW w:w="380" w:type="pct"/>
            <w:tcBorders>
              <w:top w:val="nil"/>
              <w:left w:val="single" w:sz="8" w:space="0" w:color="000000"/>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Ansi="宋体" w:cs="宋体" w:hint="eastAsia"/>
                <w:kern w:val="0"/>
                <w:sz w:val="24"/>
              </w:rPr>
            </w:pPr>
            <w:r>
              <w:rPr>
                <w:rFonts w:ascii="楷体_GB2312" w:eastAsia="楷体_GB2312" w:hAnsi="宋体" w:cs="宋体" w:hint="eastAsia"/>
                <w:kern w:val="0"/>
                <w:sz w:val="24"/>
              </w:rPr>
              <w:t>4.6</w:t>
            </w:r>
          </w:p>
        </w:tc>
        <w:tc>
          <w:tcPr>
            <w:tcW w:w="1826" w:type="pct"/>
            <w:tcBorders>
              <w:top w:val="nil"/>
              <w:left w:val="nil"/>
              <w:bottom w:val="single" w:sz="4" w:space="0" w:color="000000"/>
              <w:right w:val="single" w:sz="4" w:space="0" w:color="000000"/>
            </w:tcBorders>
            <w:shd w:val="clear" w:color="auto" w:fill="auto"/>
            <w:noWrap/>
            <w:vAlign w:val="center"/>
          </w:tcPr>
          <w:p>
            <w:pPr>
              <w:pStyle w:val="Normal0"/>
              <w:widowControl/>
              <w:rPr>
                <w:rFonts w:ascii="楷体_GB2312" w:eastAsia="楷体_GB2312" w:hint="eastAsia"/>
                <w:kern w:val="0"/>
                <w:sz w:val="24"/>
              </w:rPr>
            </w:pPr>
            <w:r>
              <w:rPr>
                <w:rFonts w:ascii="楷体_GB2312" w:eastAsia="楷体_GB2312" w:hint="eastAsia"/>
                <w:kern w:val="0"/>
                <w:sz w:val="24"/>
                <w:lang w:eastAsia="zh-CN"/>
              </w:rPr>
              <w:t>相关项目</w:t>
            </w:r>
            <w:r>
              <w:rPr>
                <w:rFonts w:ascii="楷体_GB2312" w:eastAsia="楷体_GB2312" w:hint="eastAsia"/>
                <w:kern w:val="0"/>
                <w:sz w:val="24"/>
              </w:rPr>
              <w:t>投资回收期</w:t>
            </w:r>
          </w:p>
        </w:tc>
        <w:tc>
          <w:tcPr>
            <w:tcW w:w="518"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年</w:t>
            </w:r>
          </w:p>
        </w:tc>
        <w:tc>
          <w:tcPr>
            <w:tcW w:w="632" w:type="pct"/>
            <w:tcBorders>
              <w:top w:val="nil"/>
              <w:left w:val="nil"/>
              <w:bottom w:val="single" w:sz="4" w:space="0" w:color="000000"/>
              <w:right w:val="single" w:sz="4" w:space="0" w:color="000000"/>
            </w:tcBorders>
            <w:shd w:val="clear" w:color="auto" w:fill="auto"/>
            <w:noWrap/>
            <w:vAlign w:val="center"/>
          </w:tcPr>
          <w:p>
            <w:pPr>
              <w:pStyle w:val="Normal0"/>
              <w:widowControl/>
              <w:jc w:val="center"/>
              <w:rPr>
                <w:rFonts w:ascii="楷体_GB2312" w:eastAsia="楷体_GB2312" w:hint="eastAsia"/>
                <w:kern w:val="0"/>
                <w:sz w:val="24"/>
              </w:rPr>
            </w:pPr>
            <w:r>
              <w:rPr>
                <w:rFonts w:ascii="楷体_GB2312" w:eastAsia="楷体_GB2312" w:hint="eastAsia"/>
                <w:kern w:val="0"/>
                <w:sz w:val="24"/>
              </w:rPr>
              <w:t>4.54</w:t>
            </w:r>
          </w:p>
        </w:tc>
        <w:tc>
          <w:tcPr>
            <w:tcW w:w="1644" w:type="pct"/>
            <w:tcBorders>
              <w:top w:val="nil"/>
              <w:left w:val="nil"/>
              <w:bottom w:val="single" w:sz="4" w:space="0" w:color="000000"/>
              <w:right w:val="single" w:sz="8" w:space="0" w:color="000000"/>
            </w:tcBorders>
            <w:shd w:val="clear" w:color="auto" w:fill="auto"/>
            <w:noWrap/>
            <w:vAlign w:val="center"/>
          </w:tcPr>
          <w:p>
            <w:pPr>
              <w:pStyle w:val="Normal0"/>
              <w:rPr>
                <w:rFonts w:ascii="楷体_GB2312" w:eastAsia="楷体_GB2312" w:hint="eastAsia"/>
                <w:kern w:val="0"/>
                <w:sz w:val="24"/>
              </w:rPr>
            </w:pPr>
            <w:r>
              <w:rPr>
                <w:rFonts w:ascii="楷体_GB2312" w:eastAsia="楷体_GB2312" w:hint="eastAsia"/>
                <w:kern w:val="0"/>
                <w:sz w:val="24"/>
              </w:rPr>
              <w:t>所得税后（含建设期2年）</w:t>
            </w:r>
          </w:p>
        </w:tc>
      </w:tr>
    </w:tbl>
    <w:p>
      <w:pPr>
        <w:pStyle w:val="Normal0"/>
        <w:spacing w:before="205" w:beforeLines="50" w:after="205" w:afterLines="50" w:line="360" w:lineRule="auto"/>
        <w:rPr>
          <w:b/>
          <w:sz w:val="28"/>
          <w:szCs w:val="28"/>
        </w:rPr>
      </w:pPr>
      <w:r>
        <w:rPr>
          <w:b/>
          <w:sz w:val="28"/>
          <w:szCs w:val="28"/>
        </w:rPr>
        <w:t>1.4.2 建议</w:t>
      </w:r>
    </w:p>
    <w:p>
      <w:pPr>
        <w:pStyle w:val="Normal0"/>
        <w:spacing w:line="360" w:lineRule="auto"/>
        <w:ind w:firstLine="560" w:firstLineChars="200"/>
        <w:rPr>
          <w:sz w:val="28"/>
          <w:szCs w:val="28"/>
        </w:rPr>
      </w:pPr>
      <w:r>
        <w:rPr>
          <w:rFonts w:hint="eastAsia"/>
          <w:sz w:val="28"/>
          <w:szCs w:val="28"/>
          <w:lang w:eastAsia="zh-CN"/>
        </w:rPr>
        <w:t>相关项目</w:t>
      </w:r>
      <w:r>
        <w:rPr>
          <w:sz w:val="28"/>
          <w:szCs w:val="28"/>
        </w:rPr>
        <w:t>的实施涉及到</w:t>
      </w:r>
      <w:r>
        <w:rPr>
          <w:rFonts w:hint="eastAsia"/>
          <w:sz w:val="28"/>
          <w:szCs w:val="28"/>
        </w:rPr>
        <w:t>机械</w:t>
      </w:r>
      <w:r>
        <w:rPr>
          <w:sz w:val="28"/>
          <w:szCs w:val="28"/>
        </w:rPr>
        <w:t>、</w:t>
      </w:r>
      <w:r>
        <w:rPr>
          <w:rFonts w:hint="eastAsia"/>
          <w:sz w:val="28"/>
          <w:szCs w:val="28"/>
        </w:rPr>
        <w:t>物流</w:t>
      </w:r>
      <w:r>
        <w:rPr>
          <w:sz w:val="28"/>
          <w:szCs w:val="28"/>
        </w:rPr>
        <w:t>、市场销售等诸多方面，建议在</w:t>
      </w:r>
      <w:r>
        <w:rPr>
          <w:rFonts w:hint="eastAsia"/>
          <w:sz w:val="28"/>
          <w:szCs w:val="28"/>
          <w:lang w:eastAsia="zh-CN"/>
        </w:rPr>
        <w:t>相关项目</w:t>
      </w:r>
      <w:r>
        <w:rPr>
          <w:sz w:val="28"/>
          <w:szCs w:val="28"/>
        </w:rPr>
        <w:t>的实施过程中抓好以下几个方面：</w:t>
      </w:r>
    </w:p>
    <w:p>
      <w:pPr>
        <w:pStyle w:val="Normal0"/>
        <w:spacing w:line="360" w:lineRule="auto"/>
        <w:ind w:firstLine="560" w:firstLineChars="200"/>
        <w:rPr>
          <w:sz w:val="28"/>
          <w:szCs w:val="28"/>
        </w:rPr>
      </w:pPr>
      <w:r>
        <w:rPr>
          <w:sz w:val="28"/>
          <w:szCs w:val="28"/>
        </w:rPr>
        <w:t>（1）</w:t>
      </w:r>
      <w:r>
        <w:rPr>
          <w:rFonts w:hint="eastAsia"/>
          <w:sz w:val="28"/>
          <w:szCs w:val="28"/>
        </w:rPr>
        <w:t>创新建机建材市场</w:t>
      </w:r>
      <w:r>
        <w:rPr>
          <w:sz w:val="28"/>
          <w:szCs w:val="28"/>
        </w:rPr>
        <w:t>经营模式</w:t>
      </w:r>
      <w:r>
        <w:rPr>
          <w:rFonts w:hint="eastAsia"/>
          <w:sz w:val="28"/>
          <w:szCs w:val="28"/>
        </w:rPr>
        <w:t>，</w:t>
      </w:r>
      <w:r>
        <w:rPr>
          <w:sz w:val="28"/>
          <w:szCs w:val="28"/>
        </w:rPr>
        <w:t>不断完善经营机制，使之符合</w:t>
      </w:r>
      <w:r>
        <w:rPr>
          <w:rFonts w:hint="eastAsia"/>
          <w:sz w:val="28"/>
          <w:szCs w:val="28"/>
        </w:rPr>
        <w:t>广德县</w:t>
      </w:r>
      <w:r>
        <w:rPr>
          <w:sz w:val="28"/>
          <w:szCs w:val="28"/>
        </w:rPr>
        <w:t>发展及产业化经营的需要。</w:t>
      </w:r>
    </w:p>
    <w:p>
      <w:pPr>
        <w:pStyle w:val="Normal0"/>
        <w:spacing w:line="360" w:lineRule="auto"/>
        <w:ind w:firstLine="560" w:firstLineChars="200"/>
        <w:rPr>
          <w:sz w:val="28"/>
          <w:szCs w:val="28"/>
        </w:rPr>
      </w:pPr>
      <w:r>
        <w:rPr>
          <w:sz w:val="28"/>
          <w:szCs w:val="28"/>
        </w:rPr>
        <w:t>（2）重视资金、技术和人才的引进，充分调研、精心策划，强化</w:t>
      </w:r>
      <w:r>
        <w:rPr>
          <w:rFonts w:hint="eastAsia"/>
          <w:sz w:val="28"/>
          <w:szCs w:val="28"/>
          <w:lang w:eastAsia="zh-CN"/>
        </w:rPr>
        <w:t>相关项目</w:t>
      </w:r>
      <w:r>
        <w:rPr>
          <w:sz w:val="28"/>
          <w:szCs w:val="28"/>
        </w:rPr>
        <w:t>的组织工作；在实施过程中，把握好</w:t>
      </w:r>
      <w:r>
        <w:rPr>
          <w:rFonts w:hint="eastAsia"/>
          <w:sz w:val="28"/>
          <w:szCs w:val="28"/>
        </w:rPr>
        <w:t>材料</w:t>
      </w:r>
      <w:r>
        <w:rPr>
          <w:sz w:val="28"/>
          <w:szCs w:val="28"/>
        </w:rPr>
        <w:t>质量标准，依法实施；在资金使用和</w:t>
      </w:r>
      <w:r>
        <w:rPr>
          <w:rFonts w:hint="eastAsia"/>
          <w:sz w:val="28"/>
          <w:szCs w:val="28"/>
          <w:lang w:eastAsia="zh-CN"/>
        </w:rPr>
        <w:t>管理管控</w:t>
      </w:r>
      <w:r>
        <w:rPr>
          <w:sz w:val="28"/>
          <w:szCs w:val="28"/>
        </w:rPr>
        <w:t>上保证资金安全和有效运行。</w:t>
      </w:r>
    </w:p>
    <w:p>
      <w:pPr>
        <w:pStyle w:val="Normal0"/>
        <w:spacing w:line="360" w:lineRule="auto"/>
        <w:ind w:firstLine="560" w:firstLineChars="200"/>
        <w:rPr>
          <w:sz w:val="28"/>
          <w:szCs w:val="28"/>
        </w:rPr>
      </w:pPr>
      <w:r>
        <w:rPr>
          <w:sz w:val="28"/>
          <w:szCs w:val="28"/>
        </w:rPr>
        <w:t>（3）鉴于</w:t>
      </w:r>
      <w:r>
        <w:rPr>
          <w:rFonts w:hint="eastAsia"/>
          <w:sz w:val="28"/>
          <w:szCs w:val="28"/>
          <w:lang w:eastAsia="zh-CN"/>
        </w:rPr>
        <w:t>相关项目</w:t>
      </w:r>
      <w:r>
        <w:rPr>
          <w:sz w:val="28"/>
          <w:szCs w:val="28"/>
        </w:rPr>
        <w:t>是以</w:t>
      </w:r>
      <w:r>
        <w:rPr>
          <w:rFonts w:hint="eastAsia"/>
          <w:sz w:val="28"/>
          <w:szCs w:val="28"/>
        </w:rPr>
        <w:t>物流配套服务为主的建机建材市场</w:t>
      </w:r>
      <w:r>
        <w:rPr>
          <w:sz w:val="28"/>
          <w:szCs w:val="28"/>
        </w:rPr>
        <w:t>，</w:t>
      </w:r>
      <w:r>
        <w:rPr>
          <w:rFonts w:hint="eastAsia"/>
          <w:sz w:val="28"/>
          <w:szCs w:val="28"/>
        </w:rPr>
        <w:t>有利于改善民生，</w:t>
      </w:r>
      <w:r>
        <w:rPr>
          <w:sz w:val="28"/>
          <w:szCs w:val="28"/>
        </w:rPr>
        <w:t>建议政府加大扶持力度，推进</w:t>
      </w:r>
      <w:r>
        <w:rPr>
          <w:rFonts w:hint="eastAsia"/>
          <w:sz w:val="28"/>
          <w:szCs w:val="28"/>
        </w:rPr>
        <w:t>物流、机械、建材业在广德县的发展</w:t>
      </w:r>
      <w:r>
        <w:rPr>
          <w:sz w:val="28"/>
          <w:szCs w:val="28"/>
        </w:rPr>
        <w:t>。</w:t>
      </w:r>
    </w:p>
    <w:p>
      <w:pPr>
        <w:pStyle w:val="Normal0"/>
        <w:spacing w:line="360" w:lineRule="auto"/>
        <w:ind w:firstLine="560" w:firstLineChars="200"/>
        <w:rPr>
          <w:sz w:val="28"/>
          <w:szCs w:val="28"/>
        </w:rPr>
      </w:pPr>
      <w:r>
        <w:rPr>
          <w:sz w:val="28"/>
          <w:szCs w:val="28"/>
        </w:rPr>
        <w:t>（4）做好前期工作，抓住机遇，尽快上马。</w:t>
      </w:r>
    </w:p>
    <w:p>
      <w:pPr>
        <w:pStyle w:val="Normal0"/>
        <w:spacing w:line="360" w:lineRule="auto"/>
        <w:ind w:firstLine="560" w:firstLineChars="200"/>
        <w:rPr>
          <w:sz w:val="28"/>
          <w:szCs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797" w:bottom="1440" w:left="1797" w:header="851" w:footer="992" w:gutter="0"/>
          <w:pgNumType w:start="7"/>
          <w:cols w:num="1" w:space="425"/>
          <w:titlePg w:val="0"/>
          <w:docGrid w:type="lines" w:linePitch="410" w:charSpace="0"/>
        </w:sectPr>
      </w:pPr>
    </w:p>
    <w:p>
      <w:pPr>
        <w:pStyle w:val="Heading1"/>
        <w:spacing w:before="240" w:after="240" w:line="360" w:lineRule="auto"/>
        <w:jc w:val="center"/>
        <w:rPr>
          <w:rFonts w:eastAsia="黑体"/>
          <w:b w:val="0"/>
          <w:sz w:val="36"/>
          <w:szCs w:val="36"/>
        </w:rPr>
      </w:pPr>
      <w:bookmarkStart w:id="8" w:name="_Toc353747182"/>
      <w:bookmarkStart w:id="9" w:name="_Toc231630221"/>
      <w:r>
        <w:rPr>
          <w:rFonts w:eastAsia="黑体"/>
          <w:b w:val="0"/>
          <w:sz w:val="36"/>
          <w:szCs w:val="36"/>
        </w:rPr>
        <w:t xml:space="preserve">第二章  </w:t>
      </w:r>
      <w:r>
        <w:rPr>
          <w:rFonts w:eastAsia="黑体" w:hint="eastAsia"/>
          <w:b w:val="0"/>
          <w:sz w:val="36"/>
          <w:szCs w:val="36"/>
          <w:lang w:eastAsia="zh-CN"/>
        </w:rPr>
        <w:t>相关项目</w:t>
      </w:r>
      <w:r>
        <w:rPr>
          <w:rFonts w:eastAsia="黑体"/>
          <w:b w:val="0"/>
          <w:sz w:val="36"/>
          <w:szCs w:val="36"/>
        </w:rPr>
        <w:t>建设背景及建设的必要性</w:t>
      </w:r>
      <w:bookmarkEnd w:id="8"/>
    </w:p>
    <w:p>
      <w:pPr>
        <w:pStyle w:val="Heading2"/>
        <w:spacing w:before="205" w:beforeLines="50" w:after="205" w:afterLines="50" w:line="360" w:lineRule="auto"/>
        <w:rPr>
          <w:rFonts w:ascii="Times New Roman" w:hAnsi="Times New Roman"/>
          <w:b w:val="0"/>
        </w:rPr>
      </w:pPr>
      <w:bookmarkStart w:id="10" w:name="_Toc353747183"/>
      <w:r>
        <w:rPr>
          <w:rFonts w:ascii="Times New Roman" w:hAnsi="Times New Roman"/>
          <w:b w:val="0"/>
        </w:rPr>
        <w:t xml:space="preserve">2.1 </w:t>
      </w:r>
      <w:r>
        <w:rPr>
          <w:rFonts w:ascii="Times New Roman" w:hAnsi="Times New Roman" w:hint="eastAsia"/>
          <w:b w:val="0"/>
          <w:lang w:eastAsia="zh-CN"/>
        </w:rPr>
        <w:t>相关项目</w:t>
      </w:r>
      <w:r>
        <w:rPr>
          <w:rFonts w:ascii="Times New Roman" w:hAnsi="Times New Roman"/>
          <w:b w:val="0"/>
        </w:rPr>
        <w:t>提出的背景</w:t>
      </w:r>
      <w:bookmarkEnd w:id="10"/>
    </w:p>
    <w:p>
      <w:pPr>
        <w:pStyle w:val="Normal0"/>
        <w:spacing w:line="360" w:lineRule="auto"/>
        <w:ind w:firstLine="560" w:firstLineChars="200"/>
        <w:rPr>
          <w:rFonts w:hint="eastAsia"/>
          <w:sz w:val="28"/>
          <w:szCs w:val="28"/>
        </w:rPr>
      </w:pPr>
      <w:r>
        <w:rPr>
          <w:rFonts w:hint="eastAsia"/>
          <w:sz w:val="28"/>
          <w:szCs w:val="28"/>
        </w:rPr>
        <w:t>近几年，我国建机建材市场的发展形势呈现如下的特征。硬件上：壮大发展规模、丰富营销品种、配套服务设施、布局连锁网络、整合细化分流、提升实力水平；软件上：整合人力资源、提升服务质量、实施强势举措、蓄势厚积薄发。</w:t>
      </w:r>
    </w:p>
    <w:p>
      <w:pPr>
        <w:pStyle w:val="Normal0"/>
        <w:spacing w:line="360" w:lineRule="auto"/>
        <w:ind w:firstLine="560" w:firstLineChars="200"/>
        <w:rPr>
          <w:rFonts w:hint="eastAsia"/>
          <w:sz w:val="28"/>
          <w:szCs w:val="28"/>
        </w:rPr>
      </w:pPr>
      <w:r>
        <w:rPr>
          <w:rFonts w:hint="eastAsia"/>
          <w:sz w:val="28"/>
          <w:szCs w:val="28"/>
        </w:rPr>
        <w:t>近年来，国外名列前茅的建材市场经营商几乎都已经进军中国。洋建材超市的出现，给传统的建材市场带来了巨大的冲击和压力。洋建材超市背后大都是有着雄厚实力和良好信誉的大型跨国集团，所经营的产品在质量和科技含量上都具有相当的竞争力。尽管价格普遍比小型建机建材市场的高，但其货真价实的特点依然能赢得消费者青睐。由此可见，建机建材市场在宏观上充分竞争格局早已形成。</w:t>
      </w:r>
    </w:p>
    <w:p>
      <w:pPr>
        <w:pStyle w:val="Normal0"/>
        <w:spacing w:line="360" w:lineRule="auto"/>
        <w:ind w:firstLine="560" w:firstLineChars="200"/>
        <w:rPr>
          <w:rFonts w:hint="eastAsia"/>
          <w:sz w:val="28"/>
          <w:szCs w:val="28"/>
        </w:rPr>
      </w:pPr>
      <w:r>
        <w:rPr>
          <w:rFonts w:hint="eastAsia"/>
          <w:sz w:val="28"/>
          <w:szCs w:val="28"/>
        </w:rPr>
        <w:t>1、建机建材企业向一体化发展趋势</w:t>
      </w:r>
    </w:p>
    <w:p>
      <w:pPr>
        <w:pStyle w:val="Normal0"/>
        <w:spacing w:line="360" w:lineRule="auto"/>
        <w:ind w:firstLine="560" w:firstLineChars="200"/>
        <w:rPr>
          <w:rFonts w:hint="eastAsia"/>
          <w:sz w:val="28"/>
          <w:szCs w:val="28"/>
        </w:rPr>
      </w:pPr>
      <w:r>
        <w:rPr>
          <w:rFonts w:hint="eastAsia"/>
          <w:sz w:val="28"/>
          <w:szCs w:val="28"/>
        </w:rPr>
        <w:t>近年来，原材料涨价已经成为建材企业商特别头痛的问题之一。随着世界性的资源短缺，原材料将维持高价位趋势。木材、钢材、五金等原材料的价格上涨，一部分企业甚至出现过材料断炊的尴尬。资源的紧缺让中小企业的竞争更加激烈，大型品牌企业与材料供应商合作紧密，拥有一定的议价能力，中小企业只能夹缝求生，日子益发难过。部分建机建材企业已经开始从源头着手，通过并购或是购买股权等方式与原料厂家合作，以求降低成本。</w:t>
      </w:r>
    </w:p>
    <w:p>
      <w:pPr>
        <w:pStyle w:val="Normal0"/>
        <w:spacing w:line="360" w:lineRule="auto"/>
        <w:ind w:firstLine="560" w:firstLineChars="200"/>
        <w:rPr>
          <w:rFonts w:hint="eastAsia"/>
          <w:sz w:val="28"/>
          <w:szCs w:val="28"/>
        </w:rPr>
        <w:sectPr>
          <w:headerReference w:type="even" r:id="rId70"/>
          <w:headerReference w:type="default" r:id="rId71"/>
          <w:footerReference w:type="even" r:id="rId72"/>
          <w:footerReference w:type="default" r:id="rId73"/>
          <w:headerReference w:type="first" r:id="rId74"/>
          <w:footerReference w:type="first" r:id="rId75"/>
          <w:pgSz w:w="11906" w:h="16838"/>
          <w:pgMar w:top="1440" w:right="1797" w:bottom="1440" w:left="1797" w:header="851" w:footer="992" w:gutter="0"/>
          <w:pgNumType w:start="8"/>
          <w:cols w:num="1" w:space="425"/>
          <w:titlePg/>
          <w:docGrid w:type="lines" w:linePitch="410" w:charSpace="0"/>
        </w:sectPr>
      </w:pPr>
      <w:r>
        <w:rPr>
          <w:rFonts w:hint="eastAsia"/>
          <w:sz w:val="28"/>
          <w:szCs w:val="28"/>
        </w:rPr>
        <w:t>2、渠道商介入生产领域</w:t>
      </w:r>
    </w:p>
    <w:p>
      <w:pPr>
        <w:pStyle w:val="Normal0"/>
        <w:spacing w:line="360" w:lineRule="auto"/>
        <w:ind w:firstLine="560" w:firstLineChars="200"/>
        <w:rPr>
          <w:rFonts w:hint="eastAsia"/>
          <w:sz w:val="28"/>
          <w:szCs w:val="28"/>
        </w:rPr>
      </w:pPr>
      <w:r>
        <w:rPr>
          <w:rFonts w:hint="eastAsia"/>
          <w:sz w:val="28"/>
          <w:szCs w:val="28"/>
        </w:rPr>
        <w:t>虽然多年以来，建材卖场一直是代理商的天下，但随着建材生产商品牌意识的增强以及消费者观念的转变，给多个品牌做代理的渠道商，日子越发不好过了。所以，部分渠道商离开建材行业，另一部分人涉足生产领域，开始打造独立品牌。</w:t>
      </w:r>
    </w:p>
    <w:p>
      <w:pPr>
        <w:pStyle w:val="Normal0"/>
        <w:spacing w:line="360" w:lineRule="auto"/>
        <w:ind w:firstLine="560" w:firstLineChars="200"/>
        <w:rPr>
          <w:rFonts w:hint="eastAsia"/>
          <w:sz w:val="28"/>
          <w:szCs w:val="28"/>
        </w:rPr>
      </w:pPr>
      <w:r>
        <w:rPr>
          <w:rFonts w:hint="eastAsia"/>
          <w:sz w:val="28"/>
          <w:szCs w:val="28"/>
        </w:rPr>
        <w:t>3、资源向优势企业集中</w:t>
      </w:r>
    </w:p>
    <w:p>
      <w:pPr>
        <w:pStyle w:val="Normal0"/>
        <w:spacing w:line="360" w:lineRule="auto"/>
        <w:ind w:firstLine="560" w:firstLineChars="200"/>
        <w:rPr>
          <w:rFonts w:hint="eastAsia"/>
          <w:sz w:val="28"/>
          <w:szCs w:val="28"/>
        </w:rPr>
      </w:pPr>
      <w:r>
        <w:rPr>
          <w:rFonts w:hint="eastAsia"/>
          <w:sz w:val="28"/>
          <w:szCs w:val="28"/>
        </w:rPr>
        <w:t>在家居行业市场火暴的时候，建材城星罗棋布；经过近年市场化竞争，已经形成品牌化趋势。</w:t>
      </w:r>
    </w:p>
    <w:p>
      <w:pPr>
        <w:pStyle w:val="Normal0"/>
        <w:spacing w:line="360" w:lineRule="auto"/>
        <w:ind w:firstLine="560" w:firstLineChars="200"/>
        <w:rPr>
          <w:rFonts w:hint="eastAsia"/>
          <w:sz w:val="28"/>
          <w:szCs w:val="28"/>
        </w:rPr>
      </w:pPr>
      <w:r>
        <w:rPr>
          <w:rFonts w:hint="eastAsia"/>
          <w:sz w:val="28"/>
          <w:szCs w:val="28"/>
        </w:rPr>
        <w:t>4、资本给予更多关注</w:t>
      </w:r>
    </w:p>
    <w:p>
      <w:pPr>
        <w:pStyle w:val="Normal0"/>
        <w:spacing w:line="360" w:lineRule="auto"/>
        <w:ind w:firstLine="560" w:firstLineChars="200"/>
        <w:rPr>
          <w:rFonts w:hint="eastAsia"/>
          <w:sz w:val="28"/>
          <w:szCs w:val="28"/>
        </w:rPr>
      </w:pPr>
      <w:r>
        <w:rPr>
          <w:rFonts w:hint="eastAsia"/>
          <w:sz w:val="28"/>
          <w:szCs w:val="28"/>
        </w:rPr>
        <w:t>风险投资是2007年建材行业最热门的话题，因为早年的框架协议，在2008年变成了巨额资金到位。由于盘量巨大，国内外的私募资本以及风险投资业都表现出对中国建材家居产业的浓厚兴趣。全球最大建材超市家得宝出资近1亿美元借家世界之壳进入中国市场。美国凯雷投资集团以2750万美元投资了上海安信地板。此后，安信伟光(上海)木材有限公司兼并收购宝钢旗下的宝优特地板。中国联想弘毅以6000万人民币投资科宝博洛尼，这家从事高档建材产品生产的企业同时还获得高盛、淡马锡和新鸿基等基金的青睐。</w:t>
      </w:r>
    </w:p>
    <w:p>
      <w:pPr>
        <w:pStyle w:val="Normal0"/>
        <w:spacing w:line="360" w:lineRule="auto"/>
        <w:ind w:firstLine="560" w:firstLineChars="200"/>
        <w:rPr>
          <w:rFonts w:hint="eastAsia"/>
          <w:sz w:val="28"/>
          <w:szCs w:val="28"/>
        </w:rPr>
      </w:pPr>
      <w:r>
        <w:rPr>
          <w:rFonts w:hint="eastAsia"/>
          <w:sz w:val="28"/>
          <w:szCs w:val="28"/>
        </w:rPr>
        <w:t>5、出口保护越来越少</w:t>
      </w:r>
    </w:p>
    <w:p>
      <w:pPr>
        <w:pStyle w:val="Normal0"/>
        <w:spacing w:line="360" w:lineRule="auto"/>
        <w:ind w:firstLine="560" w:firstLineChars="200"/>
        <w:rPr>
          <w:rFonts w:hint="eastAsia"/>
          <w:sz w:val="28"/>
          <w:szCs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797" w:bottom="1440" w:left="1797" w:header="851" w:footer="992" w:gutter="0"/>
          <w:pgNumType w:start="9"/>
          <w:cols w:num="1" w:space="425"/>
          <w:titlePg w:val="0"/>
          <w:docGrid w:type="lines" w:linePitch="410" w:charSpace="0"/>
        </w:sectPr>
      </w:pPr>
      <w:r>
        <w:rPr>
          <w:rFonts w:hint="eastAsia"/>
          <w:sz w:val="28"/>
          <w:szCs w:val="28"/>
        </w:rPr>
        <w:t>涉及地板、钢材类产品的出口退税新政策2007年连续颁布了几项。日前，商务部和海关总署又公布了新一批加工贸易限制类商品目录。新调整的加工贸易政策将于8月23日起执行，从事家具加工贸易的企业也面临缴纳保证金的新压力。因退税率的下调及缴纳保证金而大幅增加的成本，使一些小企业面临着将倒闭或转型的局面。</w:t>
      </w:r>
    </w:p>
    <w:p>
      <w:pPr>
        <w:pStyle w:val="Normal0"/>
        <w:spacing w:line="360" w:lineRule="auto"/>
        <w:ind w:firstLine="560" w:firstLineChars="200"/>
        <w:rPr>
          <w:rFonts w:hint="eastAsia"/>
          <w:sz w:val="28"/>
          <w:szCs w:val="28"/>
        </w:rPr>
      </w:pPr>
      <w:r>
        <w:rPr>
          <w:rFonts w:hint="eastAsia"/>
          <w:sz w:val="28"/>
          <w:szCs w:val="28"/>
        </w:rPr>
        <w:t>6、跨界招募专业人才</w:t>
      </w:r>
    </w:p>
    <w:p>
      <w:pPr>
        <w:pStyle w:val="Normal0"/>
        <w:spacing w:line="360" w:lineRule="auto"/>
        <w:ind w:firstLine="560" w:firstLineChars="200"/>
        <w:rPr>
          <w:sz w:val="28"/>
          <w:szCs w:val="28"/>
        </w:rPr>
      </w:pPr>
      <w:r>
        <w:rPr>
          <w:rFonts w:hint="eastAsia"/>
          <w:sz w:val="28"/>
          <w:szCs w:val="28"/>
        </w:rPr>
        <w:t>建机建材业其实是竞争仍不太充分的行业。虽然，业内领军企业的规模、设备、人员素质等都已经提高了档次，但是其手工企业、家族企业的影子还没有完全退却。</w:t>
      </w:r>
    </w:p>
    <w:p>
      <w:pPr>
        <w:pStyle w:val="Heading2"/>
        <w:spacing w:before="205" w:beforeLines="50" w:after="205" w:afterLines="50" w:line="360" w:lineRule="auto"/>
        <w:rPr>
          <w:rFonts w:ascii="Times New Roman" w:hAnsi="Times New Roman"/>
          <w:b w:val="0"/>
        </w:rPr>
      </w:pPr>
      <w:bookmarkStart w:id="11" w:name="_Toc353747184"/>
      <w:r>
        <w:rPr>
          <w:rFonts w:ascii="Times New Roman" w:hAnsi="Times New Roman"/>
          <w:b w:val="0"/>
        </w:rPr>
        <w:t xml:space="preserve">2.2 </w:t>
      </w:r>
      <w:r>
        <w:rPr>
          <w:rFonts w:ascii="Times New Roman" w:hAnsi="Times New Roman" w:hint="eastAsia"/>
          <w:b w:val="0"/>
          <w:lang w:eastAsia="zh-CN"/>
        </w:rPr>
        <w:t>相关项目</w:t>
      </w:r>
      <w:r>
        <w:rPr>
          <w:rFonts w:ascii="Times New Roman" w:hAnsi="Times New Roman"/>
          <w:b w:val="0"/>
        </w:rPr>
        <w:t>的意义和必要性</w:t>
      </w:r>
      <w:bookmarkEnd w:id="11"/>
    </w:p>
    <w:p>
      <w:pPr>
        <w:pStyle w:val="Normal0"/>
        <w:spacing w:before="205" w:beforeLines="50" w:after="205" w:afterLines="50" w:line="360" w:lineRule="auto"/>
        <w:rPr>
          <w:b/>
          <w:sz w:val="28"/>
          <w:szCs w:val="28"/>
        </w:rPr>
      </w:pPr>
      <w:r>
        <w:rPr>
          <w:b/>
          <w:sz w:val="28"/>
          <w:szCs w:val="28"/>
        </w:rPr>
        <w:t xml:space="preserve">2.2.1 </w:t>
      </w:r>
      <w:r>
        <w:rPr>
          <w:rFonts w:hint="eastAsia"/>
          <w:b/>
          <w:sz w:val="28"/>
          <w:szCs w:val="28"/>
          <w:lang w:eastAsia="zh-CN"/>
        </w:rPr>
        <w:t>相关项目</w:t>
      </w:r>
      <w:r>
        <w:rPr>
          <w:rFonts w:hint="eastAsia"/>
          <w:b/>
          <w:sz w:val="28"/>
          <w:szCs w:val="28"/>
        </w:rPr>
        <w:t>的建设产业政策重要体现</w:t>
      </w:r>
    </w:p>
    <w:p>
      <w:pPr>
        <w:pStyle w:val="Normal0"/>
        <w:spacing w:line="360" w:lineRule="auto"/>
        <w:ind w:firstLine="560" w:firstLineChars="200"/>
        <w:rPr>
          <w:sz w:val="28"/>
          <w:szCs w:val="28"/>
        </w:rPr>
      </w:pPr>
      <w:r>
        <w:rPr>
          <w:rFonts w:hint="eastAsia"/>
          <w:sz w:val="28"/>
          <w:szCs w:val="28"/>
        </w:rPr>
        <w:t>根据产业结构调整指导目录（2011年本）中，本</w:t>
      </w:r>
      <w:r>
        <w:rPr>
          <w:rFonts w:hint="eastAsia"/>
          <w:sz w:val="28"/>
          <w:szCs w:val="28"/>
          <w:lang w:eastAsia="zh-CN"/>
        </w:rPr>
        <w:t>相关项目</w:t>
      </w:r>
      <w:r>
        <w:rPr>
          <w:rFonts w:hint="eastAsia"/>
          <w:sz w:val="28"/>
          <w:szCs w:val="28"/>
        </w:rPr>
        <w:t>属于文中第三十二项商务服务业，1、租赁服务；第三十三项商贸服务业，1、现代化的农产品、生产资料市场流通设施建设。属于国家鼓励类，符合国家产业政策。安徽省广德县富通国际建机建材城</w:t>
      </w:r>
      <w:r>
        <w:rPr>
          <w:rFonts w:hint="eastAsia"/>
          <w:sz w:val="28"/>
          <w:szCs w:val="28"/>
          <w:lang w:eastAsia="zh-CN"/>
        </w:rPr>
        <w:t>相关项目</w:t>
      </w:r>
      <w:r>
        <w:rPr>
          <w:rFonts w:hint="eastAsia"/>
          <w:sz w:val="28"/>
          <w:szCs w:val="28"/>
        </w:rPr>
        <w:t>的建设得到了国家和地方政府的政策支持。在投资环境以及供水、供电、土地征用等方面，宣城市政府都给予了支持和帮助。</w:t>
      </w:r>
    </w:p>
    <w:p>
      <w:pPr>
        <w:pStyle w:val="Normal0"/>
        <w:spacing w:before="205" w:beforeLines="50" w:after="205" w:afterLines="50" w:line="360" w:lineRule="auto"/>
        <w:rPr>
          <w:b/>
          <w:sz w:val="28"/>
          <w:szCs w:val="28"/>
        </w:rPr>
      </w:pPr>
      <w:r>
        <w:rPr>
          <w:b/>
          <w:sz w:val="28"/>
          <w:szCs w:val="28"/>
        </w:rPr>
        <w:t>2.2.2</w:t>
      </w:r>
      <w:r>
        <w:rPr>
          <w:rFonts w:hint="eastAsia"/>
          <w:b/>
          <w:sz w:val="28"/>
          <w:szCs w:val="28"/>
          <w:lang w:eastAsia="zh-CN"/>
        </w:rPr>
        <w:t>相关项目</w:t>
      </w:r>
      <w:r>
        <w:rPr>
          <w:rFonts w:hint="eastAsia"/>
          <w:b/>
          <w:sz w:val="28"/>
          <w:szCs w:val="28"/>
        </w:rPr>
        <w:t>的建设是带动周边潜在建材市场需求的需要</w:t>
      </w:r>
    </w:p>
    <w:p>
      <w:pPr>
        <w:pStyle w:val="Normal0"/>
        <w:spacing w:line="360" w:lineRule="auto"/>
        <w:ind w:firstLine="560" w:firstLineChars="200"/>
        <w:rPr>
          <w:rFonts w:hint="eastAsia"/>
          <w:sz w:val="28"/>
          <w:szCs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797" w:bottom="1440" w:left="1797" w:header="851" w:footer="992" w:gutter="0"/>
          <w:pgNumType w:start="10"/>
          <w:cols w:num="1" w:space="425"/>
          <w:titlePg w:val="0"/>
          <w:docGrid w:type="lines" w:linePitch="410" w:charSpace="0"/>
        </w:sectPr>
      </w:pPr>
      <w:r>
        <w:rPr>
          <w:rFonts w:hint="eastAsia"/>
          <w:sz w:val="28"/>
          <w:szCs w:val="28"/>
        </w:rPr>
        <w:t>建机建材商贸活动作为一种经济活动，需要在供、需两个方面不断地相互适应、相互满足。虽然宣城市及广德县区域内当前存在着的建材市场需求，但宣城众多建材市场在商业模式下，高成本运营；其环境和区位基本上集中且重复定位，导致市场间的恶性竞争，由于缺少成本优势和交通条件受阻导致市场对外辐射能力较弱。本</w:t>
      </w:r>
      <w:r>
        <w:rPr>
          <w:rFonts w:hint="eastAsia"/>
          <w:sz w:val="28"/>
          <w:szCs w:val="28"/>
          <w:lang w:eastAsia="zh-CN"/>
        </w:rPr>
        <w:t>相关项目</w:t>
      </w:r>
    </w:p>
    <w:p>
      <w:pPr>
        <w:pStyle w:val="Normal0"/>
        <w:spacing w:line="360" w:lineRule="auto"/>
        <w:ind w:firstLine="560" w:firstLineChars="200"/>
        <w:rPr>
          <w:rFonts w:hint="eastAsia"/>
          <w:sz w:val="28"/>
          <w:szCs w:val="28"/>
        </w:rPr>
      </w:pPr>
      <w:r>
        <w:rPr>
          <w:rFonts w:hint="eastAsia"/>
          <w:sz w:val="28"/>
          <w:szCs w:val="28"/>
        </w:rPr>
        <w:t>的投资将集中广德县建机建材专业的优势要素，力争成为具有一定影响力的建机建材市场的交易和仓储的集散中心、信息服务中心。其核心的便捷的交通条件，使得本</w:t>
      </w:r>
      <w:r>
        <w:rPr>
          <w:rFonts w:hint="eastAsia"/>
          <w:sz w:val="28"/>
          <w:szCs w:val="28"/>
          <w:lang w:eastAsia="zh-CN"/>
        </w:rPr>
        <w:t>相关项目</w:t>
      </w:r>
      <w:r>
        <w:rPr>
          <w:rFonts w:hint="eastAsia"/>
          <w:sz w:val="28"/>
          <w:szCs w:val="28"/>
        </w:rPr>
        <w:t>在承接以合肥为中心的经济圈的经济发展机遇，对广德县周边城市的建材市场有独特的辐射优势。增强宣城建机、建材企业和外地知名品牌建机建材商家对周边的销售市场开拓能力。通过联合规划与运营，形成高度整合的供应链体系改善各自为政发展的阻力。</w:t>
      </w:r>
    </w:p>
    <w:p>
      <w:pPr>
        <w:pStyle w:val="Normal0"/>
        <w:spacing w:line="360" w:lineRule="auto"/>
        <w:ind w:firstLine="560" w:firstLineChars="200"/>
        <w:rPr>
          <w:sz w:val="28"/>
          <w:szCs w:val="28"/>
        </w:rPr>
      </w:pPr>
      <w:r>
        <w:rPr>
          <w:rFonts w:hint="eastAsia"/>
          <w:sz w:val="28"/>
          <w:szCs w:val="28"/>
        </w:rPr>
        <w:t>随着宣城市整体经济的发展和城市定位的提升，本</w:t>
      </w:r>
      <w:r>
        <w:rPr>
          <w:rFonts w:hint="eastAsia"/>
          <w:sz w:val="28"/>
          <w:szCs w:val="28"/>
          <w:lang w:eastAsia="zh-CN"/>
        </w:rPr>
        <w:t>相关项目</w:t>
      </w:r>
      <w:r>
        <w:rPr>
          <w:rFonts w:hint="eastAsia"/>
          <w:sz w:val="28"/>
          <w:szCs w:val="28"/>
        </w:rPr>
        <w:t>在广德县建立的建机建材市场产业带，必将促进物流等配套服务的需求，提升该地域第三方物流大型产业化发展，有力地支持了现有陆、水、铁的设施衔接以及交通运输设施与库、场设施的衔接，使现有物流资源得以合理整合，基础设施及其技术装备的运作水平得以提高。</w:t>
      </w:r>
    </w:p>
    <w:p>
      <w:pPr>
        <w:pStyle w:val="Normal0"/>
        <w:spacing w:before="205" w:beforeLines="50" w:after="205" w:afterLines="50" w:line="360" w:lineRule="auto"/>
        <w:rPr>
          <w:b/>
          <w:sz w:val="28"/>
          <w:szCs w:val="28"/>
        </w:rPr>
      </w:pPr>
      <w:r>
        <w:rPr>
          <w:b/>
          <w:sz w:val="28"/>
          <w:szCs w:val="28"/>
        </w:rPr>
        <w:t>2.2.3</w:t>
      </w:r>
      <w:r>
        <w:rPr>
          <w:rFonts w:hint="eastAsia"/>
          <w:b/>
          <w:sz w:val="28"/>
          <w:szCs w:val="28"/>
          <w:lang w:eastAsia="zh-CN"/>
        </w:rPr>
        <w:t>相关项目</w:t>
      </w:r>
      <w:r>
        <w:rPr>
          <w:rFonts w:hint="eastAsia"/>
          <w:b/>
          <w:sz w:val="28"/>
          <w:szCs w:val="28"/>
        </w:rPr>
        <w:t>的建设是提高广德县建机建材行业产业经济的需要</w:t>
      </w:r>
    </w:p>
    <w:p>
      <w:pPr>
        <w:pStyle w:val="Normal0"/>
        <w:spacing w:line="360" w:lineRule="auto"/>
        <w:ind w:firstLine="560" w:firstLineChars="200"/>
        <w:rPr>
          <w:rFonts w:hint="eastAsia"/>
          <w:sz w:val="28"/>
          <w:szCs w:val="28"/>
        </w:rPr>
      </w:pPr>
      <w:r>
        <w:rPr>
          <w:rFonts w:hint="eastAsia"/>
          <w:sz w:val="28"/>
          <w:szCs w:val="28"/>
        </w:rPr>
        <w:t>广德县以宣城市为区域中心，建设本</w:t>
      </w:r>
      <w:r>
        <w:rPr>
          <w:rFonts w:hint="eastAsia"/>
          <w:sz w:val="28"/>
          <w:szCs w:val="28"/>
          <w:lang w:eastAsia="zh-CN"/>
        </w:rPr>
        <w:t>相关项目</w:t>
      </w:r>
      <w:r>
        <w:rPr>
          <w:rFonts w:hint="eastAsia"/>
          <w:sz w:val="28"/>
          <w:szCs w:val="28"/>
        </w:rPr>
        <w:t>安徽省广德县富通国际建机建材城，对于广德县商贸物流业，是积极促进经济社会发展的主要作用。</w:t>
      </w:r>
    </w:p>
    <w:p>
      <w:pPr>
        <w:pStyle w:val="Normal0"/>
        <w:spacing w:line="360" w:lineRule="auto"/>
        <w:ind w:firstLine="560" w:firstLineChars="200"/>
        <w:rPr>
          <w:rFonts w:hint="eastAsia"/>
          <w:sz w:val="28"/>
          <w:szCs w:val="28"/>
        </w:rPr>
      </w:pPr>
      <w:r>
        <w:rPr>
          <w:rFonts w:hint="eastAsia"/>
          <w:sz w:val="28"/>
          <w:szCs w:val="28"/>
        </w:rPr>
        <w:t>1、培育新的经济增长点</w:t>
      </w:r>
    </w:p>
    <w:p>
      <w:pPr>
        <w:pStyle w:val="Normal0"/>
        <w:spacing w:line="360" w:lineRule="auto"/>
        <w:ind w:firstLine="560" w:firstLineChars="200"/>
        <w:rPr>
          <w:rFonts w:hint="eastAsia"/>
          <w:sz w:val="28"/>
          <w:szCs w:val="28"/>
        </w:rPr>
      </w:pPr>
      <w:r>
        <w:rPr>
          <w:rFonts w:hint="eastAsia"/>
          <w:sz w:val="28"/>
          <w:szCs w:val="28"/>
        </w:rPr>
        <w:t>工业经济的发展，离不开构成工业经济条件改善因素；规模的商贸建机建材专业市场，是促进工业企业对外生产销售的的重要渠道，也是企业产业外销的有效通路条件。市场的建立不但其自身形成服务经济的增长点，还通过对外的物流促进广德自身建材行业的经济发展。促进宣城市现代服务业的进程。是宣城工业经济发展的重要支撑条件。</w:t>
      </w:r>
    </w:p>
    <w:p>
      <w:pPr>
        <w:pStyle w:val="Normal0"/>
        <w:spacing w:line="360" w:lineRule="auto"/>
        <w:ind w:firstLine="560" w:firstLineChars="200"/>
        <w:rPr>
          <w:rFonts w:hint="eastAsia"/>
          <w:sz w:val="28"/>
          <w:szCs w:val="28"/>
        </w:rPr>
      </w:pPr>
      <w:r>
        <w:rPr>
          <w:rFonts w:hint="eastAsia"/>
          <w:sz w:val="28"/>
          <w:szCs w:val="28"/>
        </w:rPr>
        <w:t>② 创造经济发展的环境</w:t>
      </w:r>
    </w:p>
    <w:p>
      <w:pPr>
        <w:pStyle w:val="Normal0"/>
        <w:spacing w:line="360" w:lineRule="auto"/>
        <w:ind w:firstLine="560" w:firstLineChars="200"/>
        <w:rPr>
          <w:sz w:val="28"/>
          <w:szCs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797" w:bottom="1440" w:left="1797" w:header="851" w:footer="992" w:gutter="0"/>
          <w:pgNumType w:start="11"/>
          <w:cols w:num="1" w:space="425"/>
          <w:titlePg w:val="0"/>
          <w:docGrid w:type="lines" w:linePitch="410" w:charSpace="0"/>
        </w:sectPr>
      </w:pPr>
      <w:r>
        <w:rPr>
          <w:rFonts w:hint="eastAsia"/>
          <w:sz w:val="28"/>
          <w:szCs w:val="28"/>
        </w:rPr>
        <w:t>安徽省广德县富通国际建机建材城</w:t>
      </w:r>
      <w:r>
        <w:rPr>
          <w:rFonts w:hint="eastAsia"/>
          <w:sz w:val="28"/>
          <w:szCs w:val="28"/>
          <w:lang w:eastAsia="zh-CN"/>
        </w:rPr>
        <w:t>相关项目</w:t>
      </w:r>
    </w:p>
    <w:p>
      <w:pPr>
        <w:pStyle w:val="Normal0"/>
        <w:spacing w:line="360" w:lineRule="auto"/>
        <w:ind w:firstLine="560" w:firstLineChars="200"/>
        <w:rPr>
          <w:sz w:val="28"/>
          <w:szCs w:val="28"/>
        </w:rPr>
      </w:pPr>
      <w:r>
        <w:rPr>
          <w:rFonts w:hint="eastAsia"/>
          <w:sz w:val="28"/>
          <w:szCs w:val="28"/>
        </w:rPr>
        <w:t>的建设，将创造以广德县为中心的良好的区域内建材产业布局与发展环境；为广德县区域招商引资，提高经济发展水平创造了条件。现代商贸服务经济的发展是与社会发展阶段水平相适应的。从广德县当前的经济发展总量和城市化水平来看，其发展势头较好，但程度并不十分突出。同时，与周边省份的城市相比较，其经济实力尚待加强。</w:t>
      </w:r>
    </w:p>
    <w:p>
      <w:pPr>
        <w:pStyle w:val="Normal0"/>
        <w:spacing w:before="205" w:beforeLines="50" w:after="205" w:afterLines="50" w:line="360" w:lineRule="auto"/>
        <w:rPr>
          <w:b/>
          <w:sz w:val="28"/>
          <w:szCs w:val="28"/>
        </w:rPr>
      </w:pPr>
      <w:r>
        <w:rPr>
          <w:b/>
          <w:sz w:val="28"/>
          <w:szCs w:val="28"/>
        </w:rPr>
        <w:t>2.2.</w:t>
      </w:r>
      <w:r>
        <w:rPr>
          <w:rFonts w:hint="eastAsia"/>
          <w:b/>
          <w:sz w:val="28"/>
          <w:szCs w:val="28"/>
        </w:rPr>
        <w:t>4</w:t>
      </w:r>
      <w:r>
        <w:rPr>
          <w:rFonts w:hint="eastAsia"/>
          <w:b/>
          <w:sz w:val="28"/>
          <w:szCs w:val="28"/>
          <w:lang w:eastAsia="zh-CN"/>
        </w:rPr>
        <w:t>相关项目</w:t>
      </w:r>
      <w:r>
        <w:rPr>
          <w:rFonts w:hint="eastAsia"/>
          <w:b/>
          <w:sz w:val="28"/>
          <w:szCs w:val="28"/>
        </w:rPr>
        <w:t>的建设有利于推动建机建材专业市场的健康发展</w:t>
      </w:r>
    </w:p>
    <w:p>
      <w:pPr>
        <w:pStyle w:val="Normal0"/>
        <w:spacing w:line="360" w:lineRule="auto"/>
        <w:ind w:firstLine="560" w:firstLineChars="200"/>
        <w:rPr>
          <w:rFonts w:hint="eastAsia"/>
          <w:sz w:val="28"/>
          <w:szCs w:val="28"/>
        </w:rPr>
      </w:pPr>
      <w:r>
        <w:rPr>
          <w:rFonts w:hint="eastAsia"/>
          <w:sz w:val="28"/>
          <w:szCs w:val="28"/>
        </w:rPr>
        <w:t>安徽省广德县富通国际建机建材城</w:t>
      </w:r>
      <w:r>
        <w:rPr>
          <w:rFonts w:hint="eastAsia"/>
          <w:sz w:val="28"/>
          <w:szCs w:val="28"/>
          <w:lang w:eastAsia="zh-CN"/>
        </w:rPr>
        <w:t>相关项目</w:t>
      </w:r>
      <w:r>
        <w:rPr>
          <w:rFonts w:hint="eastAsia"/>
          <w:sz w:val="28"/>
          <w:szCs w:val="28"/>
        </w:rPr>
        <w:t>的建设和运营，是广德县建机建材市场积极前导和有益尝试，充分发挥该地域的综合交通枢纽功能和大市场优势，为广德县建设以综合运输、仓储、配送和电子商务为支撑的现代建材专业市场提供积极的发展契机和实践空间。有利于大力推进工业、商业流通、信息服务等对现代技术的改造重组和社会化协作；有利于促进广德县建机建材市场的内循环发展，降低商家运营成本，提升集约化专业市场能力，促进市场更大范围的辐射，提高广德在周边的辐射带动能力。有效解决目前广德建机建材市场在商业化模式下运营成本的压力，提高经济危机对建机建材市场需求萎缩的抵抗力。</w:t>
      </w:r>
    </w:p>
    <w:p>
      <w:pPr>
        <w:pStyle w:val="Normal0"/>
        <w:spacing w:line="360" w:lineRule="auto"/>
        <w:ind w:firstLine="560" w:firstLineChars="200"/>
        <w:rPr>
          <w:sz w:val="28"/>
          <w:szCs w:val="28"/>
        </w:rPr>
      </w:pPr>
      <w:r>
        <w:rPr>
          <w:rFonts w:hint="eastAsia"/>
          <w:sz w:val="28"/>
          <w:szCs w:val="28"/>
        </w:rPr>
        <w:t>在市场经济条件下，市场竞争也体现在城市间的竞争方面，这将使广德县在经济积聚和扩散的范围受到制约。加快发展以商贸服务流为平台的建机建材业，将更好的服务广德县发展目标，增强城市经济辐射能力。该</w:t>
      </w:r>
      <w:r>
        <w:rPr>
          <w:rFonts w:hint="eastAsia"/>
          <w:sz w:val="28"/>
          <w:szCs w:val="28"/>
          <w:lang w:eastAsia="zh-CN"/>
        </w:rPr>
        <w:t>相关项目</w:t>
      </w:r>
      <w:r>
        <w:rPr>
          <w:rFonts w:hint="eastAsia"/>
          <w:sz w:val="28"/>
          <w:szCs w:val="28"/>
        </w:rPr>
        <w:t>能够为社会做出一定贡献，促进广德县社会经济的发展，是建设本</w:t>
      </w:r>
      <w:r>
        <w:rPr>
          <w:rFonts w:hint="eastAsia"/>
          <w:sz w:val="28"/>
          <w:szCs w:val="28"/>
          <w:lang w:eastAsia="zh-CN"/>
        </w:rPr>
        <w:t>相关项目</w:t>
      </w:r>
      <w:r>
        <w:rPr>
          <w:rFonts w:hint="eastAsia"/>
          <w:sz w:val="28"/>
          <w:szCs w:val="28"/>
        </w:rPr>
        <w:t>重点之一。市场空间潜力巨大，</w:t>
      </w:r>
      <w:r>
        <w:rPr>
          <w:rFonts w:hint="eastAsia"/>
          <w:sz w:val="28"/>
          <w:szCs w:val="28"/>
          <w:lang w:eastAsia="zh-CN"/>
        </w:rPr>
        <w:t>相关项目</w:t>
      </w:r>
      <w:r>
        <w:rPr>
          <w:rFonts w:hint="eastAsia"/>
          <w:sz w:val="28"/>
          <w:szCs w:val="28"/>
        </w:rPr>
        <w:t>建设在国家产业政策、社会发展需要上可行。</w:t>
      </w:r>
    </w:p>
    <w:p>
      <w:pPr>
        <w:pStyle w:val="Normal0"/>
        <w:spacing w:line="360" w:lineRule="auto"/>
        <w:rPr>
          <w:sz w:val="28"/>
          <w:szCs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797" w:bottom="1440" w:left="1797" w:header="851" w:footer="992" w:gutter="0"/>
          <w:pgNumType w:start="12"/>
          <w:cols w:num="1" w:space="425"/>
          <w:titlePg w:val="0"/>
          <w:docGrid w:type="lines" w:linePitch="410" w:charSpace="0"/>
        </w:sectPr>
      </w:pPr>
    </w:p>
    <w:p>
      <w:pPr>
        <w:pStyle w:val="Heading1"/>
        <w:spacing w:before="240" w:after="240" w:line="360" w:lineRule="auto"/>
        <w:jc w:val="center"/>
        <w:rPr>
          <w:rFonts w:eastAsia="黑体"/>
          <w:b w:val="0"/>
          <w:sz w:val="36"/>
          <w:szCs w:val="36"/>
        </w:rPr>
      </w:pPr>
      <w:bookmarkStart w:id="12" w:name="_Toc353747185"/>
      <w:r>
        <w:rPr>
          <w:rFonts w:eastAsia="黑体"/>
          <w:b w:val="0"/>
          <w:sz w:val="36"/>
          <w:szCs w:val="36"/>
        </w:rPr>
        <w:t xml:space="preserve">第三章  </w:t>
      </w:r>
      <w:bookmarkEnd w:id="9"/>
      <w:r>
        <w:rPr>
          <w:rFonts w:eastAsia="黑体"/>
          <w:b w:val="0"/>
          <w:sz w:val="36"/>
          <w:szCs w:val="36"/>
        </w:rPr>
        <w:t>市场分析</w:t>
      </w:r>
      <w:bookmarkEnd w:id="12"/>
    </w:p>
    <w:p>
      <w:pPr>
        <w:pStyle w:val="Heading2"/>
        <w:spacing w:before="205" w:beforeLines="50" w:after="205" w:afterLines="50" w:line="360" w:lineRule="auto"/>
        <w:rPr>
          <w:rFonts w:ascii="Times New Roman" w:hAnsi="Times New Roman" w:hint="eastAsia"/>
          <w:b w:val="0"/>
        </w:rPr>
      </w:pPr>
      <w:bookmarkStart w:id="13" w:name="_Toc353747186"/>
      <w:bookmarkStart w:id="14" w:name="_Toc231630222"/>
      <w:r>
        <w:rPr>
          <w:rFonts w:ascii="Times New Roman" w:hAnsi="Times New Roman"/>
          <w:b w:val="0"/>
        </w:rPr>
        <w:t>3.1</w:t>
      </w:r>
      <w:r>
        <w:rPr>
          <w:rFonts w:ascii="Times New Roman" w:hAnsi="Times New Roman" w:hint="eastAsia"/>
          <w:b w:val="0"/>
        </w:rPr>
        <w:t>建机建材市场概况</w:t>
      </w:r>
      <w:bookmarkEnd w:id="13"/>
    </w:p>
    <w:p>
      <w:pPr>
        <w:pStyle w:val="Normal0"/>
        <w:spacing w:before="205" w:beforeLines="50" w:after="205" w:afterLines="50" w:line="360" w:lineRule="auto"/>
        <w:rPr>
          <w:rFonts w:hint="eastAsia"/>
          <w:b/>
          <w:sz w:val="28"/>
          <w:szCs w:val="28"/>
        </w:rPr>
      </w:pPr>
      <w:r>
        <w:rPr>
          <w:rFonts w:hint="eastAsia"/>
          <w:b/>
          <w:sz w:val="28"/>
          <w:szCs w:val="28"/>
        </w:rPr>
        <w:t>3.1.1建机建材市场发展</w:t>
      </w:r>
    </w:p>
    <w:p>
      <w:pPr>
        <w:pStyle w:val="Normal0"/>
        <w:spacing w:line="360" w:lineRule="auto"/>
        <w:ind w:firstLine="560" w:firstLineChars="200"/>
        <w:rPr>
          <w:rFonts w:hint="eastAsia"/>
          <w:sz w:val="28"/>
          <w:szCs w:val="28"/>
        </w:rPr>
      </w:pPr>
      <w:r>
        <w:rPr>
          <w:rFonts w:hint="eastAsia"/>
          <w:sz w:val="28"/>
          <w:szCs w:val="28"/>
        </w:rPr>
        <w:t>我国的住宅建设虽然历史悠久，但建筑材料制品的生产与供应却仍保留在原材料生产供应的概念上，品种少、不配套，而且施工机械装备率也较低，这就直接导致建设投入高，建设周期长而施工效率低的不利后果。然而，这种局面同时却为建筑机械行业的发展提供了较大的空间。从我国建筑机械产品的生产情况就可以大致了解我国建筑机械发展的整体状况。 一、我国建筑机械产品的生产情况</w:t>
      </w:r>
    </w:p>
    <w:p>
      <w:pPr>
        <w:pStyle w:val="Normal0"/>
        <w:spacing w:line="360" w:lineRule="auto"/>
        <w:ind w:firstLine="560" w:firstLineChars="200"/>
        <w:rPr>
          <w:rFonts w:hint="eastAsia"/>
          <w:sz w:val="28"/>
          <w:szCs w:val="28"/>
        </w:rPr>
      </w:pPr>
      <w:r>
        <w:rPr>
          <w:rFonts w:hint="eastAsia"/>
          <w:sz w:val="28"/>
          <w:szCs w:val="28"/>
        </w:rPr>
        <w:t>一、混凝土制品机械</w:t>
      </w:r>
    </w:p>
    <w:p>
      <w:pPr>
        <w:pStyle w:val="Normal0"/>
        <w:spacing w:line="360" w:lineRule="auto"/>
        <w:ind w:firstLine="560" w:firstLineChars="200"/>
        <w:rPr>
          <w:rFonts w:hint="eastAsia"/>
          <w:sz w:val="28"/>
          <w:szCs w:val="28"/>
        </w:rPr>
        <w:sectPr>
          <w:headerReference w:type="even" r:id="rId100"/>
          <w:headerReference w:type="default" r:id="rId101"/>
          <w:footerReference w:type="even" r:id="rId102"/>
          <w:footerReference w:type="default" r:id="rId103"/>
          <w:headerReference w:type="first" r:id="rId104"/>
          <w:footerReference w:type="first" r:id="rId105"/>
          <w:pgSz w:w="11906" w:h="16838"/>
          <w:pgMar w:top="1440" w:right="1797" w:bottom="1440" w:left="1797" w:header="851" w:footer="992" w:gutter="0"/>
          <w:pgNumType w:start="13"/>
          <w:cols w:num="1" w:space="425"/>
          <w:titlePg/>
          <w:docGrid w:type="lines" w:linePitch="410" w:charSpace="0"/>
        </w:sectPr>
      </w:pPr>
      <w:r>
        <w:rPr>
          <w:rFonts w:hint="eastAsia"/>
          <w:sz w:val="28"/>
          <w:szCs w:val="28"/>
        </w:rPr>
        <w:t>1.砌块成型机。砌体是住宅建设中使用量最大的建筑材料，然而，实心黏土砖的生产毁田严重，对于我国这样一个耕地严重短缺的国家，问题 十分严峻。为此，国家已三令五申禁止毁田，并且力度逐年加大，许多城市已经不准使用实心黏土砖。同时，对利用粉煤灰等工业废料生产砌块的厂家，实行减免所得税的鼓励政策，促使砌块生产加速发展。生产砌块的关键设备是砌块成型机。国际上砌块成型机的生产以美国、德国、日本为代表，他们的砌块成型机可生产填充砌体、装饰砌体、劈裂砌体、地面砖等多种砌体，而且这些砌体与实心黏土砖相比，强度更高（可达到25Mpa以上）由国家计委支持，专门立项攻关，完成了QM4-12模振高强砌块成型机的研发和生产。</w:t>
      </w:r>
    </w:p>
    <w:p>
      <w:pPr>
        <w:pStyle w:val="Normal0"/>
        <w:spacing w:line="360" w:lineRule="auto"/>
        <w:ind w:firstLine="560" w:firstLineChars="200"/>
        <w:rPr>
          <w:rFonts w:hint="eastAsia"/>
          <w:sz w:val="28"/>
          <w:szCs w:val="28"/>
        </w:rPr>
      </w:pPr>
      <w:r>
        <w:rPr>
          <w:rFonts w:hint="eastAsia"/>
          <w:sz w:val="28"/>
          <w:szCs w:val="28"/>
        </w:rPr>
        <w:t>2. 空心墙板挤压成型生产线。空心墙板挤压成型生产线是一种用大量使用粉煤灰等工业废料生产墙板的成套生产线，这种生产线生产出来的空心墙板， 应用于隔断墙，不仅重量轻，安装方便，而且隔声、隔热性能也非常好。美国、德国、日本等国家应用十分普遍。国内第一条空心墙板挤压成型生产线2007年在天津投产，未投产之前，大量的空心墙板需从日本进口。</w:t>
      </w:r>
    </w:p>
    <w:p>
      <w:pPr>
        <w:pStyle w:val="Normal0"/>
        <w:spacing w:line="360" w:lineRule="auto"/>
        <w:ind w:firstLine="560" w:firstLineChars="200"/>
        <w:rPr>
          <w:rFonts w:hint="eastAsia"/>
          <w:sz w:val="28"/>
          <w:szCs w:val="28"/>
        </w:rPr>
      </w:pPr>
      <w:r>
        <w:rPr>
          <w:rFonts w:hint="eastAsia"/>
          <w:sz w:val="28"/>
          <w:szCs w:val="28"/>
        </w:rPr>
        <w:t>二、钢筋加工机械</w:t>
      </w:r>
    </w:p>
    <w:p>
      <w:pPr>
        <w:pStyle w:val="Normal0"/>
        <w:spacing w:line="360" w:lineRule="auto"/>
        <w:ind w:firstLine="560" w:firstLineChars="200"/>
        <w:rPr>
          <w:rFonts w:hint="eastAsia"/>
          <w:sz w:val="28"/>
          <w:szCs w:val="28"/>
        </w:rPr>
      </w:pPr>
      <w:r>
        <w:rPr>
          <w:rFonts w:hint="eastAsia"/>
          <w:sz w:val="28"/>
          <w:szCs w:val="28"/>
        </w:rPr>
        <w:t>目前 ，我国的钢筋加工机械中钢筋网片自动生产线 、钢筋自动弯箍生产线、钢筋剥肋滚压直螺纹连接设备等都发展较快，仅钢筋网片自动生产线就是显著一例。钢筋网片是典型的建筑钢筋部品，与捆扎钢筋相比具有质量好、节约钢材、施工速度快等特点。生产钢筋网片的核心设备是自动焊接生产线。我国虽然刚刚起步，但起点很高，发展势头猛，已达到了国际同类产品的先进水平，而关键机、电、气动元件仍需从国外进口。</w:t>
      </w:r>
    </w:p>
    <w:p>
      <w:pPr>
        <w:pStyle w:val="Normal0"/>
        <w:spacing w:line="360" w:lineRule="auto"/>
        <w:ind w:firstLine="560" w:firstLineChars="200"/>
        <w:rPr>
          <w:rFonts w:hint="eastAsia"/>
          <w:sz w:val="28"/>
          <w:szCs w:val="28"/>
        </w:rPr>
      </w:pPr>
      <w:r>
        <w:rPr>
          <w:rFonts w:hint="eastAsia"/>
          <w:sz w:val="28"/>
          <w:szCs w:val="28"/>
        </w:rPr>
        <w:t>三、装修机械</w:t>
      </w:r>
    </w:p>
    <w:p>
      <w:pPr>
        <w:pStyle w:val="Normal0"/>
        <w:spacing w:line="360" w:lineRule="auto"/>
        <w:ind w:firstLine="560" w:firstLineChars="200"/>
        <w:rPr>
          <w:rFonts w:hint="eastAsia"/>
          <w:sz w:val="28"/>
          <w:szCs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797" w:bottom="1440" w:left="1797" w:header="851" w:footer="992" w:gutter="0"/>
          <w:pgNumType w:start="14"/>
          <w:cols w:num="1" w:space="425"/>
          <w:titlePg w:val="0"/>
          <w:docGrid w:type="lines" w:linePitch="410" w:charSpace="0"/>
        </w:sectPr>
      </w:pPr>
      <w:r>
        <w:rPr>
          <w:rFonts w:hint="eastAsia"/>
          <w:sz w:val="28"/>
          <w:szCs w:val="28"/>
        </w:rPr>
        <w:t>在全部建筑工程中，随着生活水平对环境要求的提高，装修工程量占整个工程的比例越来越高，目前普遍达到了40%～50%.装修机械主要有泵送喷涂设备、涂料喷涂泵、高处作业吊篮、建筑用擦窗机等。就泵送喷涂设备而言，由于目前民用建筑普遍采用手工抹灰，其工作量约占整个建筑劳动总量的30%左右；在工期上，装修工期约占总工程的50%～70%，占用劳动力多、机械施工程度是最低的，易受劳动大军冲击，至今仍是建筑工程施工中的最薄弱环节。国家科技攻关</w:t>
      </w:r>
    </w:p>
    <w:p>
      <w:pPr>
        <w:pStyle w:val="Normal0"/>
        <w:spacing w:line="360" w:lineRule="auto"/>
        <w:ind w:firstLine="560" w:firstLineChars="200"/>
        <w:rPr>
          <w:rFonts w:hint="eastAsia"/>
          <w:sz w:val="28"/>
          <w:szCs w:val="28"/>
        </w:rPr>
      </w:pPr>
      <w:r>
        <w:rPr>
          <w:rFonts w:hint="eastAsia"/>
          <w:sz w:val="28"/>
          <w:szCs w:val="28"/>
          <w:lang w:eastAsia="zh-CN"/>
        </w:rPr>
        <w:t>相关项目</w:t>
      </w:r>
      <w:r>
        <w:rPr>
          <w:rFonts w:hint="eastAsia"/>
          <w:sz w:val="28"/>
          <w:szCs w:val="28"/>
        </w:rPr>
        <w:t>UB8.0型砂浆泵，可以完成砂浆的输送、喷涂作业，也可用于各种浆状材料的水平和垂直运输，喷涂效果好，粘着牢固、效率高，尤其适合于护坡、码头回填、石料的灌浆等施工。</w:t>
      </w:r>
    </w:p>
    <w:p>
      <w:pPr>
        <w:pStyle w:val="Normal0"/>
        <w:spacing w:line="360" w:lineRule="auto"/>
        <w:ind w:firstLine="560" w:firstLineChars="200"/>
        <w:rPr>
          <w:rFonts w:hint="eastAsia"/>
          <w:sz w:val="28"/>
          <w:szCs w:val="28"/>
        </w:rPr>
      </w:pPr>
      <w:r>
        <w:rPr>
          <w:rFonts w:hint="eastAsia"/>
          <w:sz w:val="28"/>
          <w:szCs w:val="28"/>
        </w:rPr>
        <w:t>四、起重机械</w:t>
      </w:r>
    </w:p>
    <w:p>
      <w:pPr>
        <w:pStyle w:val="Normal0"/>
        <w:spacing w:line="360" w:lineRule="auto"/>
        <w:ind w:firstLine="560" w:firstLineChars="200"/>
        <w:rPr>
          <w:rFonts w:hint="eastAsia"/>
          <w:sz w:val="28"/>
          <w:szCs w:val="28"/>
        </w:rPr>
      </w:pPr>
      <w:r>
        <w:rPr>
          <w:rFonts w:hint="eastAsia"/>
          <w:sz w:val="28"/>
          <w:szCs w:val="28"/>
        </w:rPr>
        <w:t>1.塔式起重机</w:t>
      </w:r>
    </w:p>
    <w:p>
      <w:pPr>
        <w:pStyle w:val="Normal0"/>
        <w:spacing w:line="360" w:lineRule="auto"/>
        <w:ind w:firstLine="560" w:firstLineChars="200"/>
        <w:rPr>
          <w:rFonts w:hint="eastAsia"/>
          <w:sz w:val="28"/>
          <w:szCs w:val="28"/>
        </w:rPr>
      </w:pPr>
      <w:r>
        <w:rPr>
          <w:rFonts w:hint="eastAsia"/>
          <w:sz w:val="28"/>
          <w:szCs w:val="28"/>
        </w:rPr>
        <w:t>20世纪80年代中后期至今，是我国塔式起重机的兴旺发展时期。20多年来，通过测绘、仿制、设计创新和技术引进，使得塔机 企业 在设计和制造技术、企业</w:t>
      </w:r>
      <w:r>
        <w:rPr>
          <w:rFonts w:hint="eastAsia"/>
          <w:sz w:val="28"/>
          <w:szCs w:val="28"/>
          <w:lang w:eastAsia="zh-CN"/>
        </w:rPr>
        <w:t>管理管控</w:t>
      </w:r>
      <w:r>
        <w:rPr>
          <w:rFonts w:hint="eastAsia"/>
          <w:sz w:val="28"/>
          <w:szCs w:val="28"/>
        </w:rPr>
        <w:t>和市场开拓等方面形成了一个较完整的体系。全国有300多个生产厂家中，取得生产许可证的就有230多家，年产量已经超过1万台，但产品结构极端不合理，上万台的产品型号不超过30种，且绝大多数大同小异。这其中一个重要原因是，上世纪80年代国家出台了一个产品型号分类标准，当初的目的是在于指导厂家规划产品，引导国内基础部件的配套发展，这虽然便于统一</w:t>
      </w:r>
      <w:r>
        <w:rPr>
          <w:rFonts w:hint="eastAsia"/>
          <w:sz w:val="28"/>
          <w:szCs w:val="28"/>
          <w:lang w:eastAsia="zh-CN"/>
        </w:rPr>
        <w:t>管理管控</w:t>
      </w:r>
      <w:r>
        <w:rPr>
          <w:rFonts w:hint="eastAsia"/>
          <w:sz w:val="28"/>
          <w:szCs w:val="28"/>
        </w:rPr>
        <w:t>，但却影响了塔机的技术进步。在发达国家，塔式起重机产品型号非常多，小到1吨米、大到5000吨米，市场需要什么就搞什么。而我们却在“同一型号”上重复着大同小异的工作，其结果只能是在市场上打得头破血流。比如塔机的生产，发达国家已研发出实现运行状态全参数监控与故障诊断智能化的智能型塔机，并已经开始批量生产，而我国目前还是空白。因此，对于建筑机械行业来说，也要具有开拓精神，要敢于冒风险，去尝试，去研发。</w:t>
      </w:r>
    </w:p>
    <w:p>
      <w:pPr>
        <w:pStyle w:val="Normal0"/>
        <w:spacing w:line="360" w:lineRule="auto"/>
        <w:ind w:firstLine="560" w:firstLineChars="200"/>
        <w:rPr>
          <w:rFonts w:hint="eastAsia"/>
          <w:sz w:val="28"/>
          <w:szCs w:val="28"/>
        </w:rPr>
      </w:pPr>
      <w:r>
        <w:rPr>
          <w:rFonts w:hint="eastAsia"/>
          <w:sz w:val="28"/>
          <w:szCs w:val="28"/>
        </w:rPr>
        <w:t>2.施工升降机</w:t>
      </w:r>
    </w:p>
    <w:p>
      <w:pPr>
        <w:pStyle w:val="Normal0"/>
        <w:spacing w:line="360" w:lineRule="auto"/>
        <w:ind w:firstLine="560" w:firstLineChars="200"/>
        <w:rPr>
          <w:rFonts w:hint="eastAsia"/>
          <w:sz w:val="28"/>
          <w:szCs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797" w:bottom="1440" w:left="1797" w:header="851" w:footer="992" w:gutter="0"/>
          <w:pgNumType w:start="15"/>
          <w:cols w:num="1" w:space="425"/>
          <w:titlePg w:val="0"/>
          <w:docGrid w:type="lines" w:linePitch="410" w:charSpace="0"/>
        </w:sectPr>
      </w:pPr>
      <w:r>
        <w:rPr>
          <w:rFonts w:hint="eastAsia"/>
          <w:sz w:val="28"/>
          <w:szCs w:val="28"/>
        </w:rPr>
        <w:t>施工升降机是高层、超高层建筑施工必不可少的设备。存在的</w:t>
      </w:r>
    </w:p>
    <w:p>
      <w:pPr>
        <w:pStyle w:val="Normal0"/>
        <w:spacing w:line="360" w:lineRule="auto"/>
        <w:ind w:firstLine="560" w:firstLineChars="200"/>
        <w:rPr>
          <w:rFonts w:hint="eastAsia"/>
          <w:sz w:val="28"/>
          <w:szCs w:val="28"/>
        </w:rPr>
      </w:pPr>
      <w:r>
        <w:rPr>
          <w:rFonts w:hint="eastAsia"/>
          <w:sz w:val="28"/>
          <w:szCs w:val="28"/>
        </w:rPr>
        <w:t xml:space="preserve"> 问题</w:t>
      </w:r>
      <w:r>
        <w:rPr>
          <w:rFonts w:hint="eastAsia"/>
          <w:sz w:val="28"/>
          <w:szCs w:val="28"/>
        </w:rPr>
        <w:t xml:space="preserve"> 与塔机基本相同。最主要的原因仍然是品种和性能问题。目前，我国生产的升降机品种不超过10种，90%以上是1或2吨级的产品，在激烈的市场竞争中，集中使用的“武器”就是降价。企业要想突破，必须靠技术创新。</w:t>
      </w:r>
    </w:p>
    <w:p>
      <w:pPr>
        <w:pStyle w:val="Normal0"/>
        <w:spacing w:before="205" w:beforeLines="50" w:after="205" w:afterLines="50" w:line="360" w:lineRule="auto"/>
        <w:rPr>
          <w:rFonts w:hint="eastAsia"/>
          <w:b/>
          <w:sz w:val="28"/>
          <w:szCs w:val="28"/>
        </w:rPr>
      </w:pPr>
      <w:r>
        <w:rPr>
          <w:rFonts w:hint="eastAsia"/>
          <w:b/>
          <w:sz w:val="28"/>
          <w:szCs w:val="28"/>
        </w:rPr>
        <w:t>3.1.2建机建材市场潜力巨大</w:t>
      </w:r>
    </w:p>
    <w:p>
      <w:pPr>
        <w:pStyle w:val="Normal0"/>
        <w:spacing w:line="360" w:lineRule="auto"/>
        <w:ind w:firstLine="560" w:firstLineChars="200"/>
        <w:rPr>
          <w:rFonts w:hint="eastAsia"/>
          <w:sz w:val="28"/>
          <w:szCs w:val="28"/>
        </w:rPr>
      </w:pPr>
      <w:r>
        <w:rPr>
          <w:rFonts w:hint="eastAsia"/>
          <w:sz w:val="28"/>
          <w:szCs w:val="28"/>
        </w:rPr>
        <w:t>根据国家有关部门的数据统计，到2011年，建筑机械总产值突破1000亿元人民币。我国建筑机械的发展道路基本有三种类型：一是引进合资；二是引进消化创新；三是借鉴国际先进经验，自主开发、创新。自主开发、创新不是简单的模仿别人的产品，而是必须要开发具有自主知识产权的产品。因此，就要建立和完善独立的研发体系，提高产品的设计和制造水平，这样才能赢得客户青睐，站稳市场。企业是开发、创新的主体，如今的很多企业都是由原先的科研院所转制而来，并且“转”得十分成功。经过转制，设计水平和制造水平有了明显提升，不仅保住了我国自己的市场，而且也使我们走出国门占领国际市场，变成了现实。这方面的例子很多，比如混凝土输送泵，以前，国外产品占据了我们的大部分市场，我们引进了以后，消化、吸收、创新、适用性上就优于进口产品了。在二次开发上， 中国 有中国的特点，有自己的国情，因此，要针对国情搞开发。如果引进了新技术，不针对国情进行二次开发，解决不了适用性问题，谁也不会要这样的“小姐泵”！</w:t>
      </w:r>
    </w:p>
    <w:p>
      <w:pPr>
        <w:pStyle w:val="Normal0"/>
        <w:spacing w:line="360" w:lineRule="auto"/>
        <w:ind w:firstLine="560" w:firstLineChars="200"/>
        <w:rPr>
          <w:rFonts w:hint="eastAsia"/>
          <w:sz w:val="28"/>
          <w:szCs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797" w:bottom="1440" w:left="1797" w:header="851" w:footer="992" w:gutter="0"/>
          <w:pgNumType w:start="16"/>
          <w:cols w:num="1" w:space="425"/>
          <w:titlePg w:val="0"/>
          <w:docGrid w:type="lines" w:linePitch="410" w:charSpace="0"/>
        </w:sectPr>
      </w:pPr>
    </w:p>
    <w:p>
      <w:pPr>
        <w:pStyle w:val="Normal0"/>
        <w:spacing w:line="360" w:lineRule="auto"/>
        <w:ind w:firstLine="560" w:firstLineChars="200"/>
        <w:rPr>
          <w:rFonts w:hint="eastAsia"/>
          <w:sz w:val="28"/>
          <w:szCs w:val="28"/>
        </w:rPr>
      </w:pPr>
      <w:r>
        <w:rPr>
          <w:rFonts w:hint="eastAsia"/>
          <w:sz w:val="28"/>
          <w:szCs w:val="28"/>
        </w:rPr>
        <w:t>2005年10月，美国先锋公司的登机梯在三峡出了死人事故，三峡同时也使用我们自己的登机梯，现场还有国际名牌ALIMAK的登机梯，不到两年，传动和安全装置都坏了，我们的几台没毛病。这其中主要的原因就是他们不了解我们的国情，他们不知道我们的</w:t>
      </w:r>
      <w:r>
        <w:rPr>
          <w:rFonts w:hint="eastAsia"/>
          <w:sz w:val="28"/>
          <w:szCs w:val="28"/>
          <w:lang w:eastAsia="zh-CN"/>
        </w:rPr>
        <w:t>管理管控</w:t>
      </w:r>
      <w:r>
        <w:rPr>
          <w:rFonts w:hint="eastAsia"/>
          <w:sz w:val="28"/>
          <w:szCs w:val="28"/>
        </w:rPr>
        <w:t>和人员素质。所以，二次开发重点要解决适用性问题。三峡购进的日本搅拌楼总出故障，日本专家伤透了脑筋，原来是中国的电网电压不稳造成的，最后通过中国专家研究，加个稳压器全解决了。这些例子说明了开发和创新的重要性，而且开发一定要有创新，要解决实际问题。总之，自改革开放至今，中国的建筑机械行业成绩很大。尤其是塔机的生产，已经基本满足了建设的需要，并且已有部分产品打入了国际市场。将已有自主知识产权的产品，配用国际最好的配套件，打造我们自己的品牌，并以我们的低价优势，保住我们自己的市场，实践证明，是完全可行的。</w:t>
      </w:r>
    </w:p>
    <w:p>
      <w:pPr>
        <w:pStyle w:val="Heading2"/>
        <w:spacing w:before="205" w:beforeLines="50" w:after="205" w:afterLines="50" w:line="360" w:lineRule="auto"/>
        <w:rPr>
          <w:rFonts w:ascii="Times New Roman" w:hAnsi="Times New Roman" w:hint="eastAsia"/>
          <w:b w:val="0"/>
        </w:rPr>
      </w:pPr>
      <w:bookmarkStart w:id="15" w:name="_Toc353747187"/>
      <w:r>
        <w:rPr>
          <w:rFonts w:ascii="Times New Roman" w:hAnsi="Times New Roman"/>
          <w:b w:val="0"/>
        </w:rPr>
        <w:t>3.2</w:t>
      </w:r>
      <w:r>
        <w:rPr>
          <w:rFonts w:ascii="Times New Roman" w:hAnsi="Times New Roman" w:hint="eastAsia"/>
          <w:b w:val="0"/>
        </w:rPr>
        <w:t>建机市场分析</w:t>
      </w:r>
      <w:bookmarkEnd w:id="15"/>
    </w:p>
    <w:p>
      <w:pPr>
        <w:pStyle w:val="Normal0"/>
        <w:spacing w:before="205" w:beforeLines="50" w:after="205" w:afterLines="50" w:line="360" w:lineRule="auto"/>
        <w:rPr>
          <w:rFonts w:hint="eastAsia"/>
          <w:b/>
          <w:sz w:val="28"/>
          <w:szCs w:val="28"/>
        </w:rPr>
      </w:pPr>
      <w:r>
        <w:rPr>
          <w:rFonts w:hint="eastAsia"/>
          <w:b/>
          <w:sz w:val="28"/>
          <w:szCs w:val="28"/>
        </w:rPr>
        <w:t>3.2.1建筑工程机械行业</w:t>
      </w:r>
    </w:p>
    <w:p>
      <w:pPr>
        <w:pStyle w:val="Normal0"/>
        <w:spacing w:line="360" w:lineRule="auto"/>
        <w:ind w:firstLine="560" w:firstLineChars="200"/>
        <w:rPr>
          <w:rFonts w:hint="eastAsia"/>
          <w:sz w:val="28"/>
          <w:szCs w:val="28"/>
        </w:rPr>
      </w:pPr>
      <w:r>
        <w:rPr>
          <w:rFonts w:hint="eastAsia"/>
          <w:sz w:val="28"/>
          <w:szCs w:val="28"/>
        </w:rPr>
        <w:t>受国际金融危机，2010年年初，工程机械受影响很大，从2008年上半年的高速增长到急聚下滑，2010年初降到谷底。由于应对经济危机。国务院确定的进一步扩大内需。促进经济增长的十项措施，对于建筑工程机械复苏起到了关键性作用。</w:t>
      </w:r>
    </w:p>
    <w:p>
      <w:pPr>
        <w:pStyle w:val="Normal0"/>
        <w:spacing w:line="360" w:lineRule="auto"/>
        <w:ind w:firstLine="560" w:firstLineChars="200"/>
        <w:rPr>
          <w:rFonts w:hint="eastAsia"/>
          <w:sz w:val="28"/>
          <w:szCs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797" w:bottom="1440" w:left="1797" w:header="851" w:footer="992" w:gutter="0"/>
          <w:pgNumType w:start="17"/>
          <w:cols w:num="1" w:space="425"/>
          <w:titlePg w:val="0"/>
          <w:docGrid w:type="lines" w:linePitch="410" w:charSpace="0"/>
        </w:sectPr>
      </w:pPr>
      <w:r>
        <w:rPr>
          <w:rFonts w:hint="eastAsia"/>
          <w:sz w:val="28"/>
          <w:szCs w:val="28"/>
        </w:rPr>
        <w:t>2010年生产形势从年初底谷逐步回升，全年有12%左右的增长，从对铲运机械、工程起重机、工业车辆、路面机械等行业1-11月的增长情况分析，从同比50．4%逐渐上升到与2009年11 月持平，加入混凝土机械的统计数据到11月底同比增长17.1%。</w:t>
      </w:r>
    </w:p>
    <w:p>
      <w:pPr>
        <w:pStyle w:val="Normal0"/>
        <w:jc w:val="center"/>
        <w:rPr>
          <w:rFonts w:hint="eastAsia"/>
          <w:b/>
          <w:sz w:val="24"/>
          <w:szCs w:val="28"/>
        </w:rPr>
      </w:pPr>
      <w:r>
        <w:rPr>
          <w:rFonts w:hint="eastAsia"/>
          <w:b/>
          <w:sz w:val="24"/>
          <w:szCs w:val="28"/>
        </w:rPr>
        <w:t>表3-1  2010年1～11工程机械销售收入与主要产品销量增长表</w:t>
      </w:r>
    </w:p>
    <w:p>
      <w:pPr>
        <w:pStyle w:val="Normal0"/>
        <w:rPr>
          <w:rFonts w:hint="eastAsia"/>
          <w:b/>
          <w:sz w:val="24"/>
          <w:szCs w:val="28"/>
        </w:rPr>
      </w:pPr>
      <w:r>
        <w:rPr>
          <w:rFonts w:hint="eastAsia"/>
          <w:b/>
          <w:sz w:val="24"/>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161.1pt" coordsize="21600,21600" o:preferrelative="t" filled="f" stroked="f">
            <v:stroke joinstyle="miter"/>
            <v:imagedata r:id="rId130" o:title=""/>
            <o:lock v:ext="edit" aspectratio="t"/>
            <w10:anchorlock/>
          </v:shape>
        </w:pict>
      </w:r>
    </w:p>
    <w:p>
      <w:pPr>
        <w:pStyle w:val="Normal0"/>
        <w:spacing w:line="360" w:lineRule="auto"/>
        <w:ind w:firstLine="560" w:firstLineChars="200"/>
        <w:rPr>
          <w:rFonts w:hint="eastAsia"/>
          <w:sz w:val="28"/>
          <w:szCs w:val="28"/>
        </w:rPr>
      </w:pPr>
      <w:r>
        <w:rPr>
          <w:rFonts w:hint="eastAsia"/>
          <w:sz w:val="28"/>
          <w:szCs w:val="28"/>
        </w:rPr>
        <w:t>工程机械内由于市场需求不同．增长情况有明显差异：铲运机械(含推土机、装载机 平地机)工业车辆仍为负增长。工程起重机、路面机械、混凝土机械、挖掘机有较高的增幅 主要是由高铁、公路等需求带动。</w:t>
      </w:r>
    </w:p>
    <w:p>
      <w:pPr>
        <w:pStyle w:val="Normal0"/>
        <w:spacing w:line="360" w:lineRule="auto"/>
        <w:ind w:firstLine="560" w:firstLineChars="200"/>
        <w:rPr>
          <w:rFonts w:hint="eastAsia"/>
          <w:sz w:val="28"/>
          <w:szCs w:val="28"/>
        </w:rPr>
      </w:pPr>
      <w:r>
        <w:rPr>
          <w:rFonts w:hint="eastAsia"/>
          <w:sz w:val="28"/>
          <w:szCs w:val="28"/>
        </w:rPr>
        <w:t>2010年11月底进口累计45.17 亿美元，同比下降17.3%；出口68.71美元。同比下降44.7%全年出口额75亿美元，出口占总销售额从2009年的33%下降至2010年的16.5%。今年增长较低。主要是受出口的影响，4 万亿的扩大内需还是起到了积极的作用。今年的增长确实是由内需带动的。</w:t>
      </w:r>
    </w:p>
    <w:p>
      <w:pPr>
        <w:pStyle w:val="Normal0"/>
        <w:spacing w:line="360" w:lineRule="auto"/>
        <w:ind w:firstLine="560" w:firstLineChars="200"/>
        <w:rPr>
          <w:rFonts w:hint="eastAsia"/>
          <w:sz w:val="28"/>
          <w:szCs w:val="28"/>
        </w:rPr>
      </w:pPr>
    </w:p>
    <w:p>
      <w:pPr>
        <w:pStyle w:val="Normal0"/>
        <w:spacing w:line="360" w:lineRule="auto"/>
        <w:ind w:firstLine="560" w:firstLineChars="200"/>
        <w:rPr>
          <w:rFonts w:hint="eastAsia"/>
          <w:sz w:val="28"/>
          <w:szCs w:val="28"/>
        </w:rPr>
      </w:pPr>
    </w:p>
    <w:p>
      <w:pPr>
        <w:pStyle w:val="Normal0"/>
        <w:spacing w:line="360" w:lineRule="auto"/>
        <w:ind w:firstLine="560" w:firstLineChars="200"/>
        <w:rPr>
          <w:rFonts w:hint="eastAsia"/>
          <w:sz w:val="28"/>
          <w:szCs w:val="28"/>
        </w:rPr>
      </w:pPr>
    </w:p>
    <w:p>
      <w:pPr>
        <w:pStyle w:val="Normal0"/>
        <w:spacing w:line="360" w:lineRule="auto"/>
        <w:ind w:firstLine="560" w:firstLineChars="200"/>
        <w:rPr>
          <w:rFonts w:hint="eastAsia"/>
          <w:sz w:val="28"/>
          <w:szCs w:val="28"/>
        </w:rPr>
      </w:pPr>
    </w:p>
    <w:p>
      <w:pPr>
        <w:pStyle w:val="Normal0"/>
        <w:spacing w:line="360" w:lineRule="auto"/>
        <w:ind w:firstLine="560" w:firstLineChars="200"/>
        <w:rPr>
          <w:rFonts w:hint="eastAsia"/>
          <w:sz w:val="28"/>
          <w:szCs w:val="28"/>
        </w:rPr>
      </w:pPr>
    </w:p>
    <w:p>
      <w:pPr>
        <w:pStyle w:val="Normal0"/>
        <w:spacing w:line="360" w:lineRule="auto"/>
        <w:ind w:firstLine="560" w:firstLineChars="200"/>
        <w:rPr>
          <w:rFonts w:hint="eastAsia"/>
          <w:sz w:val="28"/>
          <w:szCs w:val="28"/>
        </w:rPr>
      </w:pPr>
    </w:p>
    <w:p>
      <w:pPr>
        <w:pStyle w:val="Normal0"/>
        <w:spacing w:line="360" w:lineRule="auto"/>
        <w:ind w:firstLine="560" w:firstLineChars="200"/>
        <w:rPr>
          <w:rFonts w:hint="eastAsia"/>
          <w:sz w:val="28"/>
          <w:szCs w:val="28"/>
        </w:rPr>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797" w:bottom="1440" w:left="1797" w:header="851" w:footer="992" w:gutter="0"/>
          <w:pgNumType w:start="18"/>
          <w:cols w:num="1" w:space="425"/>
          <w:titlePg w:val="0"/>
          <w:docGrid w:type="lines" w:linePitch="410" w:charSpace="0"/>
        </w:sectPr>
      </w:pPr>
    </w:p>
    <w:p>
      <w:pPr>
        <w:pStyle w:val="Normal0"/>
        <w:spacing w:line="360" w:lineRule="auto"/>
        <w:jc w:val="center"/>
        <w:rPr>
          <w:rFonts w:hint="eastAsia"/>
          <w:b/>
          <w:sz w:val="24"/>
          <w:szCs w:val="28"/>
        </w:rPr>
      </w:pPr>
      <w:r>
        <w:rPr>
          <w:rFonts w:hint="eastAsia"/>
          <w:b/>
          <w:sz w:val="24"/>
          <w:szCs w:val="28"/>
        </w:rPr>
        <w:t>表3-2  2010年11月底各类产品增长情况表</w:t>
      </w:r>
    </w:p>
    <w:p>
      <w:pPr>
        <w:pStyle w:val="Normal0"/>
        <w:spacing w:line="360" w:lineRule="auto"/>
        <w:rPr>
          <w:rFonts w:hint="eastAsia"/>
          <w:sz w:val="28"/>
          <w:szCs w:val="28"/>
        </w:rPr>
      </w:pPr>
      <w:r>
        <w:rPr>
          <w:rFonts w:hint="eastAsia"/>
          <w:sz w:val="28"/>
          <w:szCs w:val="28"/>
        </w:rPr>
        <w:pict>
          <v:shape id="_x0000_i1026" type="#_x0000_t75" style="width:415.45pt;height:229.1pt" coordsize="21600,21600" o:preferrelative="t" filled="f" stroked="f">
            <v:stroke joinstyle="miter"/>
            <v:imagedata r:id="rId137" o:title=""/>
            <o:lock v:ext="edit" aspectratio="t"/>
            <w10:anchorlock/>
          </v:shape>
        </w:pict>
      </w:r>
    </w:p>
    <w:p>
      <w:pPr>
        <w:pStyle w:val="Normal0"/>
        <w:spacing w:line="360" w:lineRule="auto"/>
        <w:jc w:val="center"/>
        <w:rPr>
          <w:rFonts w:hint="eastAsia"/>
          <w:b/>
          <w:sz w:val="24"/>
          <w:szCs w:val="28"/>
        </w:rPr>
      </w:pPr>
      <w:r>
        <w:rPr>
          <w:rFonts w:hint="eastAsia"/>
          <w:b/>
          <w:sz w:val="24"/>
          <w:szCs w:val="28"/>
        </w:rPr>
        <w:t>图3-1  2010年营收细分</w:t>
      </w:r>
    </w:p>
    <w:p>
      <w:pPr>
        <w:pStyle w:val="Normal0"/>
        <w:spacing w:line="360" w:lineRule="auto"/>
        <w:rPr>
          <w:rFonts w:hint="eastAsia"/>
          <w:sz w:val="28"/>
          <w:szCs w:val="28"/>
        </w:rPr>
      </w:pPr>
      <w:r>
        <w:rPr>
          <w:rFonts w:hint="eastAsia"/>
          <w:sz w:val="28"/>
          <w:szCs w:val="28"/>
        </w:rPr>
        <w:pict>
          <v:shape id="_x0000_i1027" type="#_x0000_t75" style="width:415.35pt;height:151.25pt" coordsize="21600,21600" o:preferrelative="t" filled="f" stroked="f">
            <v:stroke joinstyle="miter"/>
            <v:imagedata r:id="rId138" o:title=""/>
            <o:lock v:ext="edit" aspectratio="t"/>
            <w10:anchorlock/>
          </v:shape>
        </w:pict>
      </w:r>
    </w:p>
    <w:p>
      <w:pPr>
        <w:pStyle w:val="Normal0"/>
        <w:spacing w:before="205" w:beforeLines="50" w:after="205" w:afterLines="50" w:line="360" w:lineRule="auto"/>
        <w:rPr>
          <w:rFonts w:hint="eastAsia"/>
          <w:b/>
          <w:sz w:val="28"/>
          <w:szCs w:val="28"/>
        </w:rPr>
      </w:pPr>
      <w:r>
        <w:rPr>
          <w:rFonts w:hint="eastAsia"/>
          <w:b/>
          <w:sz w:val="28"/>
          <w:szCs w:val="28"/>
        </w:rPr>
        <w:t>3.2.2相关产业分析</w:t>
      </w:r>
    </w:p>
    <w:p>
      <w:pPr>
        <w:pStyle w:val="Normal0"/>
        <w:spacing w:line="360" w:lineRule="auto"/>
        <w:ind w:firstLine="560" w:firstLineChars="200"/>
        <w:rPr>
          <w:rFonts w:hint="eastAsia"/>
          <w:sz w:val="28"/>
          <w:szCs w:val="28"/>
        </w:rPr>
      </w:pPr>
      <w:r>
        <w:rPr>
          <w:rFonts w:hint="eastAsia"/>
          <w:sz w:val="28"/>
          <w:szCs w:val="28"/>
        </w:rPr>
        <w:t>2009年，在政府相关部门的大力监管及指导下，以及受季节性因素影响，2、3季度钢铁产量快速增长态势在4季度得到遏制，生铁、粗钢产量有所回落，但主要钢铁产品全年产量均创下历史新高。</w:t>
      </w:r>
    </w:p>
    <w:p>
      <w:pPr>
        <w:pStyle w:val="Normal0"/>
        <w:spacing w:line="360" w:lineRule="auto"/>
        <w:ind w:firstLine="560" w:firstLineChars="200"/>
        <w:rPr>
          <w:rFonts w:hint="eastAsia"/>
          <w:sz w:val="28"/>
          <w:szCs w:val="28"/>
        </w:rPr>
        <w:sectPr>
          <w:headerReference w:type="even" r:id="rId139"/>
          <w:headerReference w:type="default" r:id="rId140"/>
          <w:footerReference w:type="even" r:id="rId141"/>
          <w:footerReference w:type="default" r:id="rId142"/>
          <w:headerReference w:type="first" r:id="rId143"/>
          <w:footerReference w:type="first" r:id="rId144"/>
          <w:type w:val="nextPage"/>
          <w:pgSz w:w="11906" w:h="16838"/>
          <w:pgMar w:top="1440" w:right="1797" w:bottom="1440" w:left="1797" w:header="851" w:footer="992" w:gutter="0"/>
          <w:pgNumType w:start="19"/>
          <w:cols w:num="1" w:space="425"/>
          <w:titlePg w:val="0"/>
          <w:docGrid w:type="lines" w:linePitch="410" w:charSpace="0"/>
        </w:sectPr>
      </w:pPr>
      <w:r>
        <w:rPr>
          <w:rFonts w:hint="eastAsia"/>
          <w:sz w:val="28"/>
          <w:szCs w:val="28"/>
        </w:rPr>
        <w:t>分产品看，全年生铁产量为54374.8</w:t>
      </w:r>
    </w:p>
    <w:p>
      <w:pPr>
        <w:pStyle w:val="Normal0"/>
        <w:spacing w:line="360" w:lineRule="auto"/>
        <w:ind w:firstLine="560" w:firstLineChars="200"/>
        <w:rPr>
          <w:rFonts w:hint="eastAsia"/>
          <w:sz w:val="28"/>
          <w:szCs w:val="28"/>
        </w:rPr>
      </w:pPr>
      <w:r>
        <w:rPr>
          <w:rFonts w:hint="eastAsia"/>
          <w:sz w:val="28"/>
          <w:szCs w:val="28"/>
        </w:rPr>
        <w:t xml:space="preserve"> 万吨，较上年增长15.87%，为历史最高生铁年产量。进入第4季度，生铁产量在10月份达到年内次高点后，11月、12月两月连续回落。12月份生铁产量已降至4472.33万吨，属于年内月产量中低水平，但高于上年单月最高产量（4339.13万吨）。第4季度共计生产生铁13881.4万吨，较上一季度减少869.7万吨，环比降幅为5.90%，但同比大幅增长33.55%。</w:t>
      </w:r>
    </w:p>
    <w:p>
      <w:pPr>
        <w:pStyle w:val="Normal0"/>
        <w:spacing w:before="205" w:beforeLines="50" w:after="205" w:afterLines="50" w:line="360" w:lineRule="auto"/>
        <w:rPr>
          <w:rFonts w:hint="eastAsia"/>
          <w:b/>
          <w:sz w:val="28"/>
          <w:szCs w:val="28"/>
        </w:rPr>
      </w:pPr>
      <w:r>
        <w:rPr>
          <w:rFonts w:hint="eastAsia"/>
          <w:b/>
          <w:sz w:val="28"/>
          <w:szCs w:val="28"/>
        </w:rPr>
        <w:t>3.2.3国际市场分析</w:t>
      </w:r>
    </w:p>
    <w:p>
      <w:pPr>
        <w:pStyle w:val="Normal0"/>
        <w:spacing w:line="360" w:lineRule="auto"/>
        <w:ind w:firstLine="560" w:firstLineChars="200"/>
        <w:rPr>
          <w:rFonts w:hint="eastAsia"/>
          <w:sz w:val="28"/>
          <w:szCs w:val="28"/>
        </w:rPr>
      </w:pPr>
      <w:r>
        <w:rPr>
          <w:rFonts w:hint="eastAsia"/>
          <w:sz w:val="28"/>
          <w:szCs w:val="28"/>
        </w:rPr>
        <w:t>全球工程机械行业的产销重心正在向中国转移，国外企业着手进行跨国扩张的本土化，国内企业则面临着国际化的课题，新一轮的竞争拉开了序幕。</w:t>
      </w:r>
    </w:p>
    <w:p>
      <w:pPr>
        <w:pStyle w:val="Normal0"/>
        <w:spacing w:line="360" w:lineRule="auto"/>
        <w:ind w:firstLine="560" w:firstLineChars="200"/>
        <w:rPr>
          <w:rFonts w:hint="eastAsia"/>
          <w:sz w:val="28"/>
          <w:szCs w:val="28"/>
        </w:rPr>
      </w:pPr>
      <w:r>
        <w:rPr>
          <w:rFonts w:hint="eastAsia"/>
          <w:sz w:val="28"/>
          <w:szCs w:val="28"/>
        </w:rPr>
        <w:t>在近日召开的BAUMACHI-NA2008(上海宝马展)暨第四届中国国际工程机械博览会上，业界谈论最多的是国家出台扩大内需的十项措施，总投资4 万亿元成为谈论的焦点。在4 万亿元“大蛋糕”的刺激下，利勃海尔、沃尔沃、维特根、普茨迈斯特、小松、日立建机、斗山、现代等国际工程机械巨头纷纷抢滩上海宝马展。</w:t>
      </w:r>
    </w:p>
    <w:p>
      <w:pPr>
        <w:pStyle w:val="Normal0"/>
        <w:spacing w:line="360" w:lineRule="auto"/>
        <w:ind w:firstLine="560" w:firstLineChars="200"/>
        <w:rPr>
          <w:rFonts w:hint="eastAsia"/>
          <w:sz w:val="28"/>
          <w:szCs w:val="28"/>
        </w:rPr>
      </w:pPr>
      <w:r>
        <w:rPr>
          <w:rFonts w:hint="eastAsia"/>
          <w:sz w:val="28"/>
          <w:szCs w:val="28"/>
        </w:rPr>
        <w:t>面对日渐看好的中国市场，国际著名的工程机械设备制造商纷纷在中国设立了销售办事机构。目前，如德国的边宁荷夫、阿曼(AM-MANN)、日本的日工(NIKKO)和英国的GEN-COR(原ACP公司)等公司都已在中国设立了办事处。有些企业甚至已经在中国直接投资建厂，如意大利的玛连尼(Marini)和加拿大的加隆(CA-LONG)公司就在河北建厂，就地制造、销售设备。</w:t>
      </w:r>
    </w:p>
    <w:p>
      <w:pPr>
        <w:pStyle w:val="Normal0"/>
        <w:spacing w:line="360" w:lineRule="auto"/>
        <w:ind w:firstLine="560" w:firstLineChars="200"/>
        <w:rPr>
          <w:rFonts w:hint="eastAsia"/>
          <w:sz w:val="28"/>
          <w:szCs w:val="28"/>
        </w:rPr>
        <w:sectPr>
          <w:headerReference w:type="even" r:id="rId145"/>
          <w:headerReference w:type="default" r:id="rId146"/>
          <w:footerReference w:type="even" r:id="rId147"/>
          <w:footerReference w:type="default" r:id="rId148"/>
          <w:headerReference w:type="first" r:id="rId149"/>
          <w:footerReference w:type="first" r:id="rId150"/>
          <w:type w:val="nextPage"/>
          <w:pgSz w:w="11906" w:h="16838"/>
          <w:pgMar w:top="1440" w:right="1797" w:bottom="1440" w:left="1797" w:header="851" w:footer="992" w:gutter="0"/>
          <w:pgNumType w:start="20"/>
          <w:cols w:num="1" w:space="425"/>
          <w:titlePg w:val="0"/>
          <w:docGrid w:type="lines" w:linePitch="410" w:charSpace="0"/>
        </w:sectPr>
      </w:pPr>
      <w:r>
        <w:rPr>
          <w:rFonts w:hint="eastAsia"/>
          <w:sz w:val="28"/>
          <w:szCs w:val="28"/>
        </w:rPr>
        <w:t>在全球工程机械市场火热的发展态势下，预计其会以每年6％的速度持续增长，到2013年销售额将达1310</w:t>
      </w:r>
    </w:p>
    <w:p>
      <w:pPr>
        <w:pStyle w:val="Normal0"/>
        <w:spacing w:line="360" w:lineRule="auto"/>
        <w:ind w:firstLine="560" w:firstLineChars="200"/>
        <w:rPr>
          <w:rFonts w:hint="eastAsia"/>
          <w:sz w:val="28"/>
          <w:szCs w:val="28"/>
        </w:rPr>
      </w:pPr>
      <w:r>
        <w:rPr>
          <w:rFonts w:hint="eastAsia"/>
          <w:sz w:val="28"/>
          <w:szCs w:val="28"/>
        </w:rPr>
        <w:t xml:space="preserve"> 亿美元。其中，中国、印度、墨西哥和俄罗斯将成为全球需求量最高的国家，而仅中国就将占去41％的全球市场份额；伊朗、马来群岛、印尼、乌克兰等国家和地区预计将保持7％的增长速度；亚太地区增速最高，有望达到8．5％，销售额为477亿美元；北美和欧洲预计增速为4.1％和4.2％，销售额分别为393亿美元和244亿美元；全球其他地区预计增速为6.9％，销售额为197亿美元。</w:t>
      </w:r>
    </w:p>
    <w:p>
      <w:pPr>
        <w:pStyle w:val="Normal0"/>
        <w:spacing w:before="205" w:beforeLines="50" w:after="205" w:afterLines="50" w:line="360" w:lineRule="auto"/>
        <w:rPr>
          <w:rFonts w:hint="eastAsia"/>
          <w:b/>
          <w:sz w:val="28"/>
          <w:szCs w:val="28"/>
        </w:rPr>
      </w:pPr>
      <w:r>
        <w:rPr>
          <w:rFonts w:hint="eastAsia"/>
          <w:b/>
          <w:sz w:val="28"/>
          <w:szCs w:val="28"/>
        </w:rPr>
        <w:t>3.2.4国内市场分析</w:t>
      </w:r>
    </w:p>
    <w:p>
      <w:pPr>
        <w:pStyle w:val="Normal0"/>
        <w:spacing w:line="360" w:lineRule="auto"/>
        <w:ind w:firstLine="560" w:firstLineChars="200"/>
        <w:rPr>
          <w:rFonts w:hint="eastAsia"/>
          <w:sz w:val="28"/>
          <w:szCs w:val="28"/>
        </w:rPr>
      </w:pPr>
      <w:r>
        <w:rPr>
          <w:rFonts w:hint="eastAsia"/>
          <w:sz w:val="28"/>
          <w:szCs w:val="28"/>
        </w:rPr>
        <w:t>由于工程机械行业受固定资产投资影响较大，而我国“十二五规划”以及现行政策将推动固定资产投资的增长，从而刺激行业的发展。宽松的货币政策将刺激经济的发展，由于金融危机不断深入，实体经济的问题亦不断显现，致使现阶段我国以及周边国家都已进入降息周期。国家不断使用各种货币工具推动经济发展，这必然会刺激需求的大幅上升。企业在低利率的环境下会选择以较低的成本进行各类固定投资，从而带动工程机械行业的整体需求。</w:t>
      </w:r>
    </w:p>
    <w:p>
      <w:pPr>
        <w:pStyle w:val="Normal0"/>
        <w:spacing w:line="360" w:lineRule="auto"/>
        <w:ind w:firstLine="560" w:firstLineChars="200"/>
        <w:rPr>
          <w:sz w:val="28"/>
          <w:szCs w:val="28"/>
        </w:rPr>
      </w:pPr>
      <w:r>
        <w:rPr>
          <w:rFonts w:hint="eastAsia"/>
          <w:sz w:val="28"/>
          <w:szCs w:val="28"/>
        </w:rPr>
        <w:t>另外随着国内宏观调控有效的实施，主要经济指标都表明通胀已有下滑的趋势，并将导致国内电价、油价等走低，届时信贷放松将成为顺理成章之举。这必然会推动我国固定投资的增长，从而拉动工程机械行业的发展。</w:t>
      </w:r>
    </w:p>
    <w:p>
      <w:pPr>
        <w:pStyle w:val="Heading2"/>
        <w:spacing w:before="205" w:beforeLines="50" w:after="205" w:afterLines="50" w:line="360" w:lineRule="auto"/>
        <w:rPr>
          <w:rFonts w:ascii="Times New Roman" w:hAnsi="Times New Roman" w:hint="eastAsia"/>
          <w:b w:val="0"/>
        </w:rPr>
      </w:pPr>
      <w:bookmarkStart w:id="16" w:name="_Toc353747188"/>
      <w:r>
        <w:rPr>
          <w:rFonts w:ascii="Times New Roman" w:hAnsi="Times New Roman"/>
          <w:b w:val="0"/>
        </w:rPr>
        <w:t>3.</w:t>
      </w:r>
      <w:r>
        <w:rPr>
          <w:rFonts w:ascii="Times New Roman" w:hAnsi="Times New Roman" w:hint="eastAsia"/>
          <w:b w:val="0"/>
        </w:rPr>
        <w:t>3建材市场分析</w:t>
      </w:r>
      <w:bookmarkEnd w:id="14"/>
      <w:bookmarkEnd w:id="16"/>
    </w:p>
    <w:p>
      <w:pPr>
        <w:pStyle w:val="Normal0"/>
        <w:spacing w:before="205" w:beforeLines="50" w:after="205" w:afterLines="50" w:line="360" w:lineRule="auto"/>
        <w:rPr>
          <w:rFonts w:hint="eastAsia"/>
          <w:b/>
          <w:sz w:val="28"/>
          <w:szCs w:val="28"/>
        </w:rPr>
      </w:pPr>
      <w:r>
        <w:rPr>
          <w:rFonts w:hint="eastAsia"/>
          <w:b/>
          <w:sz w:val="28"/>
          <w:szCs w:val="28"/>
        </w:rPr>
        <w:t>3.2.1建材工业发展</w:t>
      </w:r>
    </w:p>
    <w:p>
      <w:pPr>
        <w:pStyle w:val="Normal0"/>
        <w:spacing w:line="360" w:lineRule="auto"/>
        <w:ind w:firstLine="560" w:firstLineChars="200"/>
        <w:rPr>
          <w:rFonts w:hint="eastAsia"/>
          <w:sz w:val="28"/>
          <w:szCs w:val="28"/>
        </w:rPr>
        <w:sectPr>
          <w:headerReference w:type="even" r:id="rId151"/>
          <w:headerReference w:type="default" r:id="rId152"/>
          <w:footerReference w:type="even" r:id="rId153"/>
          <w:footerReference w:type="default" r:id="rId154"/>
          <w:headerReference w:type="first" r:id="rId155"/>
          <w:footerReference w:type="first" r:id="rId156"/>
          <w:type w:val="nextPage"/>
          <w:pgSz w:w="11906" w:h="16838"/>
          <w:pgMar w:top="1440" w:right="1797" w:bottom="1440" w:left="1797" w:header="851" w:footer="992" w:gutter="0"/>
          <w:pgNumType w:start="21"/>
          <w:cols w:num="1" w:space="425"/>
          <w:titlePg w:val="0"/>
          <w:docGrid w:type="lines" w:linePitch="410" w:charSpace="0"/>
        </w:sectPr>
      </w:pPr>
    </w:p>
    <w:p>
      <w:pPr>
        <w:pStyle w:val="Normal0"/>
        <w:spacing w:line="360" w:lineRule="auto"/>
        <w:ind w:firstLine="560" w:firstLineChars="200"/>
        <w:rPr>
          <w:rFonts w:hint="eastAsia"/>
          <w:sz w:val="28"/>
          <w:szCs w:val="28"/>
        </w:rPr>
      </w:pPr>
      <w:r>
        <w:rPr>
          <w:rFonts w:hint="eastAsia"/>
          <w:sz w:val="28"/>
          <w:szCs w:val="28"/>
        </w:rPr>
        <w:t>2013年建材工业将向又好又快方向发展。预计建材工业增加值增长速度32%；水泥产量18.7亿吨，增长8%；平板玻璃产量6亿重量箱，增长15%。水泥制品、技术玻璃、玻璃纤维及制品、轻质建材等产品产量继续保持较快增长，产业结构继续优化，主要行业先进生产力比重继续提高。水泥新型干法工艺比例可望达到56%，浮法玻璃比例达到85%。</w:t>
      </w:r>
    </w:p>
    <w:p>
      <w:pPr>
        <w:pStyle w:val="Normal0"/>
        <w:spacing w:line="360" w:lineRule="auto"/>
        <w:ind w:firstLine="560" w:firstLineChars="200"/>
        <w:rPr>
          <w:rFonts w:hint="eastAsia"/>
          <w:sz w:val="28"/>
          <w:szCs w:val="28"/>
        </w:rPr>
      </w:pPr>
      <w:r>
        <w:rPr>
          <w:rFonts w:hint="eastAsia"/>
          <w:sz w:val="28"/>
          <w:szCs w:val="28"/>
        </w:rPr>
        <w:t>2013年建材行业的三大发展重点：着力推进技术进步和自主创新，加快产业结构调整，加快用先进生产力取代落后生产力；以节能减排为中心，大力发展循环经济，努力实现又好又快发展；加快产品升级换代，节约能源资源。近两年我国对部分建材产品出口退税调整幅度较大，企业还需有一个消化吸收的过程，但从长远来看，调整出口退税，有助于促进资源的合理配置和产品结构调整，提升质量档次，出口退税率降低带来的影响可以逐步消化。建材行业作为高耗能行业，其过热和不平衡发展，加大了节能减排任务实现的难度。建材行业落后生产能力依然较多，加快推进淘汰落后产能的工作面临很多挑战。加之建材行业企业分散的格局，企业规模小、数量多，集中度很低，结构不平衡问题严重。过于分散的行业结构和异常激烈的市场竞争导致总体产能过剩。这些问题的存在阻碍了我国建材行业的健康发展。</w:t>
      </w:r>
    </w:p>
    <w:p>
      <w:pPr>
        <w:pStyle w:val="Normal0"/>
        <w:spacing w:line="360" w:lineRule="auto"/>
        <w:ind w:firstLine="560" w:firstLineChars="200"/>
        <w:rPr>
          <w:rFonts w:hint="eastAsia"/>
          <w:sz w:val="28"/>
          <w:szCs w:val="28"/>
        </w:rPr>
        <w:sectPr>
          <w:headerReference w:type="even" r:id="rId157"/>
          <w:headerReference w:type="default" r:id="rId158"/>
          <w:footerReference w:type="even" r:id="rId159"/>
          <w:footerReference w:type="default" r:id="rId160"/>
          <w:headerReference w:type="first" r:id="rId161"/>
          <w:footerReference w:type="first" r:id="rId162"/>
          <w:type w:val="nextPage"/>
          <w:pgSz w:w="11906" w:h="16838"/>
          <w:pgMar w:top="1440" w:right="1797" w:bottom="1440" w:left="1797" w:header="851" w:footer="992" w:gutter="0"/>
          <w:pgNumType w:start="22"/>
          <w:cols w:num="1" w:space="425"/>
          <w:titlePg w:val="0"/>
          <w:docGrid w:type="lines" w:linePitch="410" w:charSpace="0"/>
        </w:sectPr>
      </w:pPr>
    </w:p>
    <w:p>
      <w:pPr>
        <w:pStyle w:val="Normal0"/>
        <w:spacing w:line="360" w:lineRule="auto"/>
        <w:ind w:firstLine="560" w:firstLineChars="200"/>
        <w:rPr>
          <w:rFonts w:hint="eastAsia"/>
          <w:sz w:val="28"/>
          <w:szCs w:val="28"/>
        </w:rPr>
      </w:pPr>
      <w:r>
        <w:rPr>
          <w:rFonts w:hint="eastAsia"/>
          <w:sz w:val="28"/>
          <w:szCs w:val="28"/>
        </w:rPr>
        <w:t>未来几年，我国建材工业发展速度可能略高于国民经济发展速度，但是与世界发达国家相比，中国建材工业总体水平还比较落后，高档产品需要进口。由于建材行业成本上涨，中低档建材企业处于盈亏边缘，造成了低档产品因为涨价涌入中档产品序列、中档产品涨价涌入高档产品序列的连锁反应，这样势必会使中高档产品的价格竞争更加激烈。国家将继续实施宏观调控，以达到建材行业产业结构优化升级的目标。根据建材行业“十二五”结构调整目标，我国将鼓励支持建材行业的大企业集团发展，提高产业集中度；大力发展新型干法水泥等先进工艺和玻璃深加工业务，淘汰落后产能工艺。</w:t>
      </w:r>
    </w:p>
    <w:p>
      <w:pPr>
        <w:pStyle w:val="Normal0"/>
        <w:spacing w:before="205" w:beforeLines="50" w:after="205" w:afterLines="50" w:line="360" w:lineRule="auto"/>
        <w:rPr>
          <w:rFonts w:hint="eastAsia"/>
          <w:b/>
          <w:sz w:val="28"/>
          <w:szCs w:val="28"/>
        </w:rPr>
      </w:pPr>
      <w:r>
        <w:rPr>
          <w:rFonts w:hint="eastAsia"/>
          <w:b/>
          <w:sz w:val="28"/>
          <w:szCs w:val="28"/>
        </w:rPr>
        <w:t>3.2.2建材行业相关产业政策</w:t>
      </w:r>
    </w:p>
    <w:p>
      <w:pPr>
        <w:pStyle w:val="Normal0"/>
        <w:spacing w:line="360" w:lineRule="auto"/>
        <w:ind w:firstLine="560" w:firstLineChars="200"/>
        <w:rPr>
          <w:rFonts w:hint="eastAsia"/>
          <w:sz w:val="28"/>
          <w:szCs w:val="28"/>
        </w:rPr>
      </w:pPr>
      <w:r>
        <w:rPr>
          <w:rFonts w:hint="eastAsia"/>
          <w:sz w:val="28"/>
          <w:szCs w:val="28"/>
        </w:rPr>
        <w:t xml:space="preserve">1. 作为传统行业的建材行业，一直以来被称为“两高一资”行业。2009年，建材工业能源消耗总量占全国能源消耗总量的7%，2010年，建材工业能耗总量约占全国能耗总量和工业部门能耗总量的7%和10%，因而备受国家重视，被列为国家重点关注的行业。 </w:t>
      </w:r>
    </w:p>
    <w:p>
      <w:pPr>
        <w:pStyle w:val="Normal0"/>
        <w:spacing w:line="360" w:lineRule="auto"/>
        <w:ind w:firstLine="560" w:firstLineChars="200"/>
        <w:rPr>
          <w:rFonts w:hint="eastAsia"/>
          <w:sz w:val="28"/>
          <w:szCs w:val="28"/>
        </w:rPr>
      </w:pPr>
      <w:r>
        <w:rPr>
          <w:rFonts w:hint="eastAsia"/>
          <w:sz w:val="28"/>
          <w:szCs w:val="28"/>
        </w:rPr>
        <w:t>2. 国家及行业相关部门先后推出十多项建材行业环保政策。节能减排对建材行业未来的发展是十分有利的。其积极影响主要体现在以下几个方面：</w:t>
      </w:r>
    </w:p>
    <w:p>
      <w:pPr>
        <w:pStyle w:val="Normal0"/>
        <w:spacing w:line="360" w:lineRule="auto"/>
        <w:ind w:firstLine="560" w:firstLineChars="200"/>
        <w:rPr>
          <w:rFonts w:hint="eastAsia"/>
          <w:sz w:val="28"/>
          <w:szCs w:val="28"/>
        </w:rPr>
      </w:pPr>
      <w:r>
        <w:rPr>
          <w:rFonts w:hint="eastAsia"/>
          <w:sz w:val="28"/>
          <w:szCs w:val="28"/>
        </w:rPr>
        <w:t>第一，能够加快落后产能的退出，降低由落后生产工艺产生的较新型干法工艺更高的能耗；</w:t>
      </w:r>
    </w:p>
    <w:p>
      <w:pPr>
        <w:pStyle w:val="Normal0"/>
        <w:spacing w:line="360" w:lineRule="auto"/>
        <w:ind w:firstLine="560" w:firstLineChars="200"/>
        <w:rPr>
          <w:rFonts w:hint="eastAsia"/>
          <w:sz w:val="28"/>
          <w:szCs w:val="28"/>
        </w:rPr>
      </w:pPr>
      <w:r>
        <w:rPr>
          <w:rFonts w:hint="eastAsia"/>
          <w:sz w:val="28"/>
          <w:szCs w:val="28"/>
        </w:rPr>
        <w:t>第二，促进行业结构调整，改善供求关系；</w:t>
      </w:r>
    </w:p>
    <w:p>
      <w:pPr>
        <w:pStyle w:val="Normal0"/>
        <w:spacing w:line="360" w:lineRule="auto"/>
        <w:ind w:firstLine="560" w:firstLineChars="200"/>
        <w:rPr>
          <w:rFonts w:hint="eastAsia"/>
          <w:sz w:val="28"/>
          <w:szCs w:val="28"/>
        </w:rPr>
      </w:pPr>
      <w:r>
        <w:rPr>
          <w:rFonts w:hint="eastAsia"/>
          <w:sz w:val="28"/>
          <w:szCs w:val="28"/>
        </w:rPr>
        <w:t>第三，推进行业并购重组，进而提高行业集中度，并促进行业竞争模式由低价无序竞争转向增强区域控制力的竞争；</w:t>
      </w:r>
    </w:p>
    <w:p>
      <w:pPr>
        <w:pStyle w:val="Normal0"/>
        <w:spacing w:line="360" w:lineRule="auto"/>
        <w:ind w:firstLine="560" w:firstLineChars="200"/>
        <w:rPr>
          <w:rFonts w:hint="eastAsia"/>
          <w:sz w:val="28"/>
          <w:szCs w:val="28"/>
        </w:rPr>
      </w:pPr>
      <w:r>
        <w:rPr>
          <w:rFonts w:hint="eastAsia"/>
          <w:sz w:val="28"/>
          <w:szCs w:val="28"/>
        </w:rPr>
        <w:t>第四，通过建设余热发电、循环经济等</w:t>
      </w:r>
      <w:r>
        <w:rPr>
          <w:rFonts w:hint="eastAsia"/>
          <w:sz w:val="28"/>
          <w:szCs w:val="28"/>
          <w:lang w:eastAsia="zh-CN"/>
        </w:rPr>
        <w:t>相关项目</w:t>
      </w:r>
      <w:r>
        <w:rPr>
          <w:rFonts w:hint="eastAsia"/>
          <w:sz w:val="28"/>
          <w:szCs w:val="28"/>
        </w:rPr>
        <w:t>，在降低行业自身成本的同时，产生较好的社会效益。</w:t>
      </w:r>
    </w:p>
    <w:p>
      <w:pPr>
        <w:pStyle w:val="Normal0"/>
        <w:spacing w:before="205" w:beforeLines="50" w:after="205" w:afterLines="50" w:line="360" w:lineRule="auto"/>
        <w:rPr>
          <w:rFonts w:hint="eastAsia"/>
          <w:b/>
          <w:sz w:val="28"/>
          <w:szCs w:val="28"/>
        </w:rPr>
      </w:pPr>
      <w:r>
        <w:rPr>
          <w:rFonts w:hint="eastAsia"/>
          <w:b/>
          <w:sz w:val="28"/>
          <w:szCs w:val="28"/>
        </w:rPr>
        <w:t>3.2.3建材市场的主要问题</w:t>
      </w:r>
    </w:p>
    <w:p>
      <w:pPr>
        <w:pStyle w:val="Normal0"/>
        <w:spacing w:line="360" w:lineRule="auto"/>
        <w:ind w:firstLine="560" w:firstLineChars="200"/>
        <w:rPr>
          <w:rFonts w:hint="eastAsia"/>
          <w:sz w:val="28"/>
          <w:szCs w:val="28"/>
        </w:rPr>
        <w:sectPr>
          <w:headerReference w:type="even" r:id="rId163"/>
          <w:headerReference w:type="default" r:id="rId164"/>
          <w:footerReference w:type="even" r:id="rId165"/>
          <w:footerReference w:type="default" r:id="rId166"/>
          <w:headerReference w:type="first" r:id="rId167"/>
          <w:footerReference w:type="first" r:id="rId168"/>
          <w:type w:val="nextPage"/>
          <w:pgSz w:w="11906" w:h="16838"/>
          <w:pgMar w:top="1440" w:right="1797" w:bottom="1440" w:left="1797" w:header="851" w:footer="992" w:gutter="0"/>
          <w:pgNumType w:start="23"/>
          <w:cols w:num="1" w:space="425"/>
          <w:titlePg w:val="0"/>
          <w:docGrid w:type="lines" w:linePitch="410" w:charSpace="0"/>
        </w:sectPr>
      </w:pPr>
    </w:p>
    <w:p>
      <w:pPr>
        <w:pStyle w:val="Normal0"/>
        <w:spacing w:line="360" w:lineRule="auto"/>
        <w:ind w:firstLine="560" w:firstLineChars="200"/>
        <w:rPr>
          <w:rFonts w:hint="eastAsia"/>
          <w:sz w:val="28"/>
          <w:szCs w:val="28"/>
        </w:rPr>
      </w:pPr>
      <w:r>
        <w:rPr>
          <w:rFonts w:hint="eastAsia"/>
          <w:sz w:val="28"/>
          <w:szCs w:val="28"/>
        </w:rPr>
        <w:t>首先，摊位制仍然占据绝对的主导地位。目前，摊位制大约占国内市场流通形式的80％～90％。摊位制存在的几大弊端包括：第一，经营与</w:t>
      </w:r>
      <w:r>
        <w:rPr>
          <w:rFonts w:hint="eastAsia"/>
          <w:sz w:val="28"/>
          <w:szCs w:val="28"/>
          <w:lang w:eastAsia="zh-CN"/>
        </w:rPr>
        <w:t>管理管控</w:t>
      </w:r>
      <w:r>
        <w:rPr>
          <w:rFonts w:hint="eastAsia"/>
          <w:sz w:val="28"/>
          <w:szCs w:val="28"/>
        </w:rPr>
        <w:t>相分离，没有强有力的质量与服务监督制约机制，很难保障商品质量，致使价格欺骗、劣质服务成为痼疾。第二，摊位制批发市场的商品价格透明度较差，卖方出价、买方砍价，常常出现同一商品价格差异很大的情况。</w:t>
      </w:r>
    </w:p>
    <w:p>
      <w:pPr>
        <w:pStyle w:val="Normal0"/>
        <w:spacing w:line="360" w:lineRule="auto"/>
        <w:ind w:firstLine="560" w:firstLineChars="200"/>
        <w:rPr>
          <w:rFonts w:hint="eastAsia"/>
          <w:sz w:val="28"/>
          <w:szCs w:val="28"/>
        </w:rPr>
      </w:pPr>
      <w:r>
        <w:rPr>
          <w:rFonts w:hint="eastAsia"/>
          <w:sz w:val="28"/>
          <w:szCs w:val="28"/>
        </w:rPr>
        <w:t>目前，我国传统建材市场大多采取摊位制的销售方式，由于价格不稳定、质量档次悬殊、售后服务不利等因素，影响了消费者对商家的信任，市场竞争处于较低水平。</w:t>
      </w:r>
    </w:p>
    <w:p>
      <w:pPr>
        <w:pStyle w:val="Normal0"/>
        <w:spacing w:line="360" w:lineRule="auto"/>
        <w:ind w:firstLine="560" w:firstLineChars="200"/>
        <w:rPr>
          <w:rFonts w:hint="eastAsia"/>
          <w:sz w:val="28"/>
          <w:szCs w:val="28"/>
        </w:rPr>
      </w:pPr>
      <w:r>
        <w:rPr>
          <w:rFonts w:hint="eastAsia"/>
          <w:sz w:val="28"/>
          <w:szCs w:val="28"/>
        </w:rPr>
        <w:t>其次，建材企业的规模还相对较小。企业规模小、数量多、工艺设备落后、环境污染严重等，在相当大的程度上影响了我国建材产品在市场上的竞争力，特别是在产品质量和档次方面，本土建材与国际品牌相比有很大差距。</w:t>
      </w:r>
    </w:p>
    <w:p>
      <w:pPr>
        <w:pStyle w:val="Normal0"/>
        <w:spacing w:line="360" w:lineRule="auto"/>
        <w:ind w:firstLine="560" w:firstLineChars="200"/>
        <w:rPr>
          <w:rFonts w:hint="eastAsia"/>
          <w:sz w:val="28"/>
          <w:szCs w:val="28"/>
        </w:rPr>
      </w:pPr>
      <w:r>
        <w:rPr>
          <w:rFonts w:hint="eastAsia"/>
          <w:sz w:val="28"/>
          <w:szCs w:val="28"/>
        </w:rPr>
        <w:t>第三，缺少具有相当知名度的品牌。巨大的中国建材市场，没有几个叫得响的知名品牌。品牌意识较差，对质量、</w:t>
      </w:r>
      <w:r>
        <w:rPr>
          <w:rFonts w:hint="eastAsia"/>
          <w:sz w:val="28"/>
          <w:szCs w:val="28"/>
          <w:lang w:eastAsia="zh-CN"/>
        </w:rPr>
        <w:t>管理管控</w:t>
      </w:r>
      <w:r>
        <w:rPr>
          <w:rFonts w:hint="eastAsia"/>
          <w:sz w:val="28"/>
          <w:szCs w:val="28"/>
        </w:rPr>
        <w:t>持淡薄态度，谋求一时的利益等，是我国建材业不可回避的问题。由于缺乏知名品牌，目前我国建材产品在市场上面临着双重夹击。在国内市场，我国的建材正面对国际知名建材品牌的激烈挑战。目前，世界前几大建材商已纷纷落户北京、上海、深圳等地，随着我国履行加入WTO的承诺，必然还有更多的国际知名建材品牌要进入我国市场，还有更多的建材市场经营商要到我国开店。</w:t>
      </w:r>
    </w:p>
    <w:p>
      <w:pPr>
        <w:pStyle w:val="Normal0"/>
        <w:spacing w:line="360" w:lineRule="auto"/>
        <w:ind w:firstLine="560" w:firstLineChars="200"/>
        <w:rPr>
          <w:rFonts w:hint="eastAsia"/>
          <w:sz w:val="28"/>
          <w:szCs w:val="28"/>
        </w:rPr>
        <w:sectPr>
          <w:headerReference w:type="even" r:id="rId169"/>
          <w:headerReference w:type="default" r:id="rId170"/>
          <w:footerReference w:type="even" r:id="rId171"/>
          <w:footerReference w:type="default" r:id="rId172"/>
          <w:headerReference w:type="first" r:id="rId173"/>
          <w:footerReference w:type="first" r:id="rId174"/>
          <w:type w:val="nextPage"/>
          <w:pgSz w:w="11906" w:h="16838"/>
          <w:pgMar w:top="1440" w:right="1797" w:bottom="1440" w:left="1797" w:header="851" w:footer="992" w:gutter="0"/>
          <w:pgNumType w:start="24"/>
          <w:cols w:num="1" w:space="425"/>
          <w:titlePg w:val="0"/>
          <w:docGrid w:type="lines" w:linePitch="410" w:charSpace="0"/>
        </w:sectPr>
      </w:pPr>
    </w:p>
    <w:p>
      <w:pPr>
        <w:pStyle w:val="Normal0"/>
        <w:spacing w:line="360" w:lineRule="auto"/>
        <w:ind w:firstLine="560" w:firstLineChars="200"/>
        <w:rPr>
          <w:rFonts w:hint="eastAsia"/>
          <w:sz w:val="28"/>
          <w:szCs w:val="28"/>
        </w:rPr>
      </w:pPr>
      <w:r>
        <w:rPr>
          <w:rFonts w:hint="eastAsia"/>
          <w:sz w:val="28"/>
          <w:szCs w:val="28"/>
        </w:rPr>
        <w:t>第四，服务概念抽象而不具体。大多数建材企业在售前服务方面做得太过笼统，把售前服务仅仅理解为送一本或几本产品资料。推销商品的时候把商品或服务说得天花乱坠，一旦货物出手，商家自己就变成了“上帝”。甚至很多建材市场连准时送货上门都做不到。</w:t>
      </w:r>
    </w:p>
    <w:p>
      <w:pPr>
        <w:pStyle w:val="Normal0"/>
        <w:spacing w:line="360" w:lineRule="auto"/>
        <w:ind w:firstLine="560" w:firstLineChars="200"/>
        <w:rPr>
          <w:rFonts w:hint="eastAsia"/>
          <w:sz w:val="28"/>
          <w:szCs w:val="28"/>
        </w:rPr>
      </w:pPr>
      <w:r>
        <w:rPr>
          <w:rFonts w:hint="eastAsia"/>
          <w:sz w:val="28"/>
          <w:szCs w:val="28"/>
        </w:rPr>
        <w:t>（三）我国建材市场的发展趋势</w:t>
      </w:r>
    </w:p>
    <w:p>
      <w:pPr>
        <w:pStyle w:val="Normal0"/>
        <w:spacing w:line="360" w:lineRule="auto"/>
        <w:ind w:firstLine="560" w:firstLineChars="200"/>
        <w:rPr>
          <w:rFonts w:hint="eastAsia"/>
          <w:sz w:val="28"/>
          <w:szCs w:val="28"/>
        </w:rPr>
      </w:pPr>
      <w:r>
        <w:rPr>
          <w:rFonts w:hint="eastAsia"/>
          <w:sz w:val="28"/>
          <w:szCs w:val="28"/>
        </w:rPr>
        <w:t>我国建材市场发展至今，急需提高整体素质，整合规范市场秩序，适度提升硬件设施的档次和扩大市场规模，特别是要寻求发展的新思路、新突破、新模式。这些都是完善建材市场功能的必要条件，是建材市场可持续发展的必然要素，也是客观时代发展需求的推动。目前我国建材市场发展的大趋势应该是：正步入创造精品品牌的提升阶段。为此，提出了几点建议。</w:t>
      </w:r>
    </w:p>
    <w:p>
      <w:pPr>
        <w:pStyle w:val="Normal0"/>
        <w:spacing w:line="360" w:lineRule="auto"/>
        <w:ind w:firstLine="560" w:firstLineChars="200"/>
        <w:rPr>
          <w:rFonts w:hint="eastAsia"/>
          <w:sz w:val="28"/>
          <w:szCs w:val="28"/>
        </w:rPr>
      </w:pPr>
      <w:r>
        <w:rPr>
          <w:rFonts w:hint="eastAsia"/>
          <w:sz w:val="28"/>
          <w:szCs w:val="28"/>
        </w:rPr>
        <w:t>第一，建材市场的规模要大、实力要强。建材超市要有连锁规模，摊位制市场要有经营规模。做大规模，一靠实力，二靠联合。</w:t>
      </w:r>
    </w:p>
    <w:p>
      <w:pPr>
        <w:pStyle w:val="Normal0"/>
        <w:spacing w:line="360" w:lineRule="auto"/>
        <w:ind w:firstLine="560" w:firstLineChars="200"/>
        <w:rPr>
          <w:rFonts w:hint="eastAsia"/>
          <w:sz w:val="28"/>
          <w:szCs w:val="28"/>
        </w:rPr>
      </w:pPr>
      <w:r>
        <w:rPr>
          <w:rFonts w:hint="eastAsia"/>
          <w:sz w:val="28"/>
          <w:szCs w:val="28"/>
        </w:rPr>
        <w:t>第二，建材市场的市场定位要准确。现在的建材市场充满变数，各种业态相互竞争。市场投资人要针对市场需求的变化，及时调整好经营定位。定位准确是扩展服务方式、提高服务质量、丰富服务功能的前提。</w:t>
      </w:r>
    </w:p>
    <w:p>
      <w:pPr>
        <w:pStyle w:val="Normal0"/>
        <w:spacing w:line="360" w:lineRule="auto"/>
        <w:ind w:firstLine="560" w:firstLineChars="200"/>
        <w:rPr>
          <w:rFonts w:hint="eastAsia"/>
          <w:sz w:val="28"/>
          <w:szCs w:val="28"/>
        </w:rPr>
      </w:pPr>
      <w:r>
        <w:rPr>
          <w:rFonts w:hint="eastAsia"/>
          <w:sz w:val="28"/>
          <w:szCs w:val="28"/>
        </w:rPr>
        <w:t>第三，团队要精明强干。团队的执行力，决定了企业的命运。组织一支反应灵敏、善于应对、执行力强的经营团队是强化市场竞争力的重要条件。目前，在我国建材流通领域已经出现了一批有能力的策划人和经理人。只有好的团队才能打造好的市场。</w:t>
      </w:r>
    </w:p>
    <w:p>
      <w:pPr>
        <w:pStyle w:val="Normal0"/>
        <w:spacing w:line="360" w:lineRule="auto"/>
        <w:ind w:firstLine="560" w:firstLineChars="200"/>
        <w:rPr>
          <w:rFonts w:hint="eastAsia"/>
          <w:sz w:val="28"/>
          <w:szCs w:val="28"/>
        </w:rPr>
        <w:sectPr>
          <w:headerReference w:type="even" r:id="rId175"/>
          <w:headerReference w:type="default" r:id="rId176"/>
          <w:footerReference w:type="even" r:id="rId177"/>
          <w:footerReference w:type="default" r:id="rId178"/>
          <w:headerReference w:type="first" r:id="rId179"/>
          <w:footerReference w:type="first" r:id="rId180"/>
          <w:type w:val="nextPage"/>
          <w:pgSz w:w="11906" w:h="16838"/>
          <w:pgMar w:top="1440" w:right="1797" w:bottom="1440" w:left="1797" w:header="851" w:footer="992" w:gutter="0"/>
          <w:pgNumType w:start="25"/>
          <w:cols w:num="1" w:space="425"/>
          <w:titlePg w:val="0"/>
          <w:docGrid w:type="lines" w:linePitch="410" w:charSpace="0"/>
        </w:sectPr>
      </w:pPr>
      <w:r>
        <w:rPr>
          <w:rFonts w:hint="eastAsia"/>
          <w:sz w:val="28"/>
          <w:szCs w:val="28"/>
        </w:rPr>
        <w:t>第四，提升经营</w:t>
      </w:r>
      <w:r>
        <w:rPr>
          <w:rFonts w:hint="eastAsia"/>
          <w:sz w:val="28"/>
          <w:szCs w:val="28"/>
          <w:lang w:eastAsia="zh-CN"/>
        </w:rPr>
        <w:t>管理管控</w:t>
      </w:r>
      <w:r>
        <w:rPr>
          <w:rFonts w:hint="eastAsia"/>
          <w:sz w:val="28"/>
          <w:szCs w:val="28"/>
        </w:rPr>
        <w:t>和服务水平更趋迫切。建材市场在硬件条件普遍达到一定水准后，市场的</w:t>
      </w:r>
      <w:r>
        <w:rPr>
          <w:rFonts w:hint="eastAsia"/>
          <w:sz w:val="28"/>
          <w:szCs w:val="28"/>
          <w:lang w:eastAsia="zh-CN"/>
        </w:rPr>
        <w:t>管理管控</w:t>
      </w:r>
    </w:p>
    <w:p>
      <w:pPr>
        <w:pStyle w:val="Normal0"/>
        <w:spacing w:line="360" w:lineRule="auto"/>
        <w:ind w:firstLine="560" w:firstLineChars="200"/>
        <w:rPr>
          <w:rFonts w:hint="eastAsia"/>
          <w:sz w:val="28"/>
          <w:szCs w:val="28"/>
        </w:rPr>
      </w:pPr>
      <w:r>
        <w:rPr>
          <w:rFonts w:hint="eastAsia"/>
          <w:sz w:val="28"/>
          <w:szCs w:val="28"/>
        </w:rPr>
        <w:t>模式、经营理念、营销策略成为当前需要提高的重要软件条件。经济发展的深入、市场需求的细化，要求建材市场的服务档次有所提高。建材市场营销人员的培训学习、持证上岗是不可或缺的重要一环，也是提升行业整体素质的重中之重。</w:t>
      </w:r>
    </w:p>
    <w:p>
      <w:pPr>
        <w:pStyle w:val="Normal0"/>
        <w:spacing w:line="360" w:lineRule="auto"/>
        <w:ind w:firstLine="560" w:firstLineChars="200"/>
        <w:rPr>
          <w:rFonts w:hint="eastAsia"/>
          <w:sz w:val="28"/>
          <w:szCs w:val="28"/>
        </w:rPr>
      </w:pPr>
      <w:r>
        <w:rPr>
          <w:rFonts w:hint="eastAsia"/>
          <w:sz w:val="28"/>
          <w:szCs w:val="28"/>
        </w:rPr>
        <w:t>第五，求发展不要冒进。硬件设施提升的档次和发展布局的规模必须要有一个度，要适合客观现状的需求，既不要落伍，又不可盲目乐观地超现实攀升。事实上，现在已有一些具有一定实力的建材市场，开始了超大范围的扩张，特别是硬件设施的档次提升相当快。但是，对于建材市场来说，决不是越“豪华”，其经营的利润空间就越大，因为建材市场经营的不是类似宾馆、饭店那样单一的享受服务，而是融会各种相关因素的卖场。这里高投入的硬件设施未必会带来理想的回报，反而会加大投资风险。</w:t>
      </w:r>
    </w:p>
    <w:p>
      <w:pPr>
        <w:pStyle w:val="Normal0"/>
        <w:spacing w:line="360" w:lineRule="auto"/>
        <w:ind w:firstLine="560" w:firstLineChars="200"/>
        <w:rPr>
          <w:rFonts w:hint="eastAsia"/>
          <w:sz w:val="28"/>
          <w:szCs w:val="28"/>
        </w:rPr>
      </w:pPr>
      <w:r>
        <w:rPr>
          <w:rFonts w:hint="eastAsia"/>
          <w:sz w:val="28"/>
          <w:szCs w:val="28"/>
        </w:rPr>
        <w:t>建材工业发展速度在一段时期内将高于国民经济发展速度，预计到“十二五”末，仅装饰建材工业产值将达万亿元，成为国民经济的重要增长点。由此可以毫无疑问地说，建材市场的发展前景非常乐观，但我们必须要朝着创造精品品牌的提升阶段发展。</w:t>
      </w:r>
    </w:p>
    <w:p>
      <w:pPr>
        <w:pStyle w:val="Heading2"/>
        <w:spacing w:before="205" w:beforeLines="50" w:after="205" w:afterLines="50" w:line="360" w:lineRule="auto"/>
        <w:rPr>
          <w:rFonts w:ascii="Times New Roman" w:hAnsi="Times New Roman" w:hint="eastAsia"/>
          <w:b w:val="0"/>
        </w:rPr>
      </w:pPr>
      <w:bookmarkStart w:id="17" w:name="_Toc231630223"/>
      <w:bookmarkStart w:id="18" w:name="_Toc353747189"/>
      <w:r>
        <w:rPr>
          <w:rFonts w:ascii="Times New Roman" w:hAnsi="Times New Roman"/>
          <w:b w:val="0"/>
        </w:rPr>
        <w:t>3.</w:t>
      </w:r>
      <w:r>
        <w:rPr>
          <w:rFonts w:ascii="Times New Roman" w:hAnsi="Times New Roman" w:hint="eastAsia"/>
          <w:b w:val="0"/>
        </w:rPr>
        <w:t>4</w:t>
      </w:r>
      <w:bookmarkEnd w:id="17"/>
      <w:r>
        <w:rPr>
          <w:rFonts w:ascii="Times New Roman" w:hAnsi="Times New Roman" w:hint="eastAsia"/>
          <w:b w:val="0"/>
          <w:lang w:eastAsia="zh-CN"/>
        </w:rPr>
        <w:t>相关项目</w:t>
      </w:r>
      <w:r>
        <w:rPr>
          <w:rFonts w:ascii="Times New Roman" w:hAnsi="Times New Roman" w:hint="eastAsia"/>
          <w:b w:val="0"/>
        </w:rPr>
        <w:t>市场环境分析</w:t>
      </w:r>
      <w:bookmarkEnd w:id="18"/>
    </w:p>
    <w:p>
      <w:pPr>
        <w:pStyle w:val="Normal0"/>
        <w:spacing w:before="205" w:beforeLines="50" w:after="205" w:afterLines="50" w:line="360" w:lineRule="auto"/>
        <w:rPr>
          <w:rFonts w:hint="eastAsia"/>
          <w:b/>
          <w:sz w:val="28"/>
          <w:szCs w:val="28"/>
        </w:rPr>
      </w:pPr>
      <w:r>
        <w:rPr>
          <w:rFonts w:hint="eastAsia"/>
          <w:b/>
          <w:sz w:val="28"/>
          <w:szCs w:val="28"/>
        </w:rPr>
        <w:t>3.4.1建机建材市场发展历程与现状</w:t>
      </w:r>
    </w:p>
    <w:p>
      <w:pPr>
        <w:pStyle w:val="Normal0"/>
        <w:spacing w:line="360" w:lineRule="auto"/>
        <w:ind w:firstLine="560" w:firstLineChars="200"/>
        <w:rPr>
          <w:rFonts w:hint="eastAsia"/>
          <w:sz w:val="28"/>
          <w:szCs w:val="28"/>
        </w:rPr>
        <w:sectPr>
          <w:headerReference w:type="even" r:id="rId181"/>
          <w:headerReference w:type="default" r:id="rId182"/>
          <w:footerReference w:type="even" r:id="rId183"/>
          <w:footerReference w:type="default" r:id="rId184"/>
          <w:headerReference w:type="first" r:id="rId185"/>
          <w:footerReference w:type="first" r:id="rId186"/>
          <w:type w:val="nextPage"/>
          <w:pgSz w:w="11906" w:h="16838"/>
          <w:pgMar w:top="1440" w:right="1797" w:bottom="1440" w:left="1797" w:header="851" w:footer="992" w:gutter="0"/>
          <w:pgNumType w:start="26"/>
          <w:cols w:num="1" w:space="425"/>
          <w:titlePg w:val="0"/>
          <w:docGrid w:type="lines" w:linePitch="410" w:charSpace="0"/>
        </w:sectPr>
      </w:pPr>
    </w:p>
    <w:p>
      <w:pPr>
        <w:pStyle w:val="Normal0"/>
        <w:spacing w:line="360" w:lineRule="auto"/>
        <w:ind w:firstLine="560" w:firstLineChars="200"/>
        <w:rPr>
          <w:rFonts w:hint="eastAsia"/>
          <w:sz w:val="28"/>
          <w:szCs w:val="28"/>
        </w:rPr>
      </w:pPr>
      <w:r>
        <w:rPr>
          <w:rFonts w:hint="eastAsia"/>
          <w:sz w:val="28"/>
          <w:szCs w:val="28"/>
        </w:rPr>
        <w:t>如今，中国已成长为全球最大建材生产和销售市场，截止到2009年1－6月份，国内建材行业累计实现利润总额26.61亿元，比上年同期增长24.71亿元。中国建材工业发展速度高于国民经济发展速度3％－4％，2010年，建材工业产值预计达到一万多亿元人民币。目前，发达国家95％的建材零售通过连锁超市的渠道，而目前国内水平最高的上海这一比例只有20％。预计未来3至5年，上海、北京、广州等中心城市，建材连锁店的销售额将占到50％至80％。</w:t>
      </w:r>
    </w:p>
    <w:p>
      <w:pPr>
        <w:pStyle w:val="Normal0"/>
        <w:spacing w:before="205" w:beforeLines="50" w:after="205" w:afterLines="50" w:line="360" w:lineRule="auto"/>
        <w:rPr>
          <w:rFonts w:hint="eastAsia"/>
          <w:b/>
          <w:sz w:val="28"/>
          <w:szCs w:val="28"/>
        </w:rPr>
      </w:pPr>
      <w:r>
        <w:rPr>
          <w:rFonts w:hint="eastAsia"/>
          <w:b/>
          <w:sz w:val="28"/>
          <w:szCs w:val="28"/>
        </w:rPr>
        <w:t>3.4.2商业物业投资市场发展现状与趋势</w:t>
      </w:r>
    </w:p>
    <w:p>
      <w:pPr>
        <w:pStyle w:val="Normal0"/>
        <w:spacing w:line="360" w:lineRule="auto"/>
        <w:ind w:firstLine="560" w:firstLineChars="200"/>
        <w:rPr>
          <w:rFonts w:hint="eastAsia"/>
          <w:sz w:val="28"/>
          <w:szCs w:val="28"/>
        </w:rPr>
      </w:pPr>
      <w:r>
        <w:rPr>
          <w:rFonts w:hint="eastAsia"/>
          <w:sz w:val="28"/>
          <w:szCs w:val="28"/>
        </w:rPr>
        <w:t>1、各类零售型物业的面市给予投资者数不胜数的投资机会，而投资者对于这种单一型态的投资形式也表现了对利润空间最大化的质疑。投资客户的投资心理趋于理性，使全产权式商铺购买投资成为目前小型投资客的首选。</w:t>
      </w:r>
    </w:p>
    <w:p>
      <w:pPr>
        <w:pStyle w:val="Normal0"/>
        <w:spacing w:line="360" w:lineRule="auto"/>
        <w:ind w:firstLine="560" w:firstLineChars="200"/>
        <w:rPr>
          <w:rFonts w:hint="eastAsia"/>
          <w:sz w:val="28"/>
          <w:szCs w:val="28"/>
        </w:rPr>
      </w:pPr>
      <w:r>
        <w:rPr>
          <w:rFonts w:hint="eastAsia"/>
          <w:sz w:val="28"/>
          <w:szCs w:val="28"/>
        </w:rPr>
        <w:t>2、应于市场的发展需求，专业型零售市场（如建机、建材、家电、百货等）将成为投资者的首选对象，而更多的投资者则表示他们选择投资专业市场的理由是看中未来发展趋势及良好利润空间。而目前还未出现以建材卖场作为投资载体的市场出现。</w:t>
      </w:r>
    </w:p>
    <w:p>
      <w:pPr>
        <w:pStyle w:val="Normal0"/>
        <w:spacing w:line="360" w:lineRule="auto"/>
        <w:ind w:firstLine="560" w:firstLineChars="200"/>
        <w:rPr>
          <w:rFonts w:hint="eastAsia"/>
          <w:sz w:val="28"/>
          <w:szCs w:val="28"/>
        </w:rPr>
      </w:pPr>
      <w:r>
        <w:rPr>
          <w:rFonts w:hint="eastAsia"/>
          <w:sz w:val="28"/>
          <w:szCs w:val="28"/>
        </w:rPr>
        <w:t>3、由于传统的摊位制建材市场已经不能满足目前市场需求，新兴建机建材城在近期也将成为抢滩宣城市民投资的主流市场，实现了跨越式发展，且正逐渐成为房地产市场的主力物业类型之一。</w:t>
      </w:r>
    </w:p>
    <w:p>
      <w:pPr>
        <w:pStyle w:val="Normal0"/>
        <w:spacing w:line="360" w:lineRule="auto"/>
        <w:ind w:firstLine="560" w:firstLineChars="200"/>
        <w:rPr>
          <w:rFonts w:hint="eastAsia"/>
          <w:sz w:val="28"/>
          <w:szCs w:val="28"/>
        </w:rPr>
      </w:pPr>
      <w:r>
        <w:rPr>
          <w:rFonts w:hint="eastAsia"/>
          <w:sz w:val="28"/>
          <w:szCs w:val="28"/>
        </w:rPr>
        <w:t>4、现有安徽省广德县富通国际建机建材城则是经营者为主体，他们主要是购买经营权或实施租赁权的方式进行经营。这类市场而对于投资者的投资空间存在着一定的限制性，一方面来源于各大物业没有产权式销售的权利，另一方面则局限于经营户对产权式销售的认识存在着不足。</w:t>
      </w:r>
    </w:p>
    <w:p>
      <w:pPr>
        <w:pStyle w:val="Normal0"/>
        <w:spacing w:before="205" w:beforeLines="50" w:after="205" w:afterLines="50" w:line="360" w:lineRule="auto"/>
        <w:rPr>
          <w:rFonts w:hint="eastAsia"/>
          <w:b/>
          <w:sz w:val="28"/>
          <w:szCs w:val="28"/>
        </w:rPr>
        <w:sectPr>
          <w:headerReference w:type="even" r:id="rId187"/>
          <w:headerReference w:type="default" r:id="rId188"/>
          <w:footerReference w:type="even" r:id="rId189"/>
          <w:footerReference w:type="default" r:id="rId190"/>
          <w:headerReference w:type="first" r:id="rId191"/>
          <w:footerReference w:type="first" r:id="rId192"/>
          <w:type w:val="nextPage"/>
          <w:pgSz w:w="11906" w:h="16838"/>
          <w:pgMar w:top="1440" w:right="1797" w:bottom="1440" w:left="1797" w:header="851" w:footer="992" w:gutter="0"/>
          <w:pgNumType w:start="27"/>
          <w:cols w:num="1" w:space="425"/>
          <w:titlePg w:val="0"/>
          <w:docGrid w:type="lines" w:linePitch="410" w:charSpace="0"/>
        </w:sectPr>
      </w:pPr>
      <w:r>
        <w:rPr>
          <w:rFonts w:hint="eastAsia"/>
          <w:b/>
          <w:sz w:val="28"/>
          <w:szCs w:val="28"/>
        </w:rPr>
        <w:t>3.4.3建机建材城消费观念与消费文化</w:t>
      </w:r>
    </w:p>
    <w:p>
      <w:pPr>
        <w:pStyle w:val="Normal0"/>
        <w:spacing w:line="360" w:lineRule="auto"/>
        <w:ind w:firstLine="560" w:firstLineChars="200"/>
        <w:rPr>
          <w:rFonts w:hint="eastAsia"/>
          <w:sz w:val="28"/>
          <w:szCs w:val="28"/>
        </w:rPr>
      </w:pPr>
      <w:r>
        <w:rPr>
          <w:rFonts w:hint="eastAsia"/>
          <w:sz w:val="28"/>
          <w:szCs w:val="28"/>
        </w:rPr>
        <w:t>1、自主选择消费者主导下的市场模式：一边是现代化建材超市，一边是传统建机建材市场；一边是先进零售业态，一边是的批发模式。由于消费群体的多层次性，在建材流通领域，多元化分销模式并存的建材“生态商圈”正在逐步形成。为了共同做大建材城，在这个建材“生态商圈”中，中外建材流通企业应该错位竞争,共同和谐生存、有序发展，而不应该今天你倒闭一批、明天他再倒闭一批，使整个建材市场处于波动状态。</w:t>
      </w:r>
    </w:p>
    <w:p>
      <w:pPr>
        <w:pStyle w:val="Normal0"/>
        <w:spacing w:line="360" w:lineRule="auto"/>
        <w:ind w:firstLine="560" w:firstLineChars="200"/>
        <w:rPr>
          <w:rFonts w:hint="eastAsia"/>
          <w:sz w:val="28"/>
          <w:szCs w:val="28"/>
        </w:rPr>
      </w:pPr>
      <w:r>
        <w:rPr>
          <w:rFonts w:hint="eastAsia"/>
          <w:sz w:val="28"/>
          <w:szCs w:val="28"/>
        </w:rPr>
        <w:t>2、在另外一部分消费者眼中，则出现了消费观念的更新，更希望在建材城享受到一站式的服务。</w:t>
      </w:r>
    </w:p>
    <w:p>
      <w:pPr>
        <w:pStyle w:val="Normal0"/>
        <w:spacing w:line="360" w:lineRule="auto"/>
        <w:ind w:firstLine="560" w:firstLineChars="200"/>
        <w:rPr>
          <w:rFonts w:hint="eastAsia"/>
          <w:sz w:val="28"/>
          <w:szCs w:val="28"/>
        </w:rPr>
      </w:pPr>
      <w:r>
        <w:rPr>
          <w:rFonts w:hint="eastAsia"/>
          <w:sz w:val="28"/>
          <w:szCs w:val="28"/>
        </w:rPr>
        <w:t>3、消费者注重品牌，一是建材市场的自身品牌：规模、环境、服务、品种等；一是市场内的产品品牌：质量、信誉、价格、服务、知名度、品位等。</w:t>
      </w:r>
    </w:p>
    <w:p>
      <w:pPr>
        <w:pStyle w:val="Heading2"/>
        <w:spacing w:before="205" w:beforeLines="50" w:after="205" w:afterLines="50" w:line="360" w:lineRule="auto"/>
        <w:rPr>
          <w:rFonts w:ascii="Times New Roman" w:hAnsi="Times New Roman"/>
          <w:b w:val="0"/>
        </w:rPr>
      </w:pPr>
      <w:bookmarkStart w:id="19" w:name="_Toc353747190"/>
      <w:r>
        <w:rPr>
          <w:rFonts w:ascii="Times New Roman" w:hAnsi="Times New Roman"/>
          <w:b w:val="0"/>
        </w:rPr>
        <w:t>3.</w:t>
      </w:r>
      <w:r>
        <w:rPr>
          <w:rFonts w:ascii="Times New Roman" w:hAnsi="Times New Roman" w:hint="eastAsia"/>
          <w:b w:val="0"/>
        </w:rPr>
        <w:t>5</w:t>
      </w:r>
      <w:r>
        <w:rPr>
          <w:rFonts w:ascii="Times New Roman" w:hAnsi="Times New Roman" w:hint="eastAsia"/>
          <w:b w:val="0"/>
          <w:lang w:eastAsia="zh-CN"/>
        </w:rPr>
        <w:t>相关项目</w:t>
      </w:r>
      <w:r>
        <w:rPr>
          <w:rFonts w:ascii="Times New Roman" w:hAnsi="Times New Roman" w:hint="eastAsia"/>
          <w:b w:val="0"/>
        </w:rPr>
        <w:t>定位</w:t>
      </w:r>
      <w:r>
        <w:rPr>
          <w:rFonts w:ascii="Times New Roman" w:hAnsi="Times New Roman" w:hint="eastAsia"/>
          <w:b w:val="0"/>
          <w:lang w:eastAsia="zh-CN"/>
        </w:rPr>
        <w:t>合适的方案</w:t>
      </w:r>
      <w:r>
        <w:rPr>
          <w:rFonts w:ascii="Times New Roman" w:hAnsi="Times New Roman" w:hint="eastAsia"/>
          <w:b w:val="0"/>
        </w:rPr>
        <w:t>SWOT分析</w:t>
      </w:r>
      <w:bookmarkEnd w:id="19"/>
    </w:p>
    <w:p>
      <w:pPr>
        <w:pStyle w:val="Normal0"/>
        <w:spacing w:before="205" w:beforeLines="50" w:after="205" w:afterLines="50" w:line="360" w:lineRule="auto"/>
        <w:rPr>
          <w:rFonts w:hint="eastAsia"/>
          <w:b/>
          <w:sz w:val="28"/>
          <w:szCs w:val="28"/>
        </w:rPr>
      </w:pPr>
      <w:r>
        <w:rPr>
          <w:rFonts w:hint="eastAsia"/>
          <w:b/>
          <w:sz w:val="28"/>
          <w:szCs w:val="28"/>
        </w:rPr>
        <w:t>3.5.1</w:t>
      </w:r>
      <w:r>
        <w:rPr>
          <w:rFonts w:hint="eastAsia"/>
          <w:b/>
          <w:sz w:val="28"/>
          <w:szCs w:val="28"/>
          <w:lang w:eastAsia="zh-CN"/>
        </w:rPr>
        <w:t>相关项目</w:t>
      </w:r>
      <w:r>
        <w:rPr>
          <w:rFonts w:hint="eastAsia"/>
          <w:b/>
          <w:sz w:val="28"/>
          <w:szCs w:val="28"/>
        </w:rPr>
        <w:t>发展机会  Opportunity</w:t>
      </w:r>
    </w:p>
    <w:p>
      <w:pPr>
        <w:pStyle w:val="Normal0"/>
        <w:spacing w:line="360" w:lineRule="auto"/>
        <w:ind w:firstLine="560" w:firstLineChars="200"/>
        <w:rPr>
          <w:rFonts w:hint="eastAsia"/>
          <w:sz w:val="28"/>
          <w:szCs w:val="28"/>
        </w:rPr>
      </w:pPr>
      <w:r>
        <w:rPr>
          <w:rFonts w:hint="eastAsia"/>
          <w:sz w:val="28"/>
          <w:szCs w:val="28"/>
        </w:rPr>
        <w:t>1、建机建材经营户和消费者、市民均看好并支持具有服务配套的建机建材城</w:t>
      </w:r>
      <w:r>
        <w:rPr>
          <w:rFonts w:hint="eastAsia"/>
          <w:sz w:val="28"/>
          <w:szCs w:val="28"/>
          <w:lang w:eastAsia="zh-CN"/>
        </w:rPr>
        <w:t>相关项目</w:t>
      </w:r>
      <w:r>
        <w:rPr>
          <w:rFonts w:hint="eastAsia"/>
          <w:sz w:val="28"/>
          <w:szCs w:val="28"/>
        </w:rPr>
        <w:t>的出现；</w:t>
      </w:r>
    </w:p>
    <w:p>
      <w:pPr>
        <w:pStyle w:val="Normal0"/>
        <w:spacing w:line="360" w:lineRule="auto"/>
        <w:ind w:firstLine="560" w:firstLineChars="200"/>
        <w:rPr>
          <w:rFonts w:hint="eastAsia"/>
          <w:sz w:val="28"/>
          <w:szCs w:val="28"/>
        </w:rPr>
      </w:pPr>
      <w:r>
        <w:rPr>
          <w:rFonts w:hint="eastAsia"/>
          <w:sz w:val="28"/>
          <w:szCs w:val="28"/>
        </w:rPr>
        <w:t>2、目前广德县建机建材行业正在逐步发展，为</w:t>
      </w:r>
      <w:r>
        <w:rPr>
          <w:rFonts w:hint="eastAsia"/>
          <w:sz w:val="28"/>
          <w:szCs w:val="28"/>
          <w:lang w:eastAsia="zh-CN"/>
        </w:rPr>
        <w:t>相关项目</w:t>
      </w:r>
      <w:r>
        <w:rPr>
          <w:rFonts w:hint="eastAsia"/>
          <w:sz w:val="28"/>
          <w:szCs w:val="28"/>
        </w:rPr>
        <w:t>发展提供了市场资源的支持；</w:t>
      </w:r>
    </w:p>
    <w:p>
      <w:pPr>
        <w:pStyle w:val="Normal0"/>
        <w:spacing w:line="360" w:lineRule="auto"/>
        <w:ind w:firstLine="560" w:firstLineChars="200"/>
        <w:rPr>
          <w:rFonts w:hint="eastAsia"/>
          <w:sz w:val="28"/>
          <w:szCs w:val="28"/>
        </w:rPr>
      </w:pPr>
      <w:r>
        <w:rPr>
          <w:rFonts w:hint="eastAsia"/>
          <w:sz w:val="28"/>
          <w:szCs w:val="28"/>
        </w:rPr>
        <w:t>3、宣城市、广德县两级政府均看好并支持</w:t>
      </w:r>
      <w:r>
        <w:rPr>
          <w:rFonts w:hint="eastAsia"/>
          <w:sz w:val="28"/>
          <w:szCs w:val="28"/>
          <w:lang w:eastAsia="zh-CN"/>
        </w:rPr>
        <w:t>相关项目</w:t>
      </w:r>
      <w:r>
        <w:rPr>
          <w:rFonts w:hint="eastAsia"/>
          <w:sz w:val="28"/>
          <w:szCs w:val="28"/>
        </w:rPr>
        <w:t>发展，并能提供相关政策性的优惠、鼓励措施；</w:t>
      </w:r>
    </w:p>
    <w:p>
      <w:pPr>
        <w:pStyle w:val="Normal0"/>
        <w:spacing w:line="360" w:lineRule="auto"/>
        <w:ind w:firstLine="560" w:firstLineChars="200"/>
        <w:rPr>
          <w:rFonts w:hint="eastAsia"/>
          <w:sz w:val="28"/>
          <w:szCs w:val="28"/>
        </w:rPr>
        <w:sectPr>
          <w:headerReference w:type="even" r:id="rId193"/>
          <w:headerReference w:type="default" r:id="rId194"/>
          <w:footerReference w:type="even" r:id="rId195"/>
          <w:footerReference w:type="default" r:id="rId196"/>
          <w:headerReference w:type="first" r:id="rId197"/>
          <w:footerReference w:type="first" r:id="rId198"/>
          <w:type w:val="nextPage"/>
          <w:pgSz w:w="11906" w:h="16838"/>
          <w:pgMar w:top="1440" w:right="1797" w:bottom="1440" w:left="1797" w:header="851" w:footer="992" w:gutter="0"/>
          <w:pgNumType w:start="28"/>
          <w:cols w:num="1" w:space="425"/>
          <w:titlePg w:val="0"/>
          <w:docGrid w:type="lines" w:linePitch="410" w:charSpace="0"/>
        </w:sectPr>
      </w:pPr>
    </w:p>
    <w:p>
      <w:pPr>
        <w:pStyle w:val="Normal0"/>
        <w:spacing w:line="360" w:lineRule="auto"/>
        <w:ind w:firstLine="560" w:firstLineChars="200"/>
        <w:rPr>
          <w:rFonts w:hint="eastAsia"/>
          <w:sz w:val="28"/>
          <w:szCs w:val="28"/>
        </w:rPr>
      </w:pPr>
      <w:r>
        <w:rPr>
          <w:rFonts w:hint="eastAsia"/>
          <w:sz w:val="28"/>
          <w:szCs w:val="28"/>
        </w:rPr>
        <w:t>4、经营户和市民对商铺投资仍保持着一定的热情，存在引导空间；</w:t>
      </w:r>
    </w:p>
    <w:p>
      <w:pPr>
        <w:pStyle w:val="Normal0"/>
        <w:spacing w:line="360" w:lineRule="auto"/>
        <w:ind w:firstLine="560" w:firstLineChars="200"/>
        <w:rPr>
          <w:rFonts w:hint="eastAsia"/>
          <w:sz w:val="28"/>
          <w:szCs w:val="28"/>
        </w:rPr>
      </w:pPr>
      <w:r>
        <w:rPr>
          <w:rFonts w:hint="eastAsia"/>
          <w:sz w:val="28"/>
          <w:szCs w:val="28"/>
        </w:rPr>
        <w:t>5、大型建材超市的连锁发展趋势，为本</w:t>
      </w:r>
      <w:r>
        <w:rPr>
          <w:rFonts w:hint="eastAsia"/>
          <w:sz w:val="28"/>
          <w:szCs w:val="28"/>
          <w:lang w:eastAsia="zh-CN"/>
        </w:rPr>
        <w:t>相关项目</w:t>
      </w:r>
      <w:r>
        <w:rPr>
          <w:rFonts w:hint="eastAsia"/>
          <w:sz w:val="28"/>
          <w:szCs w:val="28"/>
        </w:rPr>
        <w:t>的主力店招商提供了契机；</w:t>
      </w:r>
    </w:p>
    <w:p>
      <w:pPr>
        <w:pStyle w:val="Normal0"/>
        <w:spacing w:line="360" w:lineRule="auto"/>
        <w:ind w:firstLine="560" w:firstLineChars="200"/>
        <w:rPr>
          <w:rFonts w:hint="eastAsia"/>
          <w:sz w:val="28"/>
          <w:szCs w:val="28"/>
        </w:rPr>
      </w:pPr>
      <w:r>
        <w:rPr>
          <w:rFonts w:hint="eastAsia"/>
          <w:sz w:val="28"/>
          <w:szCs w:val="28"/>
        </w:rPr>
        <w:t>6、未来商品房市场的发展，将有利于本</w:t>
      </w:r>
      <w:r>
        <w:rPr>
          <w:rFonts w:hint="eastAsia"/>
          <w:sz w:val="28"/>
          <w:szCs w:val="28"/>
          <w:lang w:eastAsia="zh-CN"/>
        </w:rPr>
        <w:t>相关项目</w:t>
      </w:r>
      <w:r>
        <w:rPr>
          <w:rFonts w:hint="eastAsia"/>
          <w:sz w:val="28"/>
          <w:szCs w:val="28"/>
        </w:rPr>
        <w:t>的销售、招商和后期经营；</w:t>
      </w:r>
    </w:p>
    <w:p>
      <w:pPr>
        <w:pStyle w:val="Normal0"/>
        <w:spacing w:line="360" w:lineRule="auto"/>
        <w:ind w:firstLine="560" w:firstLineChars="200"/>
        <w:rPr>
          <w:rFonts w:hint="eastAsia"/>
          <w:sz w:val="28"/>
          <w:szCs w:val="28"/>
        </w:rPr>
      </w:pPr>
      <w:r>
        <w:rPr>
          <w:rFonts w:hint="eastAsia"/>
          <w:sz w:val="28"/>
          <w:szCs w:val="28"/>
        </w:rPr>
        <w:t>7、目前建机建材经营户的分布凌乱、商铺配套设施落后，均期待有具有服务配套的建机建材城填补市场空白。</w:t>
      </w:r>
    </w:p>
    <w:p>
      <w:pPr>
        <w:pStyle w:val="Normal0"/>
        <w:spacing w:before="205" w:beforeLines="50" w:after="205" w:afterLines="50" w:line="360" w:lineRule="auto"/>
        <w:rPr>
          <w:rFonts w:hint="eastAsia"/>
          <w:b/>
          <w:sz w:val="28"/>
          <w:szCs w:val="28"/>
        </w:rPr>
      </w:pPr>
      <w:r>
        <w:rPr>
          <w:rFonts w:hint="eastAsia"/>
          <w:b/>
          <w:sz w:val="28"/>
          <w:szCs w:val="28"/>
        </w:rPr>
        <w:t>3.5.2</w:t>
      </w:r>
      <w:r>
        <w:rPr>
          <w:rFonts w:hint="eastAsia"/>
          <w:b/>
          <w:sz w:val="28"/>
          <w:szCs w:val="28"/>
          <w:lang w:eastAsia="zh-CN"/>
        </w:rPr>
        <w:t>相关项目</w:t>
      </w:r>
      <w:r>
        <w:rPr>
          <w:rFonts w:hint="eastAsia"/>
          <w:b/>
          <w:sz w:val="28"/>
          <w:szCs w:val="28"/>
        </w:rPr>
        <w:t>发展威胁  Weakness</w:t>
      </w:r>
    </w:p>
    <w:p>
      <w:pPr>
        <w:pStyle w:val="Normal0"/>
        <w:spacing w:line="360" w:lineRule="auto"/>
        <w:ind w:firstLine="560" w:firstLineChars="200"/>
        <w:rPr>
          <w:rFonts w:hint="eastAsia"/>
          <w:sz w:val="28"/>
          <w:szCs w:val="28"/>
        </w:rPr>
      </w:pPr>
      <w:r>
        <w:rPr>
          <w:rFonts w:hint="eastAsia"/>
          <w:sz w:val="28"/>
          <w:szCs w:val="28"/>
        </w:rPr>
        <w:t>1、业态与周边的建材市场部分重叠，可能会有相关方面的利益冲突；</w:t>
      </w:r>
    </w:p>
    <w:p>
      <w:pPr>
        <w:pStyle w:val="Normal0"/>
        <w:spacing w:line="360" w:lineRule="auto"/>
        <w:ind w:firstLine="560" w:firstLineChars="200"/>
        <w:rPr>
          <w:rFonts w:hint="eastAsia"/>
          <w:sz w:val="28"/>
          <w:szCs w:val="28"/>
        </w:rPr>
      </w:pPr>
      <w:r>
        <w:rPr>
          <w:rFonts w:hint="eastAsia"/>
          <w:sz w:val="28"/>
          <w:szCs w:val="28"/>
        </w:rPr>
        <w:t>3、行业商铺租赁价格多少，对</w:t>
      </w:r>
      <w:r>
        <w:rPr>
          <w:rFonts w:hint="eastAsia"/>
          <w:sz w:val="28"/>
          <w:szCs w:val="28"/>
          <w:lang w:eastAsia="zh-CN"/>
        </w:rPr>
        <w:t>相关项目</w:t>
      </w:r>
      <w:r>
        <w:rPr>
          <w:rFonts w:hint="eastAsia"/>
          <w:sz w:val="28"/>
          <w:szCs w:val="28"/>
        </w:rPr>
        <w:t>销售价格的高低存在一定的压力，需要大力引导，并采取一定的返租、免租政策；</w:t>
      </w:r>
    </w:p>
    <w:p>
      <w:pPr>
        <w:pStyle w:val="Normal0"/>
        <w:spacing w:line="360" w:lineRule="auto"/>
        <w:ind w:firstLine="560" w:firstLineChars="200"/>
        <w:rPr>
          <w:rFonts w:hint="eastAsia"/>
          <w:sz w:val="28"/>
          <w:szCs w:val="28"/>
        </w:rPr>
      </w:pPr>
      <w:r>
        <w:rPr>
          <w:rFonts w:hint="eastAsia"/>
          <w:sz w:val="28"/>
          <w:szCs w:val="28"/>
        </w:rPr>
        <w:t>4、周边存在的自发形成的市场地位难以撼动，</w:t>
      </w:r>
      <w:r>
        <w:rPr>
          <w:rFonts w:hint="eastAsia"/>
          <w:sz w:val="28"/>
          <w:szCs w:val="28"/>
          <w:lang w:eastAsia="zh-CN"/>
        </w:rPr>
        <w:t>相关项目</w:t>
      </w:r>
      <w:r>
        <w:rPr>
          <w:rFonts w:hint="eastAsia"/>
          <w:sz w:val="28"/>
          <w:szCs w:val="28"/>
        </w:rPr>
        <w:t>招商面临不小的压力；</w:t>
      </w:r>
    </w:p>
    <w:p>
      <w:pPr>
        <w:pStyle w:val="Normal0"/>
        <w:spacing w:line="360" w:lineRule="auto"/>
        <w:ind w:firstLine="560" w:firstLineChars="200"/>
        <w:rPr>
          <w:rFonts w:hint="eastAsia"/>
          <w:sz w:val="28"/>
          <w:szCs w:val="28"/>
        </w:rPr>
      </w:pPr>
      <w:r>
        <w:rPr>
          <w:rFonts w:hint="eastAsia"/>
          <w:sz w:val="28"/>
          <w:szCs w:val="28"/>
        </w:rPr>
        <w:t>5、经营户大多不愿意进驻楼上，</w:t>
      </w:r>
      <w:r>
        <w:rPr>
          <w:rFonts w:hint="eastAsia"/>
          <w:sz w:val="28"/>
          <w:szCs w:val="28"/>
          <w:lang w:eastAsia="zh-CN"/>
        </w:rPr>
        <w:t>相关项目</w:t>
      </w:r>
      <w:r>
        <w:rPr>
          <w:rFonts w:hint="eastAsia"/>
          <w:sz w:val="28"/>
          <w:szCs w:val="28"/>
        </w:rPr>
        <w:t>楼上的销售和招商面临困难，需通过主力店设置进行良好的规避和化解；</w:t>
      </w:r>
    </w:p>
    <w:p>
      <w:pPr>
        <w:pStyle w:val="Normal0"/>
        <w:spacing w:line="360" w:lineRule="auto"/>
        <w:ind w:firstLine="560" w:firstLineChars="200"/>
        <w:rPr>
          <w:rFonts w:hint="eastAsia"/>
          <w:sz w:val="28"/>
          <w:szCs w:val="28"/>
        </w:rPr>
      </w:pPr>
      <w:r>
        <w:rPr>
          <w:rFonts w:hint="eastAsia"/>
          <w:sz w:val="28"/>
          <w:szCs w:val="28"/>
        </w:rPr>
        <w:t>6、部分商家在市场竞争中会丧失行业信心，可能在</w:t>
      </w:r>
      <w:r>
        <w:rPr>
          <w:rFonts w:hint="eastAsia"/>
          <w:sz w:val="28"/>
          <w:szCs w:val="28"/>
          <w:lang w:eastAsia="zh-CN"/>
        </w:rPr>
        <w:t>相关项目</w:t>
      </w:r>
      <w:r>
        <w:rPr>
          <w:rFonts w:hint="eastAsia"/>
          <w:sz w:val="28"/>
          <w:szCs w:val="28"/>
        </w:rPr>
        <w:t>发展过程中起负面作用；</w:t>
      </w:r>
    </w:p>
    <w:p>
      <w:pPr>
        <w:pStyle w:val="Normal0"/>
        <w:spacing w:line="360" w:lineRule="auto"/>
        <w:ind w:firstLine="560" w:firstLineChars="200"/>
        <w:rPr>
          <w:rFonts w:hint="eastAsia"/>
          <w:sz w:val="28"/>
          <w:szCs w:val="28"/>
        </w:rPr>
      </w:pPr>
      <w:r>
        <w:rPr>
          <w:rFonts w:hint="eastAsia"/>
          <w:sz w:val="28"/>
          <w:szCs w:val="28"/>
        </w:rPr>
        <w:t>7、失败商铺投资案例使部分市民丧失了投资信心，市民对商铺投资已经更为谨慎和理性。</w:t>
      </w:r>
    </w:p>
    <w:p>
      <w:pPr>
        <w:pStyle w:val="Normal0"/>
        <w:spacing w:before="205" w:beforeLines="50" w:after="205" w:afterLines="50" w:line="360" w:lineRule="auto"/>
        <w:rPr>
          <w:rFonts w:hint="eastAsia"/>
          <w:b/>
          <w:sz w:val="28"/>
          <w:szCs w:val="28"/>
        </w:rPr>
        <w:sectPr>
          <w:headerReference w:type="even" r:id="rId199"/>
          <w:headerReference w:type="default" r:id="rId200"/>
          <w:footerReference w:type="even" r:id="rId201"/>
          <w:footerReference w:type="default" r:id="rId202"/>
          <w:headerReference w:type="first" r:id="rId203"/>
          <w:footerReference w:type="first" r:id="rId204"/>
          <w:type w:val="nextPage"/>
          <w:pgSz w:w="11906" w:h="16838"/>
          <w:pgMar w:top="1440" w:right="1797" w:bottom="1440" w:left="1797" w:header="851" w:footer="992" w:gutter="0"/>
          <w:pgNumType w:start="29"/>
          <w:cols w:num="1" w:space="425"/>
          <w:titlePg w:val="0"/>
          <w:docGrid w:type="lines" w:linePitch="410" w:charSpace="0"/>
        </w:sectPr>
      </w:pPr>
      <w:r>
        <w:rPr>
          <w:rFonts w:hint="eastAsia"/>
          <w:b/>
          <w:sz w:val="28"/>
          <w:szCs w:val="28"/>
        </w:rPr>
        <w:t>3.5.3</w:t>
      </w:r>
      <w:r>
        <w:rPr>
          <w:rFonts w:hint="eastAsia"/>
          <w:b/>
          <w:sz w:val="28"/>
          <w:szCs w:val="28"/>
          <w:lang w:eastAsia="zh-CN"/>
        </w:rPr>
        <w:t>相关项目</w:t>
      </w:r>
      <w:r>
        <w:rPr>
          <w:rFonts w:hint="eastAsia"/>
          <w:b/>
          <w:sz w:val="28"/>
          <w:szCs w:val="28"/>
        </w:rPr>
        <w:t>发展优势   Strength</w:t>
      </w:r>
    </w:p>
    <w:p>
      <w:pPr>
        <w:pStyle w:val="Normal0"/>
        <w:spacing w:line="360" w:lineRule="auto"/>
        <w:ind w:firstLine="560" w:firstLineChars="200"/>
        <w:rPr>
          <w:rFonts w:hint="eastAsia"/>
          <w:sz w:val="28"/>
          <w:szCs w:val="28"/>
        </w:rPr>
      </w:pPr>
      <w:r>
        <w:rPr>
          <w:rFonts w:hint="eastAsia"/>
          <w:sz w:val="28"/>
          <w:szCs w:val="28"/>
        </w:rPr>
        <w:t>1、地理位置优势；</w:t>
      </w:r>
    </w:p>
    <w:p>
      <w:pPr>
        <w:pStyle w:val="Normal0"/>
        <w:spacing w:line="360" w:lineRule="auto"/>
        <w:ind w:firstLine="560" w:firstLineChars="200"/>
        <w:rPr>
          <w:rFonts w:hint="eastAsia"/>
          <w:sz w:val="28"/>
          <w:szCs w:val="28"/>
        </w:rPr>
      </w:pPr>
      <w:r>
        <w:rPr>
          <w:rFonts w:hint="eastAsia"/>
          <w:sz w:val="28"/>
          <w:szCs w:val="28"/>
        </w:rPr>
        <w:t>2、临街面可以在建筑规划上进行适当延长，有利于提高整体商业价值</w:t>
      </w:r>
    </w:p>
    <w:p>
      <w:pPr>
        <w:pStyle w:val="Normal0"/>
        <w:spacing w:line="360" w:lineRule="auto"/>
        <w:ind w:firstLine="560" w:firstLineChars="200"/>
        <w:rPr>
          <w:rFonts w:hint="eastAsia"/>
          <w:sz w:val="28"/>
          <w:szCs w:val="28"/>
        </w:rPr>
      </w:pPr>
      <w:r>
        <w:rPr>
          <w:rFonts w:hint="eastAsia"/>
          <w:sz w:val="28"/>
          <w:szCs w:val="28"/>
        </w:rPr>
        <w:t>3、地块规模适中，体量不大，适宜于快速消化；</w:t>
      </w:r>
    </w:p>
    <w:p>
      <w:pPr>
        <w:pStyle w:val="Normal0"/>
        <w:spacing w:line="360" w:lineRule="auto"/>
        <w:ind w:firstLine="560" w:firstLineChars="200"/>
        <w:rPr>
          <w:rFonts w:hint="eastAsia"/>
          <w:sz w:val="28"/>
          <w:szCs w:val="28"/>
        </w:rPr>
      </w:pPr>
      <w:r>
        <w:rPr>
          <w:rFonts w:hint="eastAsia"/>
          <w:sz w:val="28"/>
          <w:szCs w:val="28"/>
        </w:rPr>
        <w:t>4、受行业及周边市场影响明显，未来升值前景可观；</w:t>
      </w:r>
    </w:p>
    <w:p>
      <w:pPr>
        <w:pStyle w:val="Normal0"/>
        <w:spacing w:line="360" w:lineRule="auto"/>
        <w:ind w:firstLine="560" w:firstLineChars="200"/>
        <w:rPr>
          <w:rFonts w:hint="eastAsia"/>
          <w:sz w:val="28"/>
          <w:szCs w:val="28"/>
        </w:rPr>
      </w:pPr>
      <w:r>
        <w:rPr>
          <w:rFonts w:hint="eastAsia"/>
          <w:sz w:val="28"/>
          <w:szCs w:val="28"/>
        </w:rPr>
        <w:t>5、本</w:t>
      </w:r>
      <w:r>
        <w:rPr>
          <w:rFonts w:hint="eastAsia"/>
          <w:sz w:val="28"/>
          <w:szCs w:val="28"/>
          <w:lang w:eastAsia="zh-CN"/>
        </w:rPr>
        <w:t>相关项目</w:t>
      </w:r>
      <w:r>
        <w:rPr>
          <w:rFonts w:hint="eastAsia"/>
          <w:sz w:val="28"/>
          <w:szCs w:val="28"/>
        </w:rPr>
        <w:t>为填补市场空白的</w:t>
      </w:r>
      <w:r>
        <w:rPr>
          <w:rFonts w:hint="eastAsia"/>
          <w:sz w:val="28"/>
          <w:szCs w:val="28"/>
          <w:lang w:eastAsia="zh-CN"/>
        </w:rPr>
        <w:t>相关项目</w:t>
      </w:r>
      <w:r>
        <w:rPr>
          <w:rFonts w:hint="eastAsia"/>
          <w:sz w:val="28"/>
          <w:szCs w:val="28"/>
        </w:rPr>
        <w:t>，发展机会和空间较大；</w:t>
      </w:r>
    </w:p>
    <w:p>
      <w:pPr>
        <w:pStyle w:val="Normal0"/>
        <w:spacing w:line="360" w:lineRule="auto"/>
        <w:ind w:firstLine="560" w:firstLineChars="200"/>
        <w:rPr>
          <w:rFonts w:hint="eastAsia"/>
          <w:sz w:val="28"/>
          <w:szCs w:val="28"/>
        </w:rPr>
      </w:pPr>
      <w:r>
        <w:rPr>
          <w:rFonts w:hint="eastAsia"/>
          <w:sz w:val="28"/>
          <w:szCs w:val="28"/>
        </w:rPr>
        <w:t>6、</w:t>
      </w:r>
      <w:r>
        <w:rPr>
          <w:rFonts w:hint="eastAsia"/>
          <w:sz w:val="28"/>
          <w:szCs w:val="28"/>
          <w:lang w:eastAsia="zh-CN"/>
        </w:rPr>
        <w:t>相关项目</w:t>
      </w:r>
      <w:r>
        <w:rPr>
          <w:rFonts w:hint="eastAsia"/>
          <w:sz w:val="28"/>
          <w:szCs w:val="28"/>
        </w:rPr>
        <w:t>总体成本不高，从而降低了销售单价，有利于中小客户的投资；</w:t>
      </w:r>
    </w:p>
    <w:p>
      <w:pPr>
        <w:pStyle w:val="Normal0"/>
        <w:spacing w:line="360" w:lineRule="auto"/>
        <w:ind w:firstLine="560" w:firstLineChars="200"/>
        <w:rPr>
          <w:rFonts w:hint="eastAsia"/>
          <w:sz w:val="28"/>
          <w:szCs w:val="28"/>
        </w:rPr>
      </w:pPr>
      <w:r>
        <w:rPr>
          <w:rFonts w:hint="eastAsia"/>
          <w:sz w:val="28"/>
          <w:szCs w:val="28"/>
        </w:rPr>
        <w:t>7、</w:t>
      </w:r>
      <w:r>
        <w:rPr>
          <w:rFonts w:hint="eastAsia"/>
          <w:sz w:val="28"/>
          <w:szCs w:val="28"/>
          <w:lang w:eastAsia="zh-CN"/>
        </w:rPr>
        <w:t>相关项目</w:t>
      </w:r>
      <w:r>
        <w:rPr>
          <w:rFonts w:hint="eastAsia"/>
          <w:sz w:val="28"/>
          <w:szCs w:val="28"/>
        </w:rPr>
        <w:t>引进主力店的营销策略，将有利于本</w:t>
      </w:r>
      <w:r>
        <w:rPr>
          <w:rFonts w:hint="eastAsia"/>
          <w:sz w:val="28"/>
          <w:szCs w:val="28"/>
          <w:lang w:eastAsia="zh-CN"/>
        </w:rPr>
        <w:t>相关项目</w:t>
      </w:r>
      <w:r>
        <w:rPr>
          <w:rFonts w:hint="eastAsia"/>
          <w:sz w:val="28"/>
          <w:szCs w:val="28"/>
        </w:rPr>
        <w:t>刷新建机建材行业格局，成为市场领袖。</w:t>
      </w:r>
    </w:p>
    <w:p>
      <w:pPr>
        <w:pStyle w:val="Normal0"/>
        <w:spacing w:before="205" w:beforeLines="50" w:after="205" w:afterLines="50" w:line="360" w:lineRule="auto"/>
        <w:rPr>
          <w:rFonts w:hint="eastAsia"/>
          <w:b/>
          <w:sz w:val="28"/>
          <w:szCs w:val="28"/>
        </w:rPr>
      </w:pPr>
      <w:r>
        <w:rPr>
          <w:rFonts w:hint="eastAsia"/>
          <w:b/>
          <w:sz w:val="28"/>
          <w:szCs w:val="28"/>
        </w:rPr>
        <w:t>3.5.4</w:t>
      </w:r>
      <w:r>
        <w:rPr>
          <w:rFonts w:hint="eastAsia"/>
          <w:b/>
          <w:sz w:val="28"/>
          <w:szCs w:val="28"/>
          <w:lang w:eastAsia="zh-CN"/>
        </w:rPr>
        <w:t>相关项目</w:t>
      </w:r>
      <w:r>
        <w:rPr>
          <w:rFonts w:hint="eastAsia"/>
          <w:b/>
          <w:sz w:val="28"/>
          <w:szCs w:val="28"/>
        </w:rPr>
        <w:t>发展劣势  Threat</w:t>
      </w:r>
    </w:p>
    <w:p>
      <w:pPr>
        <w:pStyle w:val="Normal0"/>
        <w:spacing w:line="360" w:lineRule="auto"/>
        <w:ind w:firstLine="560" w:firstLineChars="200"/>
        <w:rPr>
          <w:rFonts w:hint="eastAsia"/>
          <w:sz w:val="28"/>
          <w:szCs w:val="28"/>
        </w:rPr>
      </w:pPr>
      <w:r>
        <w:rPr>
          <w:rFonts w:hint="eastAsia"/>
          <w:sz w:val="28"/>
          <w:szCs w:val="28"/>
        </w:rPr>
        <w:t>1、</w:t>
      </w:r>
      <w:r>
        <w:rPr>
          <w:rFonts w:hint="eastAsia"/>
          <w:sz w:val="28"/>
          <w:szCs w:val="28"/>
          <w:lang w:eastAsia="zh-CN"/>
        </w:rPr>
        <w:t>相关项目</w:t>
      </w:r>
      <w:r>
        <w:rPr>
          <w:rFonts w:hint="eastAsia"/>
          <w:sz w:val="28"/>
          <w:szCs w:val="28"/>
        </w:rPr>
        <w:t>所在地街区面貌有待改善；</w:t>
      </w:r>
    </w:p>
    <w:p>
      <w:pPr>
        <w:pStyle w:val="Normal0"/>
        <w:spacing w:line="360" w:lineRule="auto"/>
        <w:ind w:firstLine="560" w:firstLineChars="200"/>
        <w:rPr>
          <w:rFonts w:hint="eastAsia"/>
          <w:sz w:val="28"/>
          <w:szCs w:val="28"/>
        </w:rPr>
      </w:pPr>
      <w:r>
        <w:rPr>
          <w:rFonts w:hint="eastAsia"/>
          <w:sz w:val="28"/>
          <w:szCs w:val="28"/>
        </w:rPr>
        <w:t>2、人流量有限；</w:t>
      </w:r>
    </w:p>
    <w:p>
      <w:pPr>
        <w:pStyle w:val="Normal0"/>
        <w:spacing w:line="360" w:lineRule="auto"/>
        <w:ind w:firstLine="560" w:firstLineChars="200"/>
        <w:rPr>
          <w:rFonts w:hint="eastAsia"/>
          <w:sz w:val="28"/>
          <w:szCs w:val="28"/>
        </w:rPr>
      </w:pPr>
      <w:r>
        <w:rPr>
          <w:rFonts w:hint="eastAsia"/>
          <w:sz w:val="28"/>
          <w:szCs w:val="28"/>
        </w:rPr>
        <w:t>3、商业气氛尚不浓厚；</w:t>
      </w:r>
    </w:p>
    <w:p>
      <w:pPr>
        <w:pStyle w:val="Normal0"/>
        <w:spacing w:line="360" w:lineRule="auto"/>
        <w:ind w:firstLine="560" w:firstLineChars="200"/>
        <w:rPr>
          <w:rFonts w:hint="eastAsia"/>
          <w:sz w:val="28"/>
          <w:szCs w:val="28"/>
        </w:rPr>
      </w:pPr>
      <w:r>
        <w:rPr>
          <w:rFonts w:hint="eastAsia"/>
          <w:sz w:val="28"/>
          <w:szCs w:val="28"/>
        </w:rPr>
        <w:t>4、部分经营户和市民对本</w:t>
      </w:r>
      <w:r>
        <w:rPr>
          <w:rFonts w:hint="eastAsia"/>
          <w:sz w:val="28"/>
          <w:szCs w:val="28"/>
          <w:lang w:eastAsia="zh-CN"/>
        </w:rPr>
        <w:t>相关项目</w:t>
      </w:r>
      <w:r>
        <w:rPr>
          <w:rFonts w:hint="eastAsia"/>
          <w:sz w:val="28"/>
          <w:szCs w:val="28"/>
        </w:rPr>
        <w:t>地段抱怀疑态；</w:t>
      </w:r>
    </w:p>
    <w:p>
      <w:pPr>
        <w:pStyle w:val="Normal0"/>
        <w:spacing w:line="360" w:lineRule="auto"/>
        <w:ind w:firstLine="560" w:firstLineChars="200"/>
        <w:rPr>
          <w:rFonts w:hint="eastAsia"/>
          <w:sz w:val="28"/>
          <w:szCs w:val="28"/>
        </w:rPr>
      </w:pPr>
      <w:r>
        <w:rPr>
          <w:rFonts w:hint="eastAsia"/>
          <w:sz w:val="28"/>
          <w:szCs w:val="28"/>
        </w:rPr>
        <w:t>5、增加了</w:t>
      </w:r>
      <w:r>
        <w:rPr>
          <w:rFonts w:hint="eastAsia"/>
          <w:sz w:val="28"/>
          <w:szCs w:val="28"/>
          <w:lang w:eastAsia="zh-CN"/>
        </w:rPr>
        <w:t>相关项目</w:t>
      </w:r>
      <w:r>
        <w:rPr>
          <w:rFonts w:hint="eastAsia"/>
          <w:sz w:val="28"/>
          <w:szCs w:val="28"/>
        </w:rPr>
        <w:t>宣传推广难度；</w:t>
      </w:r>
    </w:p>
    <w:p>
      <w:pPr>
        <w:pStyle w:val="Normal0"/>
        <w:spacing w:line="360" w:lineRule="auto"/>
        <w:ind w:firstLine="560" w:firstLineChars="200"/>
        <w:rPr>
          <w:rFonts w:hint="eastAsia"/>
          <w:sz w:val="28"/>
          <w:szCs w:val="28"/>
        </w:rPr>
      </w:pPr>
      <w:r>
        <w:rPr>
          <w:rFonts w:hint="eastAsia"/>
          <w:sz w:val="28"/>
          <w:szCs w:val="28"/>
        </w:rPr>
        <w:t>6、推广、招商难度加大；</w:t>
      </w:r>
    </w:p>
    <w:p>
      <w:pPr>
        <w:pStyle w:val="Normal0"/>
        <w:spacing w:line="360" w:lineRule="auto"/>
        <w:ind w:firstLine="560" w:firstLineChars="200"/>
        <w:rPr>
          <w:rFonts w:hint="eastAsia"/>
          <w:sz w:val="28"/>
          <w:szCs w:val="28"/>
        </w:rPr>
      </w:pPr>
      <w:r>
        <w:rPr>
          <w:rFonts w:hint="eastAsia"/>
          <w:sz w:val="28"/>
          <w:szCs w:val="28"/>
        </w:rPr>
        <w:t>7、推广、招商费用增加；</w:t>
      </w:r>
    </w:p>
    <w:p>
      <w:pPr>
        <w:pStyle w:val="Normal0"/>
        <w:spacing w:line="360" w:lineRule="auto"/>
        <w:ind w:firstLine="560" w:firstLineChars="200"/>
        <w:rPr>
          <w:rFonts w:hint="eastAsia"/>
          <w:sz w:val="28"/>
          <w:szCs w:val="28"/>
        </w:rPr>
      </w:pPr>
      <w:r>
        <w:rPr>
          <w:rFonts w:hint="eastAsia"/>
          <w:sz w:val="28"/>
          <w:szCs w:val="28"/>
        </w:rPr>
        <w:t>8、地块规模有限；</w:t>
      </w:r>
    </w:p>
    <w:p>
      <w:pPr>
        <w:pStyle w:val="Normal0"/>
        <w:spacing w:line="360" w:lineRule="auto"/>
        <w:ind w:firstLine="560" w:firstLineChars="200"/>
        <w:rPr>
          <w:rFonts w:hint="eastAsia"/>
          <w:sz w:val="28"/>
          <w:szCs w:val="28"/>
        </w:rPr>
      </w:pPr>
      <w:r>
        <w:rPr>
          <w:rFonts w:hint="eastAsia"/>
          <w:sz w:val="28"/>
          <w:szCs w:val="28"/>
        </w:rPr>
        <w:t>9、市场对</w:t>
      </w:r>
      <w:r>
        <w:rPr>
          <w:rFonts w:hint="eastAsia"/>
          <w:sz w:val="28"/>
          <w:szCs w:val="28"/>
          <w:lang w:eastAsia="zh-CN"/>
        </w:rPr>
        <w:t>相关项目</w:t>
      </w:r>
      <w:r>
        <w:rPr>
          <w:rFonts w:hint="eastAsia"/>
          <w:sz w:val="28"/>
          <w:szCs w:val="28"/>
        </w:rPr>
        <w:t>预计的销售价格和租赁价格存在接受难度。</w:t>
      </w:r>
    </w:p>
    <w:p>
      <w:pPr>
        <w:pStyle w:val="Normal0"/>
        <w:spacing w:line="360" w:lineRule="auto"/>
        <w:ind w:firstLine="560" w:firstLineChars="200"/>
        <w:rPr>
          <w:sz w:val="28"/>
          <w:szCs w:val="28"/>
        </w:rPr>
        <w:sectPr>
          <w:headerReference w:type="even" r:id="rId205"/>
          <w:headerReference w:type="default" r:id="rId206"/>
          <w:footerReference w:type="even" r:id="rId207"/>
          <w:footerReference w:type="default" r:id="rId208"/>
          <w:headerReference w:type="first" r:id="rId209"/>
          <w:footerReference w:type="first" r:id="rId210"/>
          <w:type w:val="nextPage"/>
          <w:pgSz w:w="11906" w:h="16838"/>
          <w:pgMar w:top="1440" w:right="1797" w:bottom="1440" w:left="1797" w:header="851" w:footer="992" w:gutter="0"/>
          <w:pgNumType w:start="30"/>
          <w:cols w:num="1" w:space="425"/>
          <w:titlePg w:val="0"/>
          <w:docGrid w:type="lines" w:linePitch="410" w:charSpace="0"/>
        </w:sectPr>
      </w:pPr>
    </w:p>
    <w:p>
      <w:pPr>
        <w:pStyle w:val="Heading2"/>
        <w:spacing w:before="205" w:beforeLines="50" w:after="205" w:afterLines="50" w:line="360" w:lineRule="auto"/>
        <w:rPr>
          <w:rFonts w:ascii="Times New Roman" w:hAnsi="Times New Roman"/>
          <w:b w:val="0"/>
        </w:rPr>
      </w:pPr>
      <w:bookmarkStart w:id="20" w:name="_Toc231630224"/>
      <w:bookmarkStart w:id="21" w:name="_Toc353747191"/>
      <w:r>
        <w:rPr>
          <w:rFonts w:ascii="Times New Roman" w:hAnsi="Times New Roman"/>
          <w:b w:val="0"/>
        </w:rPr>
        <w:t>3.</w:t>
      </w:r>
      <w:bookmarkEnd w:id="20"/>
      <w:r>
        <w:rPr>
          <w:rFonts w:ascii="Times New Roman" w:hAnsi="Times New Roman" w:hint="eastAsia"/>
          <w:b w:val="0"/>
        </w:rPr>
        <w:t>6</w:t>
      </w:r>
      <w:r>
        <w:rPr>
          <w:rFonts w:ascii="Times New Roman" w:hAnsi="Times New Roman" w:hint="eastAsia"/>
          <w:b w:val="0"/>
          <w:lang w:eastAsia="zh-CN"/>
        </w:rPr>
        <w:t>相关项目</w:t>
      </w:r>
      <w:r>
        <w:rPr>
          <w:rFonts w:ascii="Times New Roman" w:hAnsi="Times New Roman" w:hint="eastAsia"/>
          <w:b w:val="0"/>
        </w:rPr>
        <w:t>营销推广</w:t>
      </w:r>
      <w:bookmarkEnd w:id="21"/>
    </w:p>
    <w:p>
      <w:pPr>
        <w:pStyle w:val="Normal0"/>
        <w:spacing w:line="360" w:lineRule="auto"/>
        <w:ind w:firstLine="560" w:firstLineChars="200"/>
        <w:rPr>
          <w:rFonts w:hint="eastAsia"/>
          <w:sz w:val="28"/>
          <w:szCs w:val="28"/>
        </w:rPr>
      </w:pPr>
      <w:r>
        <w:rPr>
          <w:rFonts w:hint="eastAsia"/>
          <w:sz w:val="28"/>
          <w:szCs w:val="28"/>
        </w:rPr>
        <w:t>以严格缜密的推广设计、紧密衔接的推广步骤以及最具爆炸力的推广方式，快速提升安徽省广德县富通国际建机建材城的知名度与美誉度，实现发展商锻造顶级建机建材城品牌的终极目标。</w:t>
      </w:r>
    </w:p>
    <w:p>
      <w:pPr>
        <w:pStyle w:val="Normal0"/>
        <w:spacing w:line="360" w:lineRule="auto"/>
        <w:ind w:firstLine="560" w:firstLineChars="200"/>
        <w:rPr>
          <w:rFonts w:hint="eastAsia"/>
          <w:sz w:val="28"/>
          <w:szCs w:val="28"/>
        </w:rPr>
      </w:pPr>
      <w:r>
        <w:rPr>
          <w:rFonts w:hint="eastAsia"/>
          <w:sz w:val="28"/>
          <w:szCs w:val="28"/>
        </w:rPr>
        <w:t>1、选择适当媒体，为创意提供最佳的演出舞台与发挥空间，使广告对经营商户及消费者产生最佳的说服效果。</w:t>
      </w:r>
    </w:p>
    <w:p>
      <w:pPr>
        <w:pStyle w:val="Normal0"/>
        <w:spacing w:line="360" w:lineRule="auto"/>
        <w:ind w:firstLine="560" w:firstLineChars="200"/>
        <w:rPr>
          <w:rFonts w:hint="eastAsia"/>
          <w:sz w:val="28"/>
          <w:szCs w:val="28"/>
        </w:rPr>
      </w:pPr>
      <w:r>
        <w:rPr>
          <w:rFonts w:hint="eastAsia"/>
          <w:sz w:val="28"/>
          <w:szCs w:val="28"/>
        </w:rPr>
        <w:t>2、通过科学的媒介投放组合策略，制造声势，在保证足够的有效到达率，避免不必要浪费的前提下，吸引经营商户前来咨询，感受现场氛围，产生入驻本</w:t>
      </w:r>
      <w:r>
        <w:rPr>
          <w:rFonts w:hint="eastAsia"/>
          <w:sz w:val="28"/>
          <w:szCs w:val="28"/>
          <w:lang w:eastAsia="zh-CN"/>
        </w:rPr>
        <w:t>相关项目</w:t>
      </w:r>
      <w:r>
        <w:rPr>
          <w:rFonts w:hint="eastAsia"/>
          <w:sz w:val="28"/>
          <w:szCs w:val="28"/>
        </w:rPr>
        <w:t>的欲望。</w:t>
      </w:r>
    </w:p>
    <w:p>
      <w:pPr>
        <w:pStyle w:val="Normal0"/>
        <w:spacing w:line="360" w:lineRule="auto"/>
        <w:ind w:firstLine="560" w:firstLineChars="200"/>
        <w:rPr>
          <w:rFonts w:hint="eastAsia"/>
          <w:sz w:val="28"/>
          <w:szCs w:val="28"/>
        </w:rPr>
      </w:pPr>
      <w:r>
        <w:rPr>
          <w:rFonts w:hint="eastAsia"/>
          <w:sz w:val="28"/>
          <w:szCs w:val="28"/>
        </w:rPr>
        <w:t>3、树立发展商及</w:t>
      </w:r>
      <w:r>
        <w:rPr>
          <w:rFonts w:hint="eastAsia"/>
          <w:sz w:val="28"/>
          <w:szCs w:val="28"/>
          <w:lang w:eastAsia="zh-CN"/>
        </w:rPr>
        <w:t>相关项目</w:t>
      </w:r>
      <w:r>
        <w:rPr>
          <w:rFonts w:hint="eastAsia"/>
          <w:sz w:val="28"/>
          <w:szCs w:val="28"/>
        </w:rPr>
        <w:t>形象，增强经营商户的信心，发挥口碑宣传的优势，提高</w:t>
      </w:r>
      <w:r>
        <w:rPr>
          <w:rFonts w:hint="eastAsia"/>
          <w:sz w:val="28"/>
          <w:szCs w:val="28"/>
          <w:lang w:eastAsia="zh-CN"/>
        </w:rPr>
        <w:t>相关项目</w:t>
      </w:r>
      <w:r>
        <w:rPr>
          <w:rFonts w:hint="eastAsia"/>
          <w:sz w:val="28"/>
          <w:szCs w:val="28"/>
        </w:rPr>
        <w:t>的知名度和美誉度。通过市场推广，有力配合招商工作，使本</w:t>
      </w:r>
      <w:r>
        <w:rPr>
          <w:rFonts w:hint="eastAsia"/>
          <w:sz w:val="28"/>
          <w:szCs w:val="28"/>
          <w:lang w:eastAsia="zh-CN"/>
        </w:rPr>
        <w:t>相关项目</w:t>
      </w:r>
      <w:r>
        <w:rPr>
          <w:rFonts w:hint="eastAsia"/>
          <w:sz w:val="28"/>
          <w:szCs w:val="28"/>
        </w:rPr>
        <w:t>尽可能短的时间内打开局面，迅速实现回笼资金。</w:t>
      </w:r>
    </w:p>
    <w:p>
      <w:pPr>
        <w:pStyle w:val="Normal0"/>
        <w:spacing w:line="360" w:lineRule="auto"/>
        <w:ind w:firstLine="560" w:firstLineChars="200"/>
        <w:rPr>
          <w:rFonts w:hint="eastAsia"/>
          <w:sz w:val="28"/>
          <w:szCs w:val="28"/>
        </w:rPr>
      </w:pPr>
      <w:r>
        <w:rPr>
          <w:rFonts w:hint="eastAsia"/>
          <w:sz w:val="28"/>
          <w:szCs w:val="28"/>
        </w:rPr>
        <w:t>4、发展商与经营商户精诚合作，共同锻造</w:t>
      </w:r>
      <w:r>
        <w:rPr>
          <w:rFonts w:hint="eastAsia"/>
          <w:sz w:val="28"/>
          <w:szCs w:val="28"/>
          <w:lang w:eastAsia="zh-CN"/>
        </w:rPr>
        <w:t>相关项目</w:t>
      </w:r>
      <w:r>
        <w:rPr>
          <w:rFonts w:hint="eastAsia"/>
          <w:sz w:val="28"/>
          <w:szCs w:val="28"/>
        </w:rPr>
        <w:t>品牌，实现‘双赢’的目标。并以可持续发展的经营理念，确保为</w:t>
      </w:r>
      <w:r>
        <w:rPr>
          <w:rFonts w:hint="eastAsia"/>
          <w:sz w:val="28"/>
          <w:szCs w:val="28"/>
          <w:lang w:eastAsia="zh-CN"/>
        </w:rPr>
        <w:t>相关项目</w:t>
      </w:r>
      <w:r>
        <w:rPr>
          <w:rFonts w:hint="eastAsia"/>
          <w:sz w:val="28"/>
          <w:szCs w:val="28"/>
        </w:rPr>
        <w:t>以后的经营发展夯实基础。</w:t>
      </w:r>
    </w:p>
    <w:p>
      <w:pPr>
        <w:pStyle w:val="Normal0"/>
        <w:spacing w:line="360" w:lineRule="auto"/>
        <w:rPr>
          <w:rFonts w:hint="eastAsia"/>
          <w:sz w:val="28"/>
          <w:szCs w:val="28"/>
        </w:rPr>
      </w:pPr>
    </w:p>
    <w:p>
      <w:pPr>
        <w:pStyle w:val="Normal0"/>
        <w:spacing w:line="360" w:lineRule="auto"/>
        <w:ind w:firstLine="560" w:firstLineChars="200"/>
        <w:rPr>
          <w:sz w:val="28"/>
          <w:szCs w:val="28"/>
        </w:rPr>
        <w:sectPr>
          <w:headerReference w:type="even" r:id="rId211"/>
          <w:headerReference w:type="default" r:id="rId212"/>
          <w:footerReference w:type="even" r:id="rId213"/>
          <w:footerReference w:type="default" r:id="rId214"/>
          <w:headerReference w:type="first" r:id="rId215"/>
          <w:footerReference w:type="first" r:id="rId216"/>
          <w:type w:val="nextPage"/>
          <w:pgSz w:w="11906" w:h="16838"/>
          <w:pgMar w:top="1440" w:right="1797" w:bottom="1440" w:left="1797" w:header="851" w:footer="992" w:gutter="0"/>
          <w:pgNumType w:start="31"/>
          <w:cols w:num="1" w:space="425"/>
          <w:titlePg w:val="0"/>
          <w:docGrid w:type="lines" w:linePitch="410" w:charSpace="0"/>
        </w:sectPr>
      </w:pPr>
    </w:p>
    <w:p>
      <w:pPr>
        <w:pStyle w:val="Heading1"/>
        <w:spacing w:before="240" w:after="240" w:line="360" w:lineRule="auto"/>
        <w:jc w:val="center"/>
        <w:rPr>
          <w:rFonts w:eastAsia="黑体"/>
          <w:b w:val="0"/>
          <w:sz w:val="36"/>
          <w:szCs w:val="36"/>
        </w:rPr>
      </w:pPr>
      <w:bookmarkStart w:id="22" w:name="_Toc353747192"/>
      <w:bookmarkStart w:id="23" w:name="_Toc231630225"/>
      <w:r>
        <w:rPr>
          <w:rFonts w:eastAsia="黑体"/>
          <w:b w:val="0"/>
          <w:sz w:val="36"/>
          <w:szCs w:val="36"/>
        </w:rPr>
        <w:t xml:space="preserve">第四章  </w:t>
      </w:r>
      <w:r>
        <w:rPr>
          <w:rFonts w:eastAsia="黑体" w:hint="eastAsia"/>
          <w:b w:val="0"/>
          <w:sz w:val="36"/>
          <w:szCs w:val="36"/>
        </w:rPr>
        <w:t>本</w:t>
      </w:r>
      <w:r>
        <w:rPr>
          <w:rFonts w:eastAsia="黑体" w:hint="eastAsia"/>
          <w:b w:val="0"/>
          <w:sz w:val="36"/>
          <w:szCs w:val="36"/>
          <w:lang w:eastAsia="zh-CN"/>
        </w:rPr>
        <w:t>相关项目</w:t>
      </w:r>
      <w:r>
        <w:rPr>
          <w:rFonts w:eastAsia="黑体"/>
          <w:b w:val="0"/>
          <w:sz w:val="36"/>
          <w:szCs w:val="36"/>
        </w:rPr>
        <w:t>建设规模</w:t>
      </w:r>
      <w:bookmarkEnd w:id="22"/>
      <w:bookmarkEnd w:id="23"/>
    </w:p>
    <w:p>
      <w:pPr>
        <w:pStyle w:val="Heading2"/>
        <w:spacing w:before="205" w:beforeLines="50" w:after="205" w:afterLines="50" w:line="360" w:lineRule="auto"/>
        <w:rPr>
          <w:rFonts w:ascii="Times New Roman" w:hAnsi="Times New Roman"/>
          <w:b w:val="0"/>
        </w:rPr>
      </w:pPr>
      <w:bookmarkStart w:id="24" w:name="_Toc353747193"/>
      <w:bookmarkStart w:id="25" w:name="_Toc231630226"/>
      <w:r>
        <w:rPr>
          <w:rFonts w:ascii="Times New Roman" w:hAnsi="Times New Roman"/>
          <w:b w:val="0"/>
        </w:rPr>
        <w:t>4.1 确定原则</w:t>
      </w:r>
      <w:bookmarkEnd w:id="24"/>
      <w:bookmarkEnd w:id="25"/>
    </w:p>
    <w:p>
      <w:pPr>
        <w:pStyle w:val="Normal0"/>
        <w:spacing w:line="360" w:lineRule="auto"/>
        <w:ind w:firstLine="560" w:firstLineChars="200"/>
        <w:rPr>
          <w:sz w:val="28"/>
          <w:szCs w:val="28"/>
        </w:rPr>
      </w:pPr>
      <w:r>
        <w:rPr>
          <w:rFonts w:hint="eastAsia"/>
          <w:sz w:val="28"/>
          <w:szCs w:val="28"/>
        </w:rPr>
        <w:t>安徽省广德县富通国际建机建材城</w:t>
      </w:r>
      <w:r>
        <w:rPr>
          <w:rFonts w:hint="eastAsia"/>
          <w:sz w:val="28"/>
          <w:szCs w:val="28"/>
          <w:lang w:eastAsia="zh-CN"/>
        </w:rPr>
        <w:t>相关项目</w:t>
      </w:r>
      <w:r>
        <w:rPr>
          <w:sz w:val="28"/>
          <w:szCs w:val="28"/>
        </w:rPr>
        <w:t>，属于</w:t>
      </w:r>
      <w:r>
        <w:rPr>
          <w:rFonts w:hint="eastAsia"/>
          <w:sz w:val="28"/>
          <w:szCs w:val="28"/>
        </w:rPr>
        <w:t>商贸业</w:t>
      </w:r>
      <w:r>
        <w:rPr>
          <w:rFonts w:hint="eastAsia"/>
          <w:sz w:val="28"/>
          <w:szCs w:val="28"/>
          <w:lang w:eastAsia="zh-CN"/>
        </w:rPr>
        <w:t>相关项目</w:t>
      </w:r>
      <w:r>
        <w:rPr>
          <w:sz w:val="28"/>
          <w:szCs w:val="28"/>
        </w:rPr>
        <w:t>，建设规模与产品</w:t>
      </w:r>
      <w:r>
        <w:rPr>
          <w:rFonts w:hint="eastAsia"/>
          <w:sz w:val="28"/>
          <w:szCs w:val="28"/>
          <w:lang w:eastAsia="zh-CN"/>
        </w:rPr>
        <w:t>合适的方案</w:t>
      </w:r>
      <w:r>
        <w:rPr>
          <w:sz w:val="28"/>
          <w:szCs w:val="28"/>
        </w:rPr>
        <w:t>确定原则为：</w:t>
      </w:r>
    </w:p>
    <w:p>
      <w:pPr>
        <w:pStyle w:val="Normal0"/>
        <w:spacing w:line="360" w:lineRule="auto"/>
        <w:ind w:firstLine="560" w:firstLineChars="200"/>
        <w:rPr>
          <w:sz w:val="28"/>
          <w:szCs w:val="28"/>
        </w:rPr>
      </w:pPr>
      <w:r>
        <w:rPr>
          <w:sz w:val="28"/>
          <w:szCs w:val="28"/>
        </w:rPr>
        <w:t>（1）符合国家产业政策</w:t>
      </w:r>
      <w:r>
        <w:rPr>
          <w:rFonts w:hint="eastAsia"/>
          <w:sz w:val="28"/>
          <w:szCs w:val="28"/>
        </w:rPr>
        <w:t>，以及广德县经济发展的需求</w:t>
      </w:r>
      <w:r>
        <w:rPr>
          <w:sz w:val="28"/>
          <w:szCs w:val="28"/>
        </w:rPr>
        <w:t>；</w:t>
      </w:r>
    </w:p>
    <w:p>
      <w:pPr>
        <w:pStyle w:val="Normal0"/>
        <w:spacing w:line="360" w:lineRule="auto"/>
        <w:ind w:firstLine="560" w:firstLineChars="200"/>
        <w:rPr>
          <w:sz w:val="28"/>
          <w:szCs w:val="28"/>
        </w:rPr>
      </w:pPr>
      <w:r>
        <w:rPr>
          <w:sz w:val="28"/>
          <w:szCs w:val="28"/>
        </w:rPr>
        <w:t>（2）在满足市场需要的前提下，适应市场竞争的需要；</w:t>
      </w:r>
    </w:p>
    <w:p>
      <w:pPr>
        <w:pStyle w:val="Normal0"/>
        <w:spacing w:line="360" w:lineRule="auto"/>
        <w:ind w:firstLine="560" w:firstLineChars="200"/>
        <w:rPr>
          <w:sz w:val="28"/>
          <w:szCs w:val="28"/>
        </w:rPr>
      </w:pPr>
      <w:r>
        <w:rPr>
          <w:sz w:val="28"/>
          <w:szCs w:val="28"/>
        </w:rPr>
        <w:t>（3）</w:t>
      </w:r>
      <w:r>
        <w:rPr>
          <w:rFonts w:hint="eastAsia"/>
          <w:sz w:val="28"/>
          <w:szCs w:val="28"/>
        </w:rPr>
        <w:t>充分考虑</w:t>
      </w:r>
      <w:r>
        <w:rPr>
          <w:rFonts w:hint="eastAsia"/>
          <w:sz w:val="28"/>
          <w:szCs w:val="28"/>
          <w:lang w:eastAsia="zh-CN"/>
        </w:rPr>
        <w:t>相关项目</w:t>
      </w:r>
      <w:r>
        <w:rPr>
          <w:rFonts w:hint="eastAsia"/>
          <w:sz w:val="28"/>
          <w:szCs w:val="28"/>
        </w:rPr>
        <w:t>商家的信誉、产品质量及供货渠道；</w:t>
      </w:r>
    </w:p>
    <w:p>
      <w:pPr>
        <w:pStyle w:val="Normal0"/>
        <w:spacing w:line="360" w:lineRule="auto"/>
        <w:ind w:firstLine="560" w:firstLineChars="200"/>
        <w:rPr>
          <w:sz w:val="28"/>
          <w:szCs w:val="28"/>
        </w:rPr>
      </w:pPr>
      <w:r>
        <w:rPr>
          <w:sz w:val="28"/>
          <w:szCs w:val="28"/>
        </w:rPr>
        <w:t>（4）</w:t>
      </w:r>
      <w:r>
        <w:rPr>
          <w:rFonts w:hint="eastAsia"/>
          <w:sz w:val="28"/>
          <w:szCs w:val="28"/>
        </w:rPr>
        <w:t>充分考虑</w:t>
      </w:r>
      <w:r>
        <w:rPr>
          <w:rFonts w:hint="eastAsia"/>
          <w:sz w:val="28"/>
          <w:szCs w:val="28"/>
          <w:lang w:eastAsia="zh-CN"/>
        </w:rPr>
        <w:t>相关项目</w:t>
      </w:r>
      <w:r>
        <w:rPr>
          <w:rFonts w:hint="eastAsia"/>
          <w:sz w:val="28"/>
          <w:szCs w:val="28"/>
        </w:rPr>
        <w:t>建设的可行性，综合分析</w:t>
      </w:r>
      <w:r>
        <w:rPr>
          <w:rFonts w:hint="eastAsia"/>
          <w:sz w:val="28"/>
          <w:szCs w:val="28"/>
          <w:lang w:eastAsia="zh-CN"/>
        </w:rPr>
        <w:t>相关项目</w:t>
      </w:r>
      <w:r>
        <w:rPr>
          <w:rFonts w:hint="eastAsia"/>
          <w:sz w:val="28"/>
          <w:szCs w:val="28"/>
        </w:rPr>
        <w:t>业主本身的</w:t>
      </w:r>
      <w:r>
        <w:rPr>
          <w:rFonts w:hint="eastAsia"/>
          <w:sz w:val="28"/>
          <w:szCs w:val="28"/>
          <w:lang w:eastAsia="zh-CN"/>
        </w:rPr>
        <w:t>管理管控</w:t>
      </w:r>
      <w:r>
        <w:rPr>
          <w:rFonts w:hint="eastAsia"/>
          <w:sz w:val="28"/>
          <w:szCs w:val="28"/>
        </w:rPr>
        <w:t>水平、资金筹措等综合能力</w:t>
      </w:r>
      <w:r>
        <w:rPr>
          <w:sz w:val="28"/>
          <w:szCs w:val="28"/>
        </w:rPr>
        <w:t>；</w:t>
      </w:r>
    </w:p>
    <w:p>
      <w:pPr>
        <w:pStyle w:val="Normal0"/>
        <w:spacing w:line="360" w:lineRule="auto"/>
        <w:ind w:firstLine="560" w:firstLineChars="200"/>
        <w:rPr>
          <w:sz w:val="28"/>
          <w:szCs w:val="28"/>
        </w:rPr>
      </w:pPr>
      <w:r>
        <w:rPr>
          <w:sz w:val="28"/>
          <w:szCs w:val="28"/>
        </w:rPr>
        <w:t>（</w:t>
      </w:r>
      <w:r>
        <w:rPr>
          <w:rFonts w:hint="eastAsia"/>
          <w:sz w:val="28"/>
          <w:szCs w:val="28"/>
        </w:rPr>
        <w:t>5</w:t>
      </w:r>
      <w:r>
        <w:rPr>
          <w:sz w:val="28"/>
          <w:szCs w:val="28"/>
        </w:rPr>
        <w:t>）符合资源综合利用与环境保护的要求；</w:t>
      </w:r>
    </w:p>
    <w:p>
      <w:pPr>
        <w:pStyle w:val="Normal0"/>
        <w:spacing w:line="360" w:lineRule="auto"/>
        <w:ind w:firstLine="560" w:firstLineChars="200"/>
        <w:rPr>
          <w:sz w:val="28"/>
          <w:szCs w:val="28"/>
        </w:rPr>
      </w:pPr>
      <w:r>
        <w:rPr>
          <w:sz w:val="28"/>
          <w:szCs w:val="28"/>
        </w:rPr>
        <w:t>（</w:t>
      </w:r>
      <w:r>
        <w:rPr>
          <w:rFonts w:hint="eastAsia"/>
          <w:sz w:val="28"/>
          <w:szCs w:val="28"/>
        </w:rPr>
        <w:t>6</w:t>
      </w:r>
      <w:r>
        <w:rPr>
          <w:sz w:val="28"/>
          <w:szCs w:val="28"/>
        </w:rPr>
        <w:t>）符合技术经济的要求。</w:t>
      </w:r>
    </w:p>
    <w:p>
      <w:pPr>
        <w:pStyle w:val="Heading2"/>
        <w:spacing w:before="205" w:beforeLines="50" w:after="205" w:afterLines="50" w:line="360" w:lineRule="auto"/>
        <w:rPr>
          <w:rFonts w:ascii="Times New Roman" w:hAnsi="Times New Roman"/>
          <w:b w:val="0"/>
        </w:rPr>
      </w:pPr>
      <w:bookmarkStart w:id="26" w:name="_Toc231630227"/>
      <w:bookmarkStart w:id="27" w:name="_Toc353747194"/>
      <w:r>
        <w:rPr>
          <w:rFonts w:ascii="Times New Roman" w:hAnsi="Times New Roman"/>
          <w:b w:val="0"/>
        </w:rPr>
        <w:t>4.2 建设规模</w:t>
      </w:r>
      <w:bookmarkEnd w:id="26"/>
      <w:bookmarkEnd w:id="27"/>
    </w:p>
    <w:p>
      <w:pPr>
        <w:pStyle w:val="Normal0"/>
        <w:spacing w:line="360" w:lineRule="auto"/>
        <w:ind w:firstLine="560" w:firstLineChars="200"/>
        <w:rPr>
          <w:rFonts w:hint="eastAsia"/>
          <w:sz w:val="28"/>
          <w:szCs w:val="28"/>
        </w:rPr>
      </w:pPr>
      <w:r>
        <w:rPr>
          <w:rFonts w:hint="eastAsia"/>
          <w:sz w:val="28"/>
          <w:szCs w:val="28"/>
          <w:lang w:eastAsia="zh-CN"/>
        </w:rPr>
        <w:t>相关项目</w:t>
      </w:r>
      <w:r>
        <w:rPr>
          <w:rFonts w:hint="eastAsia"/>
          <w:sz w:val="28"/>
          <w:szCs w:val="28"/>
        </w:rPr>
        <w:t>占地200亩，</w:t>
      </w:r>
      <w:r>
        <w:rPr>
          <w:sz w:val="28"/>
          <w:szCs w:val="28"/>
        </w:rPr>
        <w:t>建设</w:t>
      </w:r>
      <w:r>
        <w:rPr>
          <w:rFonts w:hint="eastAsia"/>
          <w:sz w:val="28"/>
          <w:szCs w:val="28"/>
        </w:rPr>
        <w:t>及建筑机械、建材产品和相关配套服务功能为一体的商品市场。</w:t>
      </w:r>
    </w:p>
    <w:p>
      <w:pPr>
        <w:pStyle w:val="Normal0"/>
        <w:spacing w:line="360" w:lineRule="auto"/>
        <w:ind w:firstLine="560" w:firstLineChars="200"/>
        <w:rPr>
          <w:rFonts w:hint="eastAsia"/>
          <w:sz w:val="28"/>
          <w:szCs w:val="28"/>
        </w:rPr>
        <w:sectPr>
          <w:headerReference w:type="even" r:id="rId217"/>
          <w:headerReference w:type="default" r:id="rId218"/>
          <w:footerReference w:type="even" r:id="rId219"/>
          <w:footerReference w:type="default" r:id="rId220"/>
          <w:headerReference w:type="first" r:id="rId221"/>
          <w:footerReference w:type="first" r:id="rId222"/>
          <w:pgSz w:w="11906" w:h="16838"/>
          <w:pgMar w:top="1440" w:right="1797" w:bottom="1440" w:left="1797" w:header="851" w:footer="992" w:gutter="0"/>
          <w:pgNumType w:start="32"/>
          <w:cols w:num="1" w:space="425"/>
          <w:titlePg/>
          <w:docGrid w:type="lines" w:linePitch="410" w:charSpace="0"/>
        </w:sectPr>
      </w:pPr>
      <w:r>
        <w:rPr>
          <w:sz w:val="28"/>
          <w:szCs w:val="28"/>
        </w:rPr>
        <w:t>主要建设</w:t>
      </w:r>
      <w:r>
        <w:rPr>
          <w:rFonts w:hint="eastAsia"/>
          <w:sz w:val="28"/>
          <w:szCs w:val="28"/>
          <w:lang w:eastAsia="zh-CN"/>
        </w:rPr>
        <w:t>合适的内容</w:t>
      </w:r>
      <w:r>
        <w:rPr>
          <w:sz w:val="28"/>
          <w:szCs w:val="28"/>
        </w:rPr>
        <w:t>包括：</w:t>
      </w:r>
      <w:r>
        <w:rPr>
          <w:rFonts w:hint="eastAsia"/>
          <w:sz w:val="28"/>
          <w:szCs w:val="28"/>
        </w:rPr>
        <w:t>总建筑面积183000</w:t>
      </w:r>
      <w:r>
        <w:rPr>
          <w:sz w:val="28"/>
          <w:szCs w:val="28"/>
        </w:rPr>
        <w:t>m</w:t>
      </w:r>
      <w:r>
        <w:rPr>
          <w:sz w:val="28"/>
          <w:szCs w:val="28"/>
          <w:vertAlign w:val="superscript"/>
        </w:rPr>
        <w:t>2</w:t>
      </w:r>
      <w:r>
        <w:rPr>
          <w:sz w:val="28"/>
          <w:szCs w:val="28"/>
        </w:rPr>
        <w:t>，</w:t>
      </w:r>
      <w:r>
        <w:rPr>
          <w:rFonts w:hint="eastAsia"/>
          <w:sz w:val="28"/>
          <w:szCs w:val="28"/>
        </w:rPr>
        <w:t>主要</w:t>
      </w:r>
      <w:r>
        <w:rPr>
          <w:sz w:val="28"/>
          <w:szCs w:val="28"/>
        </w:rPr>
        <w:t>建筑物如表1-1所示；</w:t>
      </w:r>
      <w:r>
        <w:rPr>
          <w:rFonts w:hint="eastAsia"/>
          <w:sz w:val="28"/>
          <w:szCs w:val="28"/>
        </w:rPr>
        <w:t>建机仓库50000</w:t>
      </w:r>
      <w:r>
        <w:rPr>
          <w:sz w:val="28"/>
          <w:szCs w:val="28"/>
        </w:rPr>
        <w:t>m</w:t>
      </w:r>
      <w:r>
        <w:rPr>
          <w:sz w:val="28"/>
          <w:szCs w:val="28"/>
          <w:vertAlign w:val="superscript"/>
        </w:rPr>
        <w:t>2</w:t>
      </w:r>
      <w:r>
        <w:rPr>
          <w:sz w:val="28"/>
          <w:szCs w:val="28"/>
        </w:rPr>
        <w:t>，</w:t>
      </w:r>
      <w:r>
        <w:rPr>
          <w:rFonts w:hint="eastAsia"/>
          <w:sz w:val="28"/>
          <w:szCs w:val="28"/>
        </w:rPr>
        <w:t>建材市场90000</w:t>
      </w:r>
      <w:r>
        <w:rPr>
          <w:sz w:val="28"/>
          <w:szCs w:val="28"/>
        </w:rPr>
        <w:t>m</w:t>
      </w:r>
      <w:r>
        <w:rPr>
          <w:sz w:val="28"/>
          <w:szCs w:val="28"/>
          <w:vertAlign w:val="superscript"/>
        </w:rPr>
        <w:t>2</w:t>
      </w:r>
      <w:r>
        <w:rPr>
          <w:sz w:val="28"/>
          <w:szCs w:val="28"/>
        </w:rPr>
        <w:t>，</w:t>
      </w:r>
      <w:r>
        <w:rPr>
          <w:rFonts w:hint="eastAsia"/>
          <w:sz w:val="28"/>
          <w:szCs w:val="28"/>
        </w:rPr>
        <w:t>物流配套服务用房40000</w:t>
      </w:r>
      <w:r>
        <w:rPr>
          <w:sz w:val="28"/>
          <w:szCs w:val="28"/>
        </w:rPr>
        <w:t>m</w:t>
      </w:r>
      <w:r>
        <w:rPr>
          <w:sz w:val="28"/>
          <w:szCs w:val="28"/>
          <w:vertAlign w:val="superscript"/>
        </w:rPr>
        <w:t>2</w:t>
      </w:r>
      <w:r>
        <w:rPr>
          <w:sz w:val="28"/>
          <w:szCs w:val="28"/>
        </w:rPr>
        <w:t>，</w:t>
      </w:r>
      <w:r>
        <w:rPr>
          <w:rFonts w:hint="eastAsia"/>
          <w:sz w:val="28"/>
          <w:szCs w:val="28"/>
        </w:rPr>
        <w:t>物业办公用房3000</w:t>
      </w:r>
      <w:r>
        <w:rPr>
          <w:sz w:val="28"/>
          <w:szCs w:val="28"/>
        </w:rPr>
        <w:t>m</w:t>
      </w:r>
      <w:r>
        <w:rPr>
          <w:sz w:val="28"/>
          <w:szCs w:val="28"/>
          <w:vertAlign w:val="superscript"/>
        </w:rPr>
        <w:t>2</w:t>
      </w:r>
      <w:r>
        <w:rPr>
          <w:rFonts w:hint="eastAsia"/>
          <w:sz w:val="28"/>
          <w:szCs w:val="28"/>
        </w:rPr>
        <w:t>；</w:t>
      </w:r>
      <w:r>
        <w:rPr>
          <w:sz w:val="28"/>
          <w:szCs w:val="28"/>
        </w:rPr>
        <w:t>与场地环境相适应和配套的给排水、供电、网络通讯、接线道路等设施，以及楼房周围景观绿化和广场等设施。</w:t>
      </w:r>
    </w:p>
    <w:p>
      <w:pPr>
        <w:pStyle w:val="Heading2"/>
        <w:spacing w:before="205" w:beforeLines="50" w:after="205" w:afterLines="50" w:line="360" w:lineRule="auto"/>
        <w:rPr>
          <w:rFonts w:ascii="Times New Roman" w:hAnsi="Times New Roman" w:hint="eastAsia"/>
          <w:b w:val="0"/>
          <w:lang w:eastAsia="zh-CN"/>
        </w:rPr>
      </w:pPr>
      <w:bookmarkStart w:id="28" w:name="_Toc353747195"/>
      <w:r>
        <w:rPr>
          <w:rFonts w:ascii="Times New Roman" w:hAnsi="Times New Roman"/>
          <w:b w:val="0"/>
        </w:rPr>
        <w:t>4.</w:t>
      </w:r>
      <w:r>
        <w:rPr>
          <w:rFonts w:ascii="Times New Roman" w:hAnsi="Times New Roman" w:hint="eastAsia"/>
          <w:b w:val="0"/>
        </w:rPr>
        <w:t>3</w:t>
      </w:r>
      <w:r>
        <w:rPr>
          <w:rFonts w:ascii="Times New Roman" w:hAnsi="Times New Roman"/>
          <w:b w:val="0"/>
        </w:rPr>
        <w:t xml:space="preserve"> </w:t>
      </w:r>
      <w:r>
        <w:rPr>
          <w:rFonts w:ascii="Times New Roman" w:hAnsi="Times New Roman" w:hint="eastAsia"/>
          <w:b w:val="0"/>
        </w:rPr>
        <w:t>营业</w:t>
      </w:r>
      <w:bookmarkEnd w:id="28"/>
      <w:r>
        <w:rPr>
          <w:rFonts w:ascii="Times New Roman" w:hAnsi="Times New Roman" w:hint="eastAsia"/>
          <w:b w:val="0"/>
          <w:lang w:eastAsia="zh-CN"/>
        </w:rPr>
        <w:t>合适的方案</w:t>
      </w:r>
    </w:p>
    <w:p>
      <w:pPr>
        <w:pStyle w:val="Normal0"/>
        <w:spacing w:line="360" w:lineRule="auto"/>
        <w:ind w:firstLine="560" w:firstLineChars="200"/>
        <w:rPr>
          <w:rFonts w:hint="eastAsia"/>
          <w:sz w:val="28"/>
          <w:szCs w:val="28"/>
        </w:rPr>
      </w:pPr>
      <w:r>
        <w:rPr>
          <w:rFonts w:hint="eastAsia"/>
          <w:sz w:val="28"/>
          <w:szCs w:val="28"/>
        </w:rPr>
        <w:t>根据</w:t>
      </w:r>
      <w:r>
        <w:rPr>
          <w:rFonts w:hint="eastAsia"/>
          <w:sz w:val="28"/>
          <w:szCs w:val="28"/>
          <w:lang w:eastAsia="zh-CN"/>
        </w:rPr>
        <w:t>相关项目</w:t>
      </w:r>
      <w:r>
        <w:rPr>
          <w:rFonts w:hint="eastAsia"/>
          <w:sz w:val="28"/>
          <w:szCs w:val="28"/>
        </w:rPr>
        <w:t>建设规模及相关实际情况，现对</w:t>
      </w:r>
      <w:r>
        <w:rPr>
          <w:rFonts w:hint="eastAsia"/>
          <w:sz w:val="28"/>
          <w:szCs w:val="28"/>
          <w:lang w:eastAsia="zh-CN"/>
        </w:rPr>
        <w:t>相关项目</w:t>
      </w:r>
      <w:r>
        <w:rPr>
          <w:rFonts w:hint="eastAsia"/>
          <w:sz w:val="28"/>
          <w:szCs w:val="28"/>
        </w:rPr>
        <w:t>中建材市场及建机仓库进行对外租赁销售。详见下表。</w:t>
      </w:r>
    </w:p>
    <w:p>
      <w:pPr>
        <w:pStyle w:val="Normal0"/>
        <w:spacing w:line="360" w:lineRule="auto"/>
        <w:jc w:val="center"/>
        <w:rPr>
          <w:rFonts w:hint="eastAsia"/>
          <w:sz w:val="28"/>
          <w:szCs w:val="28"/>
        </w:rPr>
      </w:pPr>
      <w:r>
        <w:rPr>
          <w:b/>
          <w:sz w:val="24"/>
          <w:szCs w:val="28"/>
        </w:rPr>
        <w:t>表</w:t>
      </w:r>
      <w:r>
        <w:rPr>
          <w:rFonts w:hint="eastAsia"/>
          <w:b/>
          <w:sz w:val="24"/>
          <w:szCs w:val="28"/>
        </w:rPr>
        <w:t>4</w:t>
      </w:r>
      <w:r>
        <w:rPr>
          <w:b/>
          <w:sz w:val="24"/>
          <w:szCs w:val="28"/>
        </w:rPr>
        <w:t xml:space="preserve">-1  </w:t>
      </w:r>
      <w:r>
        <w:rPr>
          <w:rFonts w:hint="eastAsia"/>
          <w:b/>
          <w:sz w:val="24"/>
          <w:szCs w:val="28"/>
        </w:rPr>
        <w:t>营业</w:t>
      </w:r>
      <w:r>
        <w:rPr>
          <w:rFonts w:hint="eastAsia"/>
          <w:b/>
          <w:sz w:val="24"/>
          <w:szCs w:val="28"/>
          <w:lang w:eastAsia="zh-CN"/>
        </w:rPr>
        <w:t>合适的方案</w:t>
      </w:r>
      <w:r>
        <w:rPr>
          <w:b/>
          <w:sz w:val="24"/>
          <w:szCs w:val="28"/>
        </w:rPr>
        <w:t>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024"/>
        <w:gridCol w:w="2000"/>
        <w:gridCol w:w="1620"/>
        <w:gridCol w:w="1440"/>
        <w:gridCol w:w="1790"/>
      </w:tblGrid>
      <w:tr>
        <w:tblPrEx>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Ex>
        <w:trPr>
          <w:trHeight w:val="493"/>
          <w:jc w:val="center"/>
        </w:trPr>
        <w:tc>
          <w:tcPr>
            <w:tcW w:w="1024" w:type="dxa"/>
            <w:vAlign w:val="center"/>
          </w:tcPr>
          <w:p>
            <w:pPr>
              <w:pStyle w:val="Normal0"/>
              <w:jc w:val="center"/>
              <w:rPr>
                <w:rFonts w:ascii="楷体_GB2312" w:eastAsia="楷体_GB2312" w:hint="eastAsia"/>
                <w:b/>
                <w:kern w:val="0"/>
                <w:sz w:val="24"/>
              </w:rPr>
            </w:pPr>
            <w:r>
              <w:rPr>
                <w:rFonts w:ascii="楷体_GB2312" w:eastAsia="楷体_GB2312" w:hint="eastAsia"/>
                <w:b/>
                <w:kern w:val="0"/>
                <w:sz w:val="24"/>
              </w:rPr>
              <w:t>序号</w:t>
            </w:r>
          </w:p>
        </w:tc>
        <w:tc>
          <w:tcPr>
            <w:tcW w:w="2000" w:type="dxa"/>
            <w:vAlign w:val="center"/>
          </w:tcPr>
          <w:p>
            <w:pPr>
              <w:pStyle w:val="Normal0"/>
              <w:jc w:val="center"/>
              <w:rPr>
                <w:rFonts w:ascii="楷体_GB2312" w:eastAsia="楷体_GB2312" w:hint="eastAsia"/>
                <w:b/>
                <w:kern w:val="0"/>
                <w:sz w:val="24"/>
              </w:rPr>
            </w:pPr>
            <w:r>
              <w:rPr>
                <w:rFonts w:ascii="楷体_GB2312" w:eastAsia="楷体_GB2312" w:hint="eastAsia"/>
                <w:b/>
                <w:kern w:val="0"/>
                <w:sz w:val="24"/>
              </w:rPr>
              <w:t>产品</w:t>
            </w:r>
          </w:p>
        </w:tc>
        <w:tc>
          <w:tcPr>
            <w:tcW w:w="1620" w:type="dxa"/>
            <w:vAlign w:val="center"/>
          </w:tcPr>
          <w:p>
            <w:pPr>
              <w:pStyle w:val="Normal0"/>
              <w:jc w:val="center"/>
              <w:rPr>
                <w:rFonts w:ascii="楷体_GB2312" w:eastAsia="楷体_GB2312" w:hint="eastAsia"/>
                <w:b/>
                <w:kern w:val="0"/>
                <w:sz w:val="24"/>
              </w:rPr>
            </w:pPr>
            <w:r>
              <w:rPr>
                <w:rFonts w:ascii="楷体_GB2312" w:eastAsia="楷体_GB2312" w:hint="eastAsia"/>
                <w:b/>
                <w:kern w:val="0"/>
                <w:sz w:val="24"/>
              </w:rPr>
              <w:t>租赁单价</w:t>
            </w:r>
          </w:p>
        </w:tc>
        <w:tc>
          <w:tcPr>
            <w:tcW w:w="1440" w:type="dxa"/>
            <w:vAlign w:val="center"/>
          </w:tcPr>
          <w:p>
            <w:pPr>
              <w:pStyle w:val="Normal0"/>
              <w:jc w:val="center"/>
              <w:rPr>
                <w:rFonts w:ascii="楷体_GB2312" w:eastAsia="楷体_GB2312" w:hint="eastAsia"/>
                <w:b/>
                <w:kern w:val="0"/>
                <w:sz w:val="24"/>
              </w:rPr>
            </w:pPr>
            <w:r>
              <w:rPr>
                <w:rFonts w:ascii="楷体_GB2312" w:eastAsia="楷体_GB2312" w:hint="eastAsia"/>
                <w:b/>
                <w:kern w:val="0"/>
                <w:sz w:val="24"/>
              </w:rPr>
              <w:t>规模</w:t>
            </w:r>
          </w:p>
          <w:p>
            <w:pPr>
              <w:pStyle w:val="Normal0"/>
              <w:jc w:val="center"/>
              <w:rPr>
                <w:rFonts w:ascii="楷体_GB2312" w:eastAsia="楷体_GB2312" w:hint="eastAsia"/>
                <w:b/>
                <w:kern w:val="0"/>
                <w:sz w:val="24"/>
              </w:rPr>
            </w:pPr>
            <w:r>
              <w:rPr>
                <w:rFonts w:ascii="楷体_GB2312" w:eastAsia="楷体_GB2312" w:hint="eastAsia"/>
                <w:b/>
                <w:kern w:val="0"/>
                <w:sz w:val="24"/>
              </w:rPr>
              <w:t>（</w:t>
            </w:r>
            <w:r>
              <w:rPr>
                <w:rFonts w:ascii="楷体_GB2312" w:eastAsia="楷体_GB2312" w:hint="eastAsia"/>
                <w:b/>
                <w:sz w:val="24"/>
                <w:szCs w:val="30"/>
              </w:rPr>
              <w:t>m</w:t>
            </w:r>
            <w:r>
              <w:rPr>
                <w:rFonts w:ascii="楷体_GB2312" w:eastAsia="楷体_GB2312" w:hint="eastAsia"/>
                <w:b/>
                <w:sz w:val="24"/>
                <w:szCs w:val="30"/>
                <w:vertAlign w:val="superscript"/>
              </w:rPr>
              <w:t>2</w:t>
            </w:r>
            <w:r>
              <w:rPr>
                <w:rFonts w:ascii="楷体_GB2312" w:eastAsia="楷体_GB2312" w:hint="eastAsia"/>
                <w:b/>
                <w:kern w:val="0"/>
                <w:sz w:val="24"/>
              </w:rPr>
              <w:t>）</w:t>
            </w:r>
          </w:p>
        </w:tc>
        <w:tc>
          <w:tcPr>
            <w:tcW w:w="1790" w:type="dxa"/>
            <w:vAlign w:val="center"/>
          </w:tcPr>
          <w:p>
            <w:pPr>
              <w:pStyle w:val="Normal0"/>
              <w:jc w:val="center"/>
              <w:rPr>
                <w:rFonts w:ascii="楷体_GB2312" w:eastAsia="楷体_GB2312" w:hint="eastAsia"/>
                <w:b/>
                <w:kern w:val="0"/>
                <w:sz w:val="24"/>
              </w:rPr>
            </w:pPr>
            <w:r>
              <w:rPr>
                <w:rFonts w:ascii="楷体_GB2312" w:eastAsia="楷体_GB2312" w:hint="eastAsia"/>
                <w:b/>
                <w:kern w:val="0"/>
                <w:sz w:val="24"/>
              </w:rPr>
              <w:t>总 价</w:t>
            </w:r>
          </w:p>
        </w:tc>
      </w:tr>
      <w:tr>
        <w:tblPrEx>
          <w:tblW w:w="0" w:type="auto"/>
          <w:jc w:val="center"/>
          <w:tblLayout w:type="fixed"/>
          <w:tblCellMar>
            <w:top w:w="0" w:type="dxa"/>
            <w:left w:w="108" w:type="dxa"/>
            <w:bottom w:w="0" w:type="dxa"/>
            <w:right w:w="108" w:type="dxa"/>
          </w:tblCellMar>
        </w:tblPrEx>
        <w:trPr>
          <w:trHeight w:val="493"/>
          <w:jc w:val="center"/>
        </w:trPr>
        <w:tc>
          <w:tcPr>
            <w:tcW w:w="1024" w:type="dxa"/>
            <w:vAlign w:val="center"/>
          </w:tcPr>
          <w:p>
            <w:pPr>
              <w:pStyle w:val="Normal0"/>
              <w:jc w:val="center"/>
              <w:rPr>
                <w:rFonts w:ascii="楷体_GB2312" w:eastAsia="楷体_GB2312" w:hint="eastAsia"/>
                <w:kern w:val="0"/>
                <w:sz w:val="24"/>
              </w:rPr>
            </w:pPr>
            <w:r>
              <w:rPr>
                <w:rFonts w:ascii="楷体_GB2312" w:eastAsia="楷体_GB2312" w:hint="eastAsia"/>
                <w:kern w:val="0"/>
                <w:sz w:val="24"/>
              </w:rPr>
              <w:t>1</w:t>
            </w:r>
          </w:p>
        </w:tc>
        <w:tc>
          <w:tcPr>
            <w:tcW w:w="2000" w:type="dxa"/>
            <w:vAlign w:val="center"/>
          </w:tcPr>
          <w:p>
            <w:pPr>
              <w:pStyle w:val="Normal0"/>
              <w:jc w:val="center"/>
              <w:rPr>
                <w:rFonts w:ascii="楷体_GB2312" w:eastAsia="楷体_GB2312" w:hint="eastAsia"/>
                <w:sz w:val="24"/>
                <w:szCs w:val="30"/>
              </w:rPr>
            </w:pPr>
            <w:r>
              <w:rPr>
                <w:rFonts w:ascii="楷体_GB2312" w:eastAsia="楷体_GB2312" w:hint="eastAsia"/>
                <w:sz w:val="24"/>
                <w:szCs w:val="30"/>
              </w:rPr>
              <w:t>建材市场</w:t>
            </w:r>
          </w:p>
        </w:tc>
        <w:tc>
          <w:tcPr>
            <w:tcW w:w="1620" w:type="dxa"/>
            <w:vAlign w:val="center"/>
          </w:tcPr>
          <w:p>
            <w:pPr>
              <w:pStyle w:val="Normal0"/>
              <w:jc w:val="center"/>
              <w:rPr>
                <w:rFonts w:ascii="楷体_GB2312" w:eastAsia="楷体_GB2312" w:hint="eastAsia"/>
                <w:sz w:val="24"/>
                <w:szCs w:val="30"/>
              </w:rPr>
            </w:pPr>
            <w:r>
              <w:rPr>
                <w:rFonts w:ascii="楷体_GB2312" w:eastAsia="楷体_GB2312" w:hint="eastAsia"/>
                <w:sz w:val="24"/>
                <w:szCs w:val="30"/>
              </w:rPr>
              <w:t>4000元/m</w:t>
            </w:r>
            <w:r>
              <w:rPr>
                <w:rFonts w:ascii="楷体_GB2312" w:eastAsia="楷体_GB2312" w:hint="eastAsia"/>
                <w:sz w:val="24"/>
                <w:szCs w:val="30"/>
                <w:vertAlign w:val="superscript"/>
              </w:rPr>
              <w:t>2</w:t>
            </w:r>
          </w:p>
        </w:tc>
        <w:tc>
          <w:tcPr>
            <w:tcW w:w="1440" w:type="dxa"/>
            <w:vAlign w:val="center"/>
          </w:tcPr>
          <w:p>
            <w:pPr>
              <w:pStyle w:val="Normal0"/>
              <w:jc w:val="center"/>
              <w:rPr>
                <w:rFonts w:ascii="楷体_GB2312" w:eastAsia="楷体_GB2312" w:hint="eastAsia"/>
                <w:sz w:val="24"/>
                <w:szCs w:val="30"/>
              </w:rPr>
            </w:pPr>
            <w:r>
              <w:rPr>
                <w:rFonts w:ascii="楷体_GB2312" w:eastAsia="楷体_GB2312" w:hint="eastAsia"/>
                <w:sz w:val="24"/>
                <w:szCs w:val="30"/>
              </w:rPr>
              <w:t>90000</w:t>
            </w:r>
          </w:p>
        </w:tc>
        <w:tc>
          <w:tcPr>
            <w:tcW w:w="1790" w:type="dxa"/>
            <w:vAlign w:val="center"/>
          </w:tcPr>
          <w:p>
            <w:pPr>
              <w:pStyle w:val="Normal0"/>
              <w:jc w:val="center"/>
              <w:rPr>
                <w:rFonts w:ascii="楷体_GB2312" w:eastAsia="楷体_GB2312" w:hint="eastAsia"/>
                <w:kern w:val="0"/>
                <w:sz w:val="24"/>
                <w:highlight w:val="green"/>
              </w:rPr>
            </w:pPr>
            <w:r>
              <w:rPr>
                <w:rFonts w:ascii="楷体_GB2312" w:eastAsia="楷体_GB2312" w:hint="eastAsia"/>
                <w:kern w:val="0"/>
                <w:sz w:val="24"/>
              </w:rPr>
              <w:t>36000万元</w:t>
            </w:r>
          </w:p>
        </w:tc>
      </w:tr>
      <w:tr>
        <w:tblPrEx>
          <w:tblW w:w="0" w:type="auto"/>
          <w:jc w:val="center"/>
          <w:tblLayout w:type="fixed"/>
          <w:tblCellMar>
            <w:top w:w="0" w:type="dxa"/>
            <w:left w:w="108" w:type="dxa"/>
            <w:bottom w:w="0" w:type="dxa"/>
            <w:right w:w="108" w:type="dxa"/>
          </w:tblCellMar>
        </w:tblPrEx>
        <w:trPr>
          <w:trHeight w:val="493"/>
          <w:jc w:val="center"/>
        </w:trPr>
        <w:tc>
          <w:tcPr>
            <w:tcW w:w="1024" w:type="dxa"/>
            <w:vAlign w:val="center"/>
          </w:tcPr>
          <w:p>
            <w:pPr>
              <w:pStyle w:val="Normal0"/>
              <w:jc w:val="center"/>
              <w:rPr>
                <w:rFonts w:ascii="楷体_GB2312" w:eastAsia="楷体_GB2312" w:hint="eastAsia"/>
                <w:kern w:val="0"/>
                <w:sz w:val="24"/>
              </w:rPr>
            </w:pPr>
            <w:r>
              <w:rPr>
                <w:rFonts w:ascii="楷体_GB2312" w:eastAsia="楷体_GB2312" w:hint="eastAsia"/>
                <w:kern w:val="0"/>
                <w:sz w:val="24"/>
              </w:rPr>
              <w:t>2</w:t>
            </w:r>
          </w:p>
        </w:tc>
        <w:tc>
          <w:tcPr>
            <w:tcW w:w="2000" w:type="dxa"/>
            <w:vAlign w:val="center"/>
          </w:tcPr>
          <w:p>
            <w:pPr>
              <w:pStyle w:val="Normal0"/>
              <w:jc w:val="center"/>
              <w:rPr>
                <w:rFonts w:ascii="楷体_GB2312" w:eastAsia="楷体_GB2312" w:hint="eastAsia"/>
                <w:sz w:val="24"/>
                <w:szCs w:val="30"/>
              </w:rPr>
            </w:pPr>
            <w:r>
              <w:rPr>
                <w:rFonts w:ascii="楷体_GB2312" w:eastAsia="楷体_GB2312" w:hint="eastAsia"/>
                <w:sz w:val="24"/>
                <w:szCs w:val="30"/>
              </w:rPr>
              <w:t>建机仓库</w:t>
            </w:r>
          </w:p>
        </w:tc>
        <w:tc>
          <w:tcPr>
            <w:tcW w:w="1620" w:type="dxa"/>
            <w:vAlign w:val="center"/>
          </w:tcPr>
          <w:p>
            <w:pPr>
              <w:pStyle w:val="Normal0"/>
              <w:jc w:val="center"/>
              <w:rPr>
                <w:rFonts w:ascii="楷体_GB2312" w:eastAsia="楷体_GB2312" w:hint="eastAsia"/>
                <w:sz w:val="24"/>
                <w:szCs w:val="30"/>
              </w:rPr>
            </w:pPr>
            <w:r>
              <w:rPr>
                <w:rFonts w:ascii="楷体_GB2312" w:eastAsia="楷体_GB2312" w:hint="eastAsia"/>
                <w:sz w:val="24"/>
                <w:szCs w:val="30"/>
              </w:rPr>
              <w:t>1500元/m</w:t>
            </w:r>
            <w:r>
              <w:rPr>
                <w:rFonts w:ascii="楷体_GB2312" w:eastAsia="楷体_GB2312" w:hint="eastAsia"/>
                <w:sz w:val="24"/>
                <w:szCs w:val="30"/>
                <w:vertAlign w:val="superscript"/>
              </w:rPr>
              <w:t>2</w:t>
            </w:r>
          </w:p>
        </w:tc>
        <w:tc>
          <w:tcPr>
            <w:tcW w:w="1440" w:type="dxa"/>
            <w:vAlign w:val="center"/>
          </w:tcPr>
          <w:p>
            <w:pPr>
              <w:pStyle w:val="Normal0"/>
              <w:jc w:val="center"/>
              <w:rPr>
                <w:rFonts w:ascii="楷体_GB2312" w:eastAsia="楷体_GB2312" w:hint="eastAsia"/>
                <w:sz w:val="24"/>
                <w:szCs w:val="30"/>
              </w:rPr>
            </w:pPr>
            <w:r>
              <w:rPr>
                <w:rFonts w:ascii="楷体_GB2312" w:eastAsia="楷体_GB2312" w:hint="eastAsia"/>
                <w:sz w:val="24"/>
                <w:szCs w:val="30"/>
              </w:rPr>
              <w:t>5000</w:t>
            </w:r>
          </w:p>
        </w:tc>
        <w:tc>
          <w:tcPr>
            <w:tcW w:w="1790" w:type="dxa"/>
            <w:vAlign w:val="center"/>
          </w:tcPr>
          <w:p>
            <w:pPr>
              <w:pStyle w:val="Normal0"/>
              <w:jc w:val="center"/>
              <w:rPr>
                <w:rFonts w:ascii="楷体_GB2312" w:eastAsia="楷体_GB2312" w:hint="eastAsia"/>
                <w:kern w:val="0"/>
                <w:sz w:val="24"/>
              </w:rPr>
            </w:pPr>
            <w:r>
              <w:rPr>
                <w:rFonts w:ascii="楷体_GB2312" w:eastAsia="楷体_GB2312" w:hint="eastAsia"/>
                <w:kern w:val="0"/>
                <w:sz w:val="24"/>
              </w:rPr>
              <w:t>750</w:t>
            </w:r>
          </w:p>
        </w:tc>
      </w:tr>
      <w:tr>
        <w:tblPrEx>
          <w:tblW w:w="0" w:type="auto"/>
          <w:jc w:val="center"/>
          <w:tblLayout w:type="fixed"/>
          <w:tblCellMar>
            <w:top w:w="0" w:type="dxa"/>
            <w:left w:w="108" w:type="dxa"/>
            <w:bottom w:w="0" w:type="dxa"/>
            <w:right w:w="108" w:type="dxa"/>
          </w:tblCellMar>
        </w:tblPrEx>
        <w:trPr>
          <w:trHeight w:val="493"/>
          <w:jc w:val="center"/>
        </w:trPr>
        <w:tc>
          <w:tcPr>
            <w:tcW w:w="1024" w:type="dxa"/>
            <w:vAlign w:val="center"/>
          </w:tcPr>
          <w:p>
            <w:pPr>
              <w:pStyle w:val="Normal0"/>
              <w:jc w:val="center"/>
              <w:rPr>
                <w:rFonts w:ascii="楷体_GB2312" w:eastAsia="楷体_GB2312" w:hint="eastAsia"/>
                <w:kern w:val="0"/>
                <w:sz w:val="24"/>
              </w:rPr>
            </w:pPr>
            <w:r>
              <w:rPr>
                <w:rFonts w:ascii="楷体_GB2312" w:eastAsia="楷体_GB2312" w:hint="eastAsia"/>
                <w:kern w:val="0"/>
                <w:sz w:val="24"/>
              </w:rPr>
              <w:t>3</w:t>
            </w:r>
          </w:p>
        </w:tc>
        <w:tc>
          <w:tcPr>
            <w:tcW w:w="2000" w:type="dxa"/>
            <w:vAlign w:val="center"/>
          </w:tcPr>
          <w:p>
            <w:pPr>
              <w:pStyle w:val="Normal0"/>
              <w:jc w:val="center"/>
              <w:rPr>
                <w:rFonts w:ascii="楷体_GB2312" w:eastAsia="楷体_GB2312" w:hint="eastAsia"/>
                <w:sz w:val="24"/>
                <w:szCs w:val="30"/>
              </w:rPr>
            </w:pPr>
            <w:r>
              <w:rPr>
                <w:rFonts w:ascii="楷体_GB2312" w:eastAsia="楷体_GB2312" w:hint="eastAsia"/>
                <w:sz w:val="24"/>
              </w:rPr>
              <w:t>合计</w:t>
            </w:r>
          </w:p>
        </w:tc>
        <w:tc>
          <w:tcPr>
            <w:tcW w:w="1620" w:type="dxa"/>
            <w:vAlign w:val="center"/>
          </w:tcPr>
          <w:p>
            <w:pPr>
              <w:pStyle w:val="Normal0"/>
              <w:jc w:val="center"/>
              <w:rPr>
                <w:rFonts w:ascii="楷体_GB2312" w:eastAsia="楷体_GB2312" w:hint="eastAsia"/>
                <w:sz w:val="24"/>
                <w:szCs w:val="30"/>
              </w:rPr>
            </w:pPr>
          </w:p>
        </w:tc>
        <w:tc>
          <w:tcPr>
            <w:tcW w:w="1440" w:type="dxa"/>
            <w:vAlign w:val="center"/>
          </w:tcPr>
          <w:p>
            <w:pPr>
              <w:pStyle w:val="Normal0"/>
              <w:jc w:val="center"/>
              <w:rPr>
                <w:rFonts w:ascii="楷体_GB2312" w:eastAsia="楷体_GB2312" w:hint="eastAsia"/>
                <w:sz w:val="24"/>
                <w:szCs w:val="30"/>
              </w:rPr>
            </w:pPr>
          </w:p>
        </w:tc>
        <w:tc>
          <w:tcPr>
            <w:tcW w:w="1790" w:type="dxa"/>
            <w:vAlign w:val="center"/>
          </w:tcPr>
          <w:p>
            <w:pPr>
              <w:pStyle w:val="Normal0"/>
              <w:jc w:val="center"/>
              <w:rPr>
                <w:rFonts w:ascii="楷体_GB2312" w:eastAsia="楷体_GB2312" w:hint="eastAsia"/>
                <w:kern w:val="0"/>
                <w:sz w:val="24"/>
              </w:rPr>
            </w:pPr>
            <w:r>
              <w:rPr>
                <w:rFonts w:ascii="楷体_GB2312" w:eastAsia="楷体_GB2312" w:hint="eastAsia"/>
                <w:kern w:val="0"/>
                <w:sz w:val="24"/>
              </w:rPr>
              <w:t>36750万元</w:t>
            </w:r>
          </w:p>
        </w:tc>
      </w:tr>
    </w:tbl>
    <w:p>
      <w:pPr>
        <w:pStyle w:val="Normal0"/>
        <w:spacing w:line="360" w:lineRule="auto"/>
        <w:ind w:firstLine="560" w:firstLineChars="200"/>
        <w:rPr>
          <w:rFonts w:hint="eastAsia"/>
          <w:sz w:val="28"/>
          <w:szCs w:val="28"/>
        </w:rPr>
      </w:pPr>
    </w:p>
    <w:p>
      <w:pPr>
        <w:pStyle w:val="Normal0"/>
        <w:spacing w:line="360" w:lineRule="auto"/>
        <w:ind w:firstLine="560" w:firstLineChars="200"/>
        <w:rPr>
          <w:sz w:val="28"/>
          <w:szCs w:val="28"/>
        </w:rPr>
        <w:sectPr>
          <w:headerReference w:type="even" r:id="rId223"/>
          <w:headerReference w:type="default" r:id="rId224"/>
          <w:footerReference w:type="even" r:id="rId225"/>
          <w:footerReference w:type="default" r:id="rId226"/>
          <w:headerReference w:type="first" r:id="rId227"/>
          <w:footerReference w:type="first" r:id="rId228"/>
          <w:type w:val="nextPage"/>
          <w:pgSz w:w="11906" w:h="16838"/>
          <w:pgMar w:top="1440" w:right="1797" w:bottom="1440" w:left="1797" w:header="851" w:footer="992" w:gutter="0"/>
          <w:pgNumType w:start="33"/>
          <w:cols w:num="1" w:space="425"/>
          <w:titlePg w:val="0"/>
          <w:docGrid w:type="lines" w:linePitch="410" w:charSpace="0"/>
        </w:sectPr>
      </w:pPr>
    </w:p>
    <w:p>
      <w:pPr>
        <w:pStyle w:val="Heading1"/>
        <w:spacing w:before="240" w:after="240" w:line="360" w:lineRule="auto"/>
        <w:jc w:val="center"/>
        <w:rPr>
          <w:rFonts w:eastAsia="黑体"/>
          <w:b w:val="0"/>
          <w:sz w:val="36"/>
          <w:szCs w:val="36"/>
        </w:rPr>
      </w:pPr>
      <w:bookmarkStart w:id="29" w:name="_Toc231630229"/>
      <w:bookmarkStart w:id="30" w:name="_Toc353747196"/>
      <w:r>
        <w:rPr>
          <w:rFonts w:eastAsia="黑体"/>
          <w:b w:val="0"/>
          <w:sz w:val="36"/>
          <w:szCs w:val="36"/>
        </w:rPr>
        <w:t>第五章  厂址选择</w:t>
      </w:r>
      <w:bookmarkEnd w:id="29"/>
      <w:r>
        <w:rPr>
          <w:rFonts w:eastAsia="黑体"/>
          <w:b w:val="0"/>
          <w:sz w:val="36"/>
          <w:szCs w:val="36"/>
        </w:rPr>
        <w:t>与建设条件</w:t>
      </w:r>
      <w:bookmarkEnd w:id="30"/>
    </w:p>
    <w:p>
      <w:pPr>
        <w:pStyle w:val="Normal0"/>
        <w:spacing w:line="360" w:lineRule="auto"/>
        <w:ind w:firstLine="560" w:firstLineChars="200"/>
        <w:rPr>
          <w:sz w:val="28"/>
          <w:szCs w:val="28"/>
        </w:rPr>
      </w:pPr>
      <w:r>
        <w:rPr>
          <w:rFonts w:hint="eastAsia"/>
          <w:sz w:val="28"/>
          <w:szCs w:val="28"/>
        </w:rPr>
        <w:t>安徽省广德县富通国际建机建材城</w:t>
      </w:r>
      <w:r>
        <w:rPr>
          <w:rFonts w:hint="eastAsia"/>
          <w:sz w:val="28"/>
          <w:szCs w:val="28"/>
          <w:lang w:eastAsia="zh-CN"/>
        </w:rPr>
        <w:t>相关项目</w:t>
      </w:r>
      <w:r>
        <w:rPr>
          <w:sz w:val="28"/>
          <w:szCs w:val="28"/>
        </w:rPr>
        <w:t>选址于</w:t>
      </w:r>
      <w:r>
        <w:rPr>
          <w:rFonts w:hint="eastAsia"/>
          <w:sz w:val="28"/>
          <w:szCs w:val="28"/>
        </w:rPr>
        <w:t>安徽省宣城市广德县</w:t>
      </w:r>
      <w:r>
        <w:rPr>
          <w:sz w:val="28"/>
          <w:szCs w:val="28"/>
        </w:rPr>
        <w:t>，占地</w:t>
      </w:r>
      <w:r>
        <w:rPr>
          <w:rFonts w:hint="eastAsia"/>
          <w:sz w:val="28"/>
          <w:szCs w:val="28"/>
        </w:rPr>
        <w:t>200亩</w:t>
      </w:r>
      <w:r>
        <w:rPr>
          <w:sz w:val="28"/>
          <w:szCs w:val="28"/>
        </w:rPr>
        <w:t>。</w:t>
      </w:r>
    </w:p>
    <w:p>
      <w:pPr>
        <w:pStyle w:val="Heading2"/>
        <w:spacing w:before="205" w:beforeLines="50" w:after="205" w:afterLines="50" w:line="360" w:lineRule="auto"/>
        <w:rPr>
          <w:rFonts w:ascii="Times New Roman" w:hAnsi="Times New Roman"/>
          <w:b w:val="0"/>
        </w:rPr>
      </w:pPr>
      <w:bookmarkStart w:id="31" w:name="_Toc353747197"/>
      <w:r>
        <w:rPr>
          <w:rFonts w:ascii="Times New Roman" w:hAnsi="Times New Roman"/>
          <w:b w:val="0"/>
        </w:rPr>
        <w:t>5.1 地理位置</w:t>
      </w:r>
      <w:bookmarkEnd w:id="31"/>
    </w:p>
    <w:p>
      <w:pPr>
        <w:pStyle w:val="Normal0"/>
        <w:spacing w:line="360" w:lineRule="auto"/>
        <w:ind w:firstLine="560" w:firstLineChars="200"/>
        <w:rPr>
          <w:rFonts w:hint="eastAsia"/>
          <w:sz w:val="28"/>
          <w:szCs w:val="28"/>
        </w:rPr>
      </w:pPr>
      <w:r>
        <w:rPr>
          <w:rFonts w:hint="eastAsia"/>
          <w:sz w:val="28"/>
          <w:szCs w:val="28"/>
        </w:rPr>
        <w:t>广德县位于安徽省东南部，宣城市东境，苏浙皖三省交界处。东邻浙江省长兴县和安吉县，东北与江苏省溧阳市和宜兴市交界。东临杭嘉湖，北倚苏锡常，周边“两个半小时经济圈”有上海、杭州、南京、合肥等4个省会城市和16个大中发达城市，是安徽省唯一与苏浙两个发达省份毗邻接壤的县份，是东进西出的桥头堡、南北经济的结合点，是华东沿海经济挺进安徽等中西部地区的第一站。</w:t>
      </w:r>
    </w:p>
    <w:p>
      <w:pPr>
        <w:pStyle w:val="Normal0"/>
        <w:spacing w:line="360" w:lineRule="auto"/>
        <w:ind w:firstLine="560" w:firstLineChars="200"/>
        <w:rPr>
          <w:rFonts w:hint="eastAsia"/>
          <w:sz w:val="28"/>
          <w:szCs w:val="28"/>
        </w:rPr>
      </w:pPr>
      <w:r>
        <w:rPr>
          <w:rFonts w:hint="eastAsia"/>
          <w:sz w:val="28"/>
          <w:szCs w:val="28"/>
        </w:rPr>
        <w:t>广德县位于安徽省东南部，苏浙皖三省八县（市）交界处，东临杭嘉湖，北倚苏锡常，周边“两个半小时经济圈”有上海、杭州、南京、合肥等4个省会城市和16个大中发达城市，是安徽省唯一与苏浙两个发达省份毗邻接壤的县份，是东进西出的桥头堡、南北经济的结合点，是华东沿海经济挺进安徽等中西部地区的第一站。总面积2165平方千米。总人口49万人（2011年），物流畅通，经济发展条件优越，广德县已成为长三角经济向内地辐射的物流副中心</w:t>
      </w:r>
    </w:p>
    <w:p>
      <w:pPr>
        <w:pStyle w:val="Heading2"/>
        <w:spacing w:before="205" w:beforeLines="50" w:after="205" w:afterLines="50" w:line="360" w:lineRule="auto"/>
        <w:rPr>
          <w:rFonts w:ascii="Times New Roman" w:hAnsi="Times New Roman"/>
          <w:b w:val="0"/>
        </w:rPr>
      </w:pPr>
      <w:bookmarkStart w:id="32" w:name="_Toc353747198"/>
      <w:r>
        <w:rPr>
          <w:rFonts w:ascii="Times New Roman" w:hAnsi="Times New Roman"/>
          <w:b w:val="0"/>
        </w:rPr>
        <w:t>5.2 厂址建设条件</w:t>
      </w:r>
      <w:bookmarkEnd w:id="32"/>
    </w:p>
    <w:p>
      <w:pPr>
        <w:pStyle w:val="Normal0"/>
        <w:spacing w:before="205" w:beforeLines="50" w:after="205" w:afterLines="50" w:line="360" w:lineRule="auto"/>
        <w:rPr>
          <w:b/>
          <w:sz w:val="28"/>
          <w:szCs w:val="28"/>
        </w:rPr>
        <w:sectPr>
          <w:headerReference w:type="even" r:id="rId229"/>
          <w:headerReference w:type="default" r:id="rId230"/>
          <w:footerReference w:type="even" r:id="rId231"/>
          <w:footerReference w:type="default" r:id="rId232"/>
          <w:headerReference w:type="first" r:id="rId233"/>
          <w:footerReference w:type="first" r:id="rId234"/>
          <w:pgSz w:w="11906" w:h="16838"/>
          <w:pgMar w:top="1440" w:right="1797" w:bottom="1440" w:left="1797" w:header="851" w:footer="992" w:gutter="0"/>
          <w:pgNumType w:start="34"/>
          <w:cols w:num="1" w:space="425"/>
          <w:titlePg/>
          <w:docGrid w:type="lines" w:linePitch="410" w:charSpace="0"/>
        </w:sectPr>
      </w:pPr>
      <w:r>
        <w:rPr>
          <w:b/>
          <w:sz w:val="28"/>
          <w:szCs w:val="28"/>
        </w:rPr>
        <w:t>5.2.1 气候条件</w:t>
      </w:r>
    </w:p>
    <w:p>
      <w:pPr>
        <w:pStyle w:val="Normal0"/>
        <w:spacing w:line="360" w:lineRule="auto"/>
        <w:ind w:firstLine="560" w:firstLineChars="200"/>
        <w:rPr>
          <w:rFonts w:hint="eastAsia"/>
          <w:sz w:val="28"/>
          <w:szCs w:val="28"/>
        </w:rPr>
      </w:pPr>
      <w:r>
        <w:rPr>
          <w:rFonts w:hint="eastAsia"/>
          <w:sz w:val="28"/>
          <w:szCs w:val="28"/>
        </w:rPr>
        <w:t>广德县属亚热带季风气候，干湿冷暖，四季分明，雨量充沛，无霜期长，日照充足。全年平均温度17.5℃，其中：一月份3.2℃，七月份31.1℃。年均降水量1149.7毫米。其中，一月份42.2毫米，七月154.1毫米。大约日照时间，一月份137.6小时，七月份229小时。</w:t>
      </w:r>
    </w:p>
    <w:p>
      <w:pPr>
        <w:pStyle w:val="Normal0"/>
        <w:spacing w:before="205" w:beforeLines="50" w:after="205" w:afterLines="50" w:line="360" w:lineRule="auto"/>
        <w:rPr>
          <w:rFonts w:hint="eastAsia"/>
          <w:b/>
          <w:sz w:val="28"/>
          <w:szCs w:val="28"/>
        </w:rPr>
      </w:pPr>
      <w:r>
        <w:rPr>
          <w:b/>
          <w:sz w:val="28"/>
          <w:szCs w:val="28"/>
        </w:rPr>
        <w:t xml:space="preserve">5.2.2 </w:t>
      </w:r>
      <w:r>
        <w:rPr>
          <w:rFonts w:hint="eastAsia"/>
          <w:b/>
          <w:sz w:val="28"/>
          <w:szCs w:val="28"/>
        </w:rPr>
        <w:t>经济发展</w:t>
      </w:r>
    </w:p>
    <w:p>
      <w:pPr>
        <w:pStyle w:val="Normal0"/>
        <w:spacing w:line="360" w:lineRule="auto"/>
        <w:ind w:firstLine="560" w:firstLineChars="200"/>
        <w:rPr>
          <w:sz w:val="28"/>
          <w:szCs w:val="28"/>
        </w:rPr>
      </w:pPr>
      <w:r>
        <w:rPr>
          <w:rFonts w:hint="eastAsia"/>
          <w:sz w:val="28"/>
          <w:szCs w:val="28"/>
        </w:rPr>
        <w:t>电力设施完善，供应充沛可靠，年内将新开工新建500千伏变电所1座，现有 220 千伏变电所 2 座， 110 千伏变电所 4 座， 35 千伏供电主网覆盖全县，是安徽省唯一拥有 2 座 220 千伏变电所的县级城市。道路运输四通八达，全县乡乡通油路，村村通公路。县城供水日产已达 2.5 万吨，日产 10 万吨的新水厂已投入使用。城市建设日新月异，按照加快建设现代化中等城市的要求，修订完善了《广德县城市总体规划》。广德经济开发区位于县城东郊，规划总面积 43 平方公里， 2006 年 2 月被批准为省级开发区，按照建设长江三角洲一流开发区的目标，坚持高起点规划、高标准建设，开发区区内设有外贸加工、特色工业、高新技术产业和商贸综合服务等多个功能区，区内主干道按省级经济开发区标准设计，供水、供电、供气、排水、排污、通讯管线均已一次性铺设到位。目前开发区已成为吸引长三角投资者创业的腹地。 广德县被评选为 "长三角最具投资价值县市"。广德开发区被评为长三角最具投资价值开发区。 新杭开发区也被评为省级开发区。</w:t>
      </w:r>
    </w:p>
    <w:p>
      <w:pPr>
        <w:pStyle w:val="Normal0"/>
        <w:spacing w:before="205" w:beforeLines="50" w:after="205" w:afterLines="50" w:line="360" w:lineRule="auto"/>
        <w:rPr>
          <w:rFonts w:hint="eastAsia"/>
          <w:b/>
          <w:sz w:val="28"/>
          <w:szCs w:val="28"/>
        </w:rPr>
        <w:sectPr>
          <w:headerReference w:type="even" r:id="rId235"/>
          <w:headerReference w:type="default" r:id="rId236"/>
          <w:footerReference w:type="even" r:id="rId237"/>
          <w:footerReference w:type="default" r:id="rId238"/>
          <w:headerReference w:type="first" r:id="rId239"/>
          <w:footerReference w:type="first" r:id="rId240"/>
          <w:type w:val="nextPage"/>
          <w:pgSz w:w="11906" w:h="16838"/>
          <w:pgMar w:top="1440" w:right="1797" w:bottom="1440" w:left="1797" w:header="851" w:footer="992" w:gutter="0"/>
          <w:pgNumType w:start="35"/>
          <w:cols w:num="1" w:space="425"/>
          <w:titlePg w:val="0"/>
          <w:docGrid w:type="lines" w:linePitch="410" w:charSpace="0"/>
        </w:sectPr>
      </w:pPr>
      <w:r>
        <w:rPr>
          <w:b/>
          <w:sz w:val="28"/>
          <w:szCs w:val="28"/>
        </w:rPr>
        <w:t xml:space="preserve">5.2.3 </w:t>
      </w:r>
      <w:r>
        <w:rPr>
          <w:rFonts w:hint="eastAsia"/>
          <w:b/>
          <w:sz w:val="28"/>
          <w:szCs w:val="28"/>
        </w:rPr>
        <w:t>旅游资源</w:t>
      </w:r>
    </w:p>
    <w:p>
      <w:pPr>
        <w:pStyle w:val="Normal0"/>
        <w:spacing w:line="360" w:lineRule="auto"/>
        <w:ind w:firstLine="560" w:firstLineChars="200"/>
        <w:rPr>
          <w:rFonts w:hint="eastAsia"/>
          <w:sz w:val="28"/>
          <w:szCs w:val="28"/>
        </w:rPr>
      </w:pPr>
      <w:r>
        <w:rPr>
          <w:rFonts w:hint="eastAsia"/>
          <w:sz w:val="28"/>
          <w:szCs w:val="28"/>
        </w:rPr>
        <w:t>广德位于风光秀丽的皖南山区，属北亚热带湿润气候区，年平均气温15.4℃，年均降水量1328毫米，无霜期近300天，是休闲度假的理想场所。国家重点风景名胜区太极洞，是华东地区最大的天然溶洞，与“钱塘江潮、登州海市、雷州换鼓”齐称“天下四绝”，素有“桂林山水、广德石洞”并相媲美之说；始建于公元979年巍巍壮观的天寿寺塔、古朴典雅的鼓角楼、闻名遐迩的岳飞抗金遗址、灵秀甲东南的桃姑迷宫、万顷碧波的卢湖竹海及富有浓郁祠山文化的横山国家森林公园，各以其独特风姿吸引着四海宾朋、八方游客。广德已经编制了全县旅游总体发展规划，正致力于把广德建设成为长三角发达地区旅游休闲的“后花园”。</w:t>
      </w:r>
    </w:p>
    <w:p>
      <w:pPr>
        <w:pStyle w:val="Normal0"/>
        <w:spacing w:before="205" w:beforeLines="50" w:after="205" w:afterLines="50" w:line="360" w:lineRule="auto"/>
        <w:rPr>
          <w:rFonts w:hint="eastAsia"/>
          <w:b/>
          <w:sz w:val="28"/>
          <w:szCs w:val="28"/>
        </w:rPr>
      </w:pPr>
      <w:r>
        <w:rPr>
          <w:b/>
          <w:sz w:val="28"/>
          <w:szCs w:val="28"/>
        </w:rPr>
        <w:t xml:space="preserve">5.2.4 </w:t>
      </w:r>
      <w:r>
        <w:rPr>
          <w:rFonts w:hint="eastAsia"/>
          <w:b/>
          <w:sz w:val="28"/>
          <w:szCs w:val="28"/>
        </w:rPr>
        <w:t>创业投资</w:t>
      </w:r>
    </w:p>
    <w:p>
      <w:pPr>
        <w:pStyle w:val="Normal0"/>
        <w:spacing w:line="360" w:lineRule="auto"/>
        <w:ind w:firstLine="560" w:firstLineChars="200"/>
        <w:rPr>
          <w:rFonts w:hint="eastAsia"/>
          <w:sz w:val="28"/>
          <w:szCs w:val="28"/>
        </w:rPr>
      </w:pPr>
      <w:r>
        <w:rPr>
          <w:rFonts w:hint="eastAsia"/>
          <w:sz w:val="28"/>
          <w:szCs w:val="28"/>
        </w:rPr>
        <w:t>广德投资环境日趋优化，出台《广德县承接转移、加快发展二十条》等一系列政策文件，公开承诺让利于商、取信于商。开发区对国家鼓励类</w:t>
      </w:r>
      <w:r>
        <w:rPr>
          <w:rFonts w:hint="eastAsia"/>
          <w:sz w:val="28"/>
          <w:szCs w:val="28"/>
          <w:lang w:eastAsia="zh-CN"/>
        </w:rPr>
        <w:t>相关项目</w:t>
      </w:r>
      <w:r>
        <w:rPr>
          <w:rFonts w:hint="eastAsia"/>
          <w:sz w:val="28"/>
          <w:szCs w:val="28"/>
        </w:rPr>
        <w:t>用地给予再优惠和扶持。打造高效、务实、廉洁的服务型政府，是历届县委、县政府孜孜追求的目标。高质量、快速度完成全县电子政务工程，在全省县市区率先实现办公自动化，行政效率和服务水平进一步提高。一年一度的公开评议机关活动，彻底扭转了机关作风。县行政服务中心建成行政审批办证、招投标交易、县长热线投诉受理"三个平台"，提供快捷、高效和方便的 " 一站式 " 全程服务，帮助外商开展全程代理服务和投诉受理服务，坚决为外商在广德发展保驾护航。</w:t>
      </w:r>
    </w:p>
    <w:p>
      <w:pPr>
        <w:pStyle w:val="Normal0"/>
        <w:spacing w:line="360" w:lineRule="auto"/>
        <w:ind w:firstLine="560" w:firstLineChars="200"/>
        <w:rPr>
          <w:rFonts w:hint="eastAsia"/>
          <w:sz w:val="28"/>
          <w:szCs w:val="28"/>
        </w:rPr>
      </w:pPr>
      <w:r>
        <w:rPr>
          <w:rFonts w:hint="eastAsia"/>
          <w:sz w:val="28"/>
          <w:szCs w:val="28"/>
        </w:rPr>
        <w:br/>
      </w:r>
      <w:r>
        <w:rPr>
          <w:rFonts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1" w:history="1">
        <w:r>
          <w:rPr>
            <w:rFonts w:ascii="SimSun" w:eastAsia="SimSun" w:hAnsi="SimSun" w:cs="SimSun"/>
            <w:b/>
            <w:bCs/>
            <w:color w:val="0000EE"/>
            <w:kern w:val="0"/>
            <w:sz w:val="30"/>
            <w:szCs w:val="30"/>
            <w:u w:val="single" w:color="0000EE"/>
          </w:rPr>
          <w:t>https://d.book118.com/816021133124010053</w:t>
        </w:r>
      </w:hyperlink>
    </w:p>
    <w:p>
      <w:pPr>
        <w:pStyle w:val="Normal0"/>
        <w:spacing w:line="360" w:lineRule="auto"/>
        <w:ind w:firstLine="560" w:firstLineChars="200"/>
        <w:rPr>
          <w:rFonts w:hint="eastAsia"/>
          <w:sz w:val="28"/>
          <w:szCs w:val="28"/>
        </w:rPr>
      </w:pPr>
    </w:p>
    <w:sectPr>
      <w:headerReference w:type="even" r:id="rId242"/>
      <w:headerReference w:type="default" r:id="rId243"/>
      <w:footerReference w:type="even" r:id="rId244"/>
      <w:footerReference w:type="default" r:id="rId245"/>
      <w:headerReference w:type="first" r:id="rId246"/>
      <w:footerReference w:type="first" r:id="rId247"/>
      <w:type w:val="nextPage"/>
      <w:pgSz w:w="11906" w:h="16838"/>
      <w:pgMar w:top="1440" w:right="1797" w:bottom="1440" w:left="1797" w:header="851" w:footer="992" w:gutter="0"/>
      <w:pgNumType w:start="36"/>
      <w:cols w:num="1" w:space="425"/>
      <w:titlePg w:val="0"/>
      <w:docGrid w:type="lines" w:linePitch="41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经典行书简">
    <w:altName w:val="宋体"/>
    <w:panose1 w:val="02010609010101010101"/>
    <w:charset w:val="86"/>
    <w:family w:val="modern"/>
    <w:pitch w:val="default"/>
    <w:sig w:usb0="00000000" w:usb1="00000000" w:usb2="0000001E"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firstLine="198" w:firstLineChars="11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w:t>
    </w:r>
    <w:r>
      <w:rPr>
        <w:rStyle w:val="PageNumber"/>
      </w:rPr>
      <w:fldChar w:fldCharType="end"/>
    </w:r>
  </w:p>
  <w:p>
    <w:pPr>
      <w:pStyle w:val="Footer0"/>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III</w:t>
    </w:r>
    <w:r>
      <w:rPr>
        <w:rStyle w:val="PageNumber"/>
      </w:rPr>
      <w:fldChar w:fldCharType="end"/>
    </w:r>
  </w:p>
  <w:p>
    <w:pPr>
      <w:pStyle w:val="Footer0"/>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83</w:t>
    </w:r>
    <w:r>
      <w:rPr>
        <w:rStyle w:val="PageNumber"/>
      </w:rPr>
      <w:fldChar w:fldCharType="end"/>
    </w:r>
  </w:p>
  <w:p>
    <w:pPr>
      <w:pStyle w:val="Footer0"/>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0"/>
      <w:ind w:firstLine="361"/>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pPr>
      <w:pStyle w:val="Footer0"/>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0"/>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0"/>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0"/>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pPr>
      <w:pStyle w:val="Footer0"/>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pPr>
      <w:pStyle w:val="Footer0"/>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83</w:t>
    </w:r>
    <w:r>
      <w:rPr>
        <w:rStyle w:val="PageNumber"/>
      </w:rPr>
      <w:fldChar w:fldCharType="end"/>
    </w:r>
  </w:p>
  <w:p>
    <w:pPr>
      <w:pStyle w:val="Footer0"/>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pPr>
      <w:pStyle w:val="Footer0"/>
      <w:ind w:firstLine="361"/>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pPr>
      <w:pStyle w:val="Footer0"/>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pPr>
      <w:pStyle w:val="Footer0"/>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pPr>
      <w:pStyle w:val="Footer0"/>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pPr>
      <w:pStyle w:val="Footer0"/>
      <w:rPr>
        <w:rFonts w:hint="eastAsia"/>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83</w:t>
    </w:r>
    <w:r>
      <w:rPr>
        <w:rStyle w:val="PageNumber"/>
      </w:rPr>
      <w:fldChar w:fldCharType="end"/>
    </w:r>
  </w:p>
  <w:p>
    <w:pPr>
      <w:pStyle w:val="Footer0"/>
      <w:rPr>
        <w:rFonts w:hint="eastAsia"/>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pPr>
      <w:pStyle w:val="Footer0"/>
      <w:ind w:firstLine="361"/>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pPr>
      <w:pStyle w:val="Footer0"/>
      <w:rPr>
        <w:rFonts w:hint="eastAsia"/>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pPr>
      <w:pStyle w:val="Footer0"/>
      <w:rPr>
        <w:rFonts w:hint="eastAsia"/>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pPr>
      <w:pStyle w:val="Footer0"/>
      <w:rPr>
        <w:rFonts w:hint="eastAsia"/>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pPr>
      <w:pStyle w:val="Footer0"/>
      <w:rPr>
        <w:rFonts w:hint="eastAsia"/>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pPr>
      <w:pStyle w:val="Footer0"/>
      <w:rPr>
        <w:rFonts w:hint="eastAsia"/>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pPr>
      <w:pStyle w:val="Footer0"/>
      <w:rPr>
        <w:rFonts w:hint="eastAsia"/>
      </w:rP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pPr>
      <w:pStyle w:val="Footer0"/>
      <w:rPr>
        <w:rFonts w:hint="eastAsia"/>
      </w:rP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pPr>
      <w:pStyle w:val="Footer0"/>
      <w:rPr>
        <w:rFonts w:hint="eastAsia"/>
      </w:rP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pPr>
      <w:pStyle w:val="Footer0"/>
      <w:rPr>
        <w:rFonts w:hint="eastAsia"/>
      </w:rP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pPr>
      <w:pStyle w:val="Footer0"/>
      <w:rPr>
        <w:rFonts w:hint="eastAsia"/>
      </w:rP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pPr>
      <w:pStyle w:val="Footer0"/>
      <w:rPr>
        <w:rFonts w:hint="eastAsia"/>
      </w:rP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pPr>
      <w:pStyle w:val="Footer0"/>
      <w:rPr>
        <w:rFonts w:hint="eastAsia"/>
      </w:rP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pPr>
      <w:pStyle w:val="Footer0"/>
      <w:rPr>
        <w:rFonts w:hint="eastAsia"/>
      </w:rP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pPr>
      <w:pStyle w:val="Footer0"/>
      <w:rPr>
        <w:rFonts w:hint="eastAsia"/>
      </w:rP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pPr>
      <w:pStyle w:val="Footer0"/>
      <w:rPr>
        <w:rFonts w:hint="eastAsia"/>
      </w:rP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pPr>
      <w:pStyle w:val="Footer0"/>
      <w:rPr>
        <w:rFonts w:hint="eastAsia"/>
      </w:rP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pPr>
      <w:pStyle w:val="Footer0"/>
      <w:rPr>
        <w:rFonts w:hint="eastAsia"/>
      </w:rP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31</w:t>
    </w:r>
    <w:r>
      <w:rPr>
        <w:rStyle w:val="PageNumber"/>
      </w:rPr>
      <w:fldChar w:fldCharType="end"/>
    </w:r>
  </w:p>
  <w:p>
    <w:pPr>
      <w:pStyle w:val="Footer0"/>
      <w:rPr>
        <w:rFonts w:hint="eastAsia"/>
      </w:rP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83</w:t>
    </w:r>
    <w:r>
      <w:rPr>
        <w:rStyle w:val="PageNumber"/>
      </w:rPr>
      <w:fldChar w:fldCharType="end"/>
    </w:r>
  </w:p>
  <w:p>
    <w:pPr>
      <w:pStyle w:val="Footer0"/>
      <w:rPr>
        <w:rFonts w:hint="eastAsia"/>
      </w:rP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32</w:t>
    </w:r>
    <w:r>
      <w:rPr>
        <w:rStyle w:val="PageNumber"/>
      </w:rPr>
      <w:fldChar w:fldCharType="end"/>
    </w:r>
  </w:p>
  <w:p>
    <w:pPr>
      <w:pStyle w:val="Footer0"/>
      <w:ind w:firstLine="361"/>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33</w:t>
    </w:r>
    <w:r>
      <w:rPr>
        <w:rStyle w:val="PageNumber"/>
      </w:rPr>
      <w:fldChar w:fldCharType="end"/>
    </w:r>
  </w:p>
  <w:p>
    <w:pPr>
      <w:pStyle w:val="Footer0"/>
      <w:rPr>
        <w:rFonts w:hint="eastAsia"/>
      </w:rP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83</w:t>
    </w:r>
    <w:r>
      <w:rPr>
        <w:rStyle w:val="PageNumber"/>
      </w:rPr>
      <w:fldChar w:fldCharType="end"/>
    </w:r>
  </w:p>
  <w:p>
    <w:pPr>
      <w:pStyle w:val="Footer0"/>
      <w:rPr>
        <w:rFonts w:hint="eastAsia"/>
      </w:rP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34</w:t>
    </w:r>
    <w:r>
      <w:rPr>
        <w:rStyle w:val="PageNumber"/>
      </w:rPr>
      <w:fldChar w:fldCharType="end"/>
    </w:r>
  </w:p>
  <w:p>
    <w:pPr>
      <w:pStyle w:val="Footer0"/>
      <w:ind w:firstLine="361"/>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pPr>
      <w:pStyle w:val="Footer0"/>
      <w:rPr>
        <w:rFonts w:hint="eastAsia"/>
      </w:rP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ind w:firstLine="361"/>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ind w:firstLine="36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36</w:t>
    </w:r>
    <w:r>
      <w:rPr>
        <w:rStyle w:val="PageNumber"/>
      </w:rPr>
      <w:fldChar w:fldCharType="end"/>
    </w:r>
  </w:p>
  <w:p>
    <w:pPr>
      <w:pStyle w:val="Footer0"/>
      <w:rPr>
        <w:rFonts w:hint="eastAsia"/>
      </w:rP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page" w:x="5998" w:y="-53"/>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39</w:t>
    </w:r>
    <w:r>
      <w:rPr>
        <w:rStyle w:val="PageNumber"/>
      </w:rPr>
      <w:fldChar w:fldCharType="end"/>
    </w:r>
  </w:p>
  <w:p>
    <w:pPr>
      <w:pStyle w:val="Footer0"/>
      <w:ind w:firstLine="361"/>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ind w:left="600"/>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pBdr>
        <w:bottom w:val="single" w:sz="4" w:space="1" w:color="auto"/>
      </w:pBdr>
      <w:rPr>
        <w:rFonts w:hint="eastAsia"/>
      </w:rPr>
    </w:pPr>
    <w:r>
      <w:rPr>
        <w:rFonts w:hint="eastAsia"/>
      </w:rPr>
      <w:t>安徽省广德县富通国际建机建材城项目                              可行性研究报告</w:t>
    </w: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single" w:sz="6" w:space="0" w:color="auto"/>
      </w:pBdr>
      <w:ind w:right="450"/>
      <w:jc w:val="both"/>
      <w:rPr>
        <w:sz w:val="21"/>
        <w:szCs w:val="21"/>
      </w:rPr>
    </w:pPr>
    <w:r>
      <w:rPr>
        <w:rFonts w:hint="eastAsia"/>
        <w:sz w:val="21"/>
        <w:szCs w:val="21"/>
      </w:rPr>
      <w:t>安徽省广德县富通国际建机建材城项目                          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4F76"/>
    <w:rsid w:val="00017BF4"/>
    <w:rsid w:val="000257F7"/>
    <w:rsid w:val="000321E4"/>
    <w:rsid w:val="00032214"/>
    <w:rsid w:val="000324D5"/>
    <w:rsid w:val="00037A37"/>
    <w:rsid w:val="000528AA"/>
    <w:rsid w:val="00054094"/>
    <w:rsid w:val="00057363"/>
    <w:rsid w:val="0006562E"/>
    <w:rsid w:val="00066187"/>
    <w:rsid w:val="00070F51"/>
    <w:rsid w:val="00074541"/>
    <w:rsid w:val="00090BDF"/>
    <w:rsid w:val="00093808"/>
    <w:rsid w:val="000A6632"/>
    <w:rsid w:val="000A712F"/>
    <w:rsid w:val="000A77E2"/>
    <w:rsid w:val="000A7B37"/>
    <w:rsid w:val="000C1827"/>
    <w:rsid w:val="000D7C3E"/>
    <w:rsid w:val="000E3F3C"/>
    <w:rsid w:val="000F07D8"/>
    <w:rsid w:val="00101810"/>
    <w:rsid w:val="001036D6"/>
    <w:rsid w:val="00114515"/>
    <w:rsid w:val="001150E1"/>
    <w:rsid w:val="00131525"/>
    <w:rsid w:val="00132117"/>
    <w:rsid w:val="00140CF9"/>
    <w:rsid w:val="001446AC"/>
    <w:rsid w:val="00144F24"/>
    <w:rsid w:val="0014660E"/>
    <w:rsid w:val="001473A6"/>
    <w:rsid w:val="001475EA"/>
    <w:rsid w:val="001477A1"/>
    <w:rsid w:val="00155A75"/>
    <w:rsid w:val="001565C9"/>
    <w:rsid w:val="00161999"/>
    <w:rsid w:val="00161D46"/>
    <w:rsid w:val="00163D72"/>
    <w:rsid w:val="00164F3C"/>
    <w:rsid w:val="00166190"/>
    <w:rsid w:val="00183D6A"/>
    <w:rsid w:val="0018468C"/>
    <w:rsid w:val="0018623B"/>
    <w:rsid w:val="0019105C"/>
    <w:rsid w:val="00192956"/>
    <w:rsid w:val="001A1FBC"/>
    <w:rsid w:val="001A295E"/>
    <w:rsid w:val="001A4FE0"/>
    <w:rsid w:val="001B27CB"/>
    <w:rsid w:val="001B2C74"/>
    <w:rsid w:val="001D3B1C"/>
    <w:rsid w:val="001D4072"/>
    <w:rsid w:val="001E6C50"/>
    <w:rsid w:val="001E745C"/>
    <w:rsid w:val="001F2572"/>
    <w:rsid w:val="001F5AC5"/>
    <w:rsid w:val="00201581"/>
    <w:rsid w:val="00206CF3"/>
    <w:rsid w:val="00211EB6"/>
    <w:rsid w:val="00217D8E"/>
    <w:rsid w:val="00220BA5"/>
    <w:rsid w:val="00226C05"/>
    <w:rsid w:val="0023072D"/>
    <w:rsid w:val="00231DF6"/>
    <w:rsid w:val="00241E7D"/>
    <w:rsid w:val="00244CE3"/>
    <w:rsid w:val="00244EA4"/>
    <w:rsid w:val="002476A8"/>
    <w:rsid w:val="002517D6"/>
    <w:rsid w:val="00252B25"/>
    <w:rsid w:val="0025676D"/>
    <w:rsid w:val="00257995"/>
    <w:rsid w:val="002641B2"/>
    <w:rsid w:val="00265493"/>
    <w:rsid w:val="00265834"/>
    <w:rsid w:val="00280702"/>
    <w:rsid w:val="00281004"/>
    <w:rsid w:val="002864B6"/>
    <w:rsid w:val="00295B5D"/>
    <w:rsid w:val="002A235D"/>
    <w:rsid w:val="002C2004"/>
    <w:rsid w:val="002D3AA3"/>
    <w:rsid w:val="002D464E"/>
    <w:rsid w:val="002D52F0"/>
    <w:rsid w:val="002E27D9"/>
    <w:rsid w:val="002E42C5"/>
    <w:rsid w:val="002E58E6"/>
    <w:rsid w:val="002F00D9"/>
    <w:rsid w:val="002F5161"/>
    <w:rsid w:val="00300C08"/>
    <w:rsid w:val="00302492"/>
    <w:rsid w:val="00306D9A"/>
    <w:rsid w:val="003177CC"/>
    <w:rsid w:val="00320234"/>
    <w:rsid w:val="00323B2E"/>
    <w:rsid w:val="00331178"/>
    <w:rsid w:val="003316E3"/>
    <w:rsid w:val="0033279D"/>
    <w:rsid w:val="00351C73"/>
    <w:rsid w:val="0035214D"/>
    <w:rsid w:val="0035375B"/>
    <w:rsid w:val="003543B0"/>
    <w:rsid w:val="00354A7E"/>
    <w:rsid w:val="00356BC6"/>
    <w:rsid w:val="00357C52"/>
    <w:rsid w:val="003649C3"/>
    <w:rsid w:val="0036725A"/>
    <w:rsid w:val="00367971"/>
    <w:rsid w:val="00371385"/>
    <w:rsid w:val="0038175F"/>
    <w:rsid w:val="003827C6"/>
    <w:rsid w:val="00390FF6"/>
    <w:rsid w:val="003A0532"/>
    <w:rsid w:val="003A1D5B"/>
    <w:rsid w:val="003A6582"/>
    <w:rsid w:val="003A6B39"/>
    <w:rsid w:val="003B407F"/>
    <w:rsid w:val="003B6921"/>
    <w:rsid w:val="003C3B0B"/>
    <w:rsid w:val="003C647E"/>
    <w:rsid w:val="003C6FF1"/>
    <w:rsid w:val="003C7872"/>
    <w:rsid w:val="003C7A19"/>
    <w:rsid w:val="003D52CE"/>
    <w:rsid w:val="003D6095"/>
    <w:rsid w:val="003E008E"/>
    <w:rsid w:val="003E0BDB"/>
    <w:rsid w:val="003E55B4"/>
    <w:rsid w:val="003E58FC"/>
    <w:rsid w:val="003E6061"/>
    <w:rsid w:val="003E738E"/>
    <w:rsid w:val="003E78A7"/>
    <w:rsid w:val="003F0AAB"/>
    <w:rsid w:val="00415BEC"/>
    <w:rsid w:val="004350DA"/>
    <w:rsid w:val="00435FC5"/>
    <w:rsid w:val="004368EF"/>
    <w:rsid w:val="00440EB8"/>
    <w:rsid w:val="00441C35"/>
    <w:rsid w:val="00443D6F"/>
    <w:rsid w:val="004518FB"/>
    <w:rsid w:val="004610FD"/>
    <w:rsid w:val="004640AB"/>
    <w:rsid w:val="00467938"/>
    <w:rsid w:val="00471114"/>
    <w:rsid w:val="00471540"/>
    <w:rsid w:val="00474A62"/>
    <w:rsid w:val="00477379"/>
    <w:rsid w:val="00480E2C"/>
    <w:rsid w:val="004819F3"/>
    <w:rsid w:val="00481C7F"/>
    <w:rsid w:val="00485BC9"/>
    <w:rsid w:val="004862AB"/>
    <w:rsid w:val="0049737B"/>
    <w:rsid w:val="004A2A82"/>
    <w:rsid w:val="004A37FA"/>
    <w:rsid w:val="004A3D7E"/>
    <w:rsid w:val="004B03A5"/>
    <w:rsid w:val="004B13B0"/>
    <w:rsid w:val="004B3F73"/>
    <w:rsid w:val="004B5215"/>
    <w:rsid w:val="004B72AA"/>
    <w:rsid w:val="004B76BA"/>
    <w:rsid w:val="004C0087"/>
    <w:rsid w:val="004C0D36"/>
    <w:rsid w:val="004C37C3"/>
    <w:rsid w:val="004C4557"/>
    <w:rsid w:val="004C5096"/>
    <w:rsid w:val="004C5D9C"/>
    <w:rsid w:val="004C7605"/>
    <w:rsid w:val="004D313A"/>
    <w:rsid w:val="004E5B16"/>
    <w:rsid w:val="004E6B22"/>
    <w:rsid w:val="004F5E8F"/>
    <w:rsid w:val="004F7391"/>
    <w:rsid w:val="0050126B"/>
    <w:rsid w:val="005114AB"/>
    <w:rsid w:val="005131DA"/>
    <w:rsid w:val="005135B2"/>
    <w:rsid w:val="00516478"/>
    <w:rsid w:val="00527B44"/>
    <w:rsid w:val="0053264E"/>
    <w:rsid w:val="00536BA9"/>
    <w:rsid w:val="00545525"/>
    <w:rsid w:val="0054745D"/>
    <w:rsid w:val="005500A0"/>
    <w:rsid w:val="0055102F"/>
    <w:rsid w:val="00555961"/>
    <w:rsid w:val="00567444"/>
    <w:rsid w:val="00571C70"/>
    <w:rsid w:val="00573A11"/>
    <w:rsid w:val="00573BC4"/>
    <w:rsid w:val="00573C2B"/>
    <w:rsid w:val="00576441"/>
    <w:rsid w:val="005837A4"/>
    <w:rsid w:val="005864C6"/>
    <w:rsid w:val="00593561"/>
    <w:rsid w:val="005A24DE"/>
    <w:rsid w:val="005A281E"/>
    <w:rsid w:val="005A2CC6"/>
    <w:rsid w:val="005A2FA0"/>
    <w:rsid w:val="005A3EAB"/>
    <w:rsid w:val="005A4151"/>
    <w:rsid w:val="005B08FB"/>
    <w:rsid w:val="005B4E03"/>
    <w:rsid w:val="005B6F0C"/>
    <w:rsid w:val="005C05B1"/>
    <w:rsid w:val="005C68F9"/>
    <w:rsid w:val="005D01DC"/>
    <w:rsid w:val="005D0B41"/>
    <w:rsid w:val="005D71BE"/>
    <w:rsid w:val="005D7243"/>
    <w:rsid w:val="005E092C"/>
    <w:rsid w:val="005E3197"/>
    <w:rsid w:val="005E333F"/>
    <w:rsid w:val="005E35F4"/>
    <w:rsid w:val="005E4668"/>
    <w:rsid w:val="005F78C0"/>
    <w:rsid w:val="00603C50"/>
    <w:rsid w:val="00604588"/>
    <w:rsid w:val="00607705"/>
    <w:rsid w:val="006234F4"/>
    <w:rsid w:val="006247ED"/>
    <w:rsid w:val="006271B3"/>
    <w:rsid w:val="00633341"/>
    <w:rsid w:val="006348B6"/>
    <w:rsid w:val="00635415"/>
    <w:rsid w:val="00636480"/>
    <w:rsid w:val="006408EC"/>
    <w:rsid w:val="006420DB"/>
    <w:rsid w:val="00650066"/>
    <w:rsid w:val="006503E2"/>
    <w:rsid w:val="0065380F"/>
    <w:rsid w:val="0065498C"/>
    <w:rsid w:val="00655C88"/>
    <w:rsid w:val="006600C7"/>
    <w:rsid w:val="006718B0"/>
    <w:rsid w:val="006732FC"/>
    <w:rsid w:val="00681378"/>
    <w:rsid w:val="006918CF"/>
    <w:rsid w:val="00693E15"/>
    <w:rsid w:val="006A3EDC"/>
    <w:rsid w:val="006B4134"/>
    <w:rsid w:val="006B4E55"/>
    <w:rsid w:val="006C11A5"/>
    <w:rsid w:val="006C2761"/>
    <w:rsid w:val="006C39A5"/>
    <w:rsid w:val="006D1256"/>
    <w:rsid w:val="006E076B"/>
    <w:rsid w:val="006E51D0"/>
    <w:rsid w:val="006E7FCA"/>
    <w:rsid w:val="006F116A"/>
    <w:rsid w:val="006F3563"/>
    <w:rsid w:val="00702727"/>
    <w:rsid w:val="00705030"/>
    <w:rsid w:val="007055AC"/>
    <w:rsid w:val="00710061"/>
    <w:rsid w:val="007115DA"/>
    <w:rsid w:val="00715056"/>
    <w:rsid w:val="0071768F"/>
    <w:rsid w:val="007210C1"/>
    <w:rsid w:val="00725B56"/>
    <w:rsid w:val="007313CC"/>
    <w:rsid w:val="007407DD"/>
    <w:rsid w:val="0075278C"/>
    <w:rsid w:val="007533B6"/>
    <w:rsid w:val="00754B16"/>
    <w:rsid w:val="00755C75"/>
    <w:rsid w:val="007560A6"/>
    <w:rsid w:val="0077059B"/>
    <w:rsid w:val="0077549A"/>
    <w:rsid w:val="00775D71"/>
    <w:rsid w:val="00783392"/>
    <w:rsid w:val="00785BF8"/>
    <w:rsid w:val="007911A7"/>
    <w:rsid w:val="00794E98"/>
    <w:rsid w:val="00796C34"/>
    <w:rsid w:val="007A2944"/>
    <w:rsid w:val="007A33F5"/>
    <w:rsid w:val="007A52CB"/>
    <w:rsid w:val="007B7D6F"/>
    <w:rsid w:val="007C149A"/>
    <w:rsid w:val="007C2DE7"/>
    <w:rsid w:val="007C597E"/>
    <w:rsid w:val="007C704B"/>
    <w:rsid w:val="007D1BB9"/>
    <w:rsid w:val="007D26A0"/>
    <w:rsid w:val="007D2AD0"/>
    <w:rsid w:val="007D2B88"/>
    <w:rsid w:val="007D4C69"/>
    <w:rsid w:val="007F14AD"/>
    <w:rsid w:val="007F206D"/>
    <w:rsid w:val="007F2E91"/>
    <w:rsid w:val="007F30D2"/>
    <w:rsid w:val="007F7BE1"/>
    <w:rsid w:val="00803929"/>
    <w:rsid w:val="00807A93"/>
    <w:rsid w:val="00812C5B"/>
    <w:rsid w:val="00814E4A"/>
    <w:rsid w:val="00815799"/>
    <w:rsid w:val="0083692D"/>
    <w:rsid w:val="00836B2A"/>
    <w:rsid w:val="00845BD5"/>
    <w:rsid w:val="00850ADD"/>
    <w:rsid w:val="00852D61"/>
    <w:rsid w:val="00853B7B"/>
    <w:rsid w:val="008567E2"/>
    <w:rsid w:val="008572F4"/>
    <w:rsid w:val="00871436"/>
    <w:rsid w:val="00881CED"/>
    <w:rsid w:val="008827DB"/>
    <w:rsid w:val="00891ECC"/>
    <w:rsid w:val="00897276"/>
    <w:rsid w:val="008A7659"/>
    <w:rsid w:val="008B034B"/>
    <w:rsid w:val="008B0377"/>
    <w:rsid w:val="008B2D44"/>
    <w:rsid w:val="008B41E8"/>
    <w:rsid w:val="008D211E"/>
    <w:rsid w:val="008E572C"/>
    <w:rsid w:val="008E6F29"/>
    <w:rsid w:val="008F2E3B"/>
    <w:rsid w:val="008F3CF1"/>
    <w:rsid w:val="008F63F1"/>
    <w:rsid w:val="00904CF1"/>
    <w:rsid w:val="009053C7"/>
    <w:rsid w:val="009054B6"/>
    <w:rsid w:val="00910E84"/>
    <w:rsid w:val="00912824"/>
    <w:rsid w:val="0092432A"/>
    <w:rsid w:val="00932235"/>
    <w:rsid w:val="00933197"/>
    <w:rsid w:val="00940DF4"/>
    <w:rsid w:val="00944175"/>
    <w:rsid w:val="00944919"/>
    <w:rsid w:val="009616E5"/>
    <w:rsid w:val="00966630"/>
    <w:rsid w:val="0097015B"/>
    <w:rsid w:val="00986601"/>
    <w:rsid w:val="009A5B82"/>
    <w:rsid w:val="009A740C"/>
    <w:rsid w:val="009B5950"/>
    <w:rsid w:val="009D0EA6"/>
    <w:rsid w:val="009D1E41"/>
    <w:rsid w:val="009E0323"/>
    <w:rsid w:val="009F0CA2"/>
    <w:rsid w:val="009F2CD0"/>
    <w:rsid w:val="009F2DE9"/>
    <w:rsid w:val="009F39AB"/>
    <w:rsid w:val="009F5578"/>
    <w:rsid w:val="00A0685F"/>
    <w:rsid w:val="00A123D3"/>
    <w:rsid w:val="00A1703D"/>
    <w:rsid w:val="00A17664"/>
    <w:rsid w:val="00A21C4F"/>
    <w:rsid w:val="00A22C05"/>
    <w:rsid w:val="00A34432"/>
    <w:rsid w:val="00A34AF8"/>
    <w:rsid w:val="00A3654E"/>
    <w:rsid w:val="00A40EB1"/>
    <w:rsid w:val="00A6323A"/>
    <w:rsid w:val="00A653AA"/>
    <w:rsid w:val="00A722ED"/>
    <w:rsid w:val="00A823DE"/>
    <w:rsid w:val="00A84BC7"/>
    <w:rsid w:val="00A853E9"/>
    <w:rsid w:val="00A873D0"/>
    <w:rsid w:val="00A91DC2"/>
    <w:rsid w:val="00AA29F0"/>
    <w:rsid w:val="00AB395E"/>
    <w:rsid w:val="00AB4907"/>
    <w:rsid w:val="00AB6824"/>
    <w:rsid w:val="00AC352C"/>
    <w:rsid w:val="00AC4869"/>
    <w:rsid w:val="00AC4A84"/>
    <w:rsid w:val="00AD12A9"/>
    <w:rsid w:val="00AD24A6"/>
    <w:rsid w:val="00AD268A"/>
    <w:rsid w:val="00AD4D0A"/>
    <w:rsid w:val="00AD577B"/>
    <w:rsid w:val="00AE0459"/>
    <w:rsid w:val="00AE72E1"/>
    <w:rsid w:val="00AE7665"/>
    <w:rsid w:val="00B11E33"/>
    <w:rsid w:val="00B12662"/>
    <w:rsid w:val="00B15227"/>
    <w:rsid w:val="00B20688"/>
    <w:rsid w:val="00B235B0"/>
    <w:rsid w:val="00B242DE"/>
    <w:rsid w:val="00B2724D"/>
    <w:rsid w:val="00B37414"/>
    <w:rsid w:val="00B40449"/>
    <w:rsid w:val="00B42813"/>
    <w:rsid w:val="00B44F12"/>
    <w:rsid w:val="00B622DC"/>
    <w:rsid w:val="00B65827"/>
    <w:rsid w:val="00B67882"/>
    <w:rsid w:val="00B71719"/>
    <w:rsid w:val="00B75E62"/>
    <w:rsid w:val="00B85912"/>
    <w:rsid w:val="00BB39F7"/>
    <w:rsid w:val="00BB3CCE"/>
    <w:rsid w:val="00BB4E24"/>
    <w:rsid w:val="00BC1D14"/>
    <w:rsid w:val="00BC206A"/>
    <w:rsid w:val="00BC5551"/>
    <w:rsid w:val="00BC7E20"/>
    <w:rsid w:val="00BD0AD6"/>
    <w:rsid w:val="00BD4047"/>
    <w:rsid w:val="00BD50A4"/>
    <w:rsid w:val="00BD6ACB"/>
    <w:rsid w:val="00BE1C74"/>
    <w:rsid w:val="00BE2105"/>
    <w:rsid w:val="00BE744A"/>
    <w:rsid w:val="00BE787F"/>
    <w:rsid w:val="00BF0B3B"/>
    <w:rsid w:val="00C11B30"/>
    <w:rsid w:val="00C1729B"/>
    <w:rsid w:val="00C20388"/>
    <w:rsid w:val="00C21648"/>
    <w:rsid w:val="00C32DCA"/>
    <w:rsid w:val="00C3480A"/>
    <w:rsid w:val="00C36A8E"/>
    <w:rsid w:val="00C40926"/>
    <w:rsid w:val="00C508A6"/>
    <w:rsid w:val="00C5192E"/>
    <w:rsid w:val="00C51A11"/>
    <w:rsid w:val="00C572A0"/>
    <w:rsid w:val="00C610C6"/>
    <w:rsid w:val="00C65390"/>
    <w:rsid w:val="00C671AA"/>
    <w:rsid w:val="00C74625"/>
    <w:rsid w:val="00C77701"/>
    <w:rsid w:val="00C94E3F"/>
    <w:rsid w:val="00CA67C3"/>
    <w:rsid w:val="00CB06A8"/>
    <w:rsid w:val="00CB1B77"/>
    <w:rsid w:val="00CB21BB"/>
    <w:rsid w:val="00CB3F1F"/>
    <w:rsid w:val="00CB77B1"/>
    <w:rsid w:val="00CC0BA6"/>
    <w:rsid w:val="00CD48F0"/>
    <w:rsid w:val="00CE4378"/>
    <w:rsid w:val="00CE7010"/>
    <w:rsid w:val="00CE70F4"/>
    <w:rsid w:val="00CF06F7"/>
    <w:rsid w:val="00CF5996"/>
    <w:rsid w:val="00CF7D64"/>
    <w:rsid w:val="00D05EA2"/>
    <w:rsid w:val="00D0707F"/>
    <w:rsid w:val="00D0731F"/>
    <w:rsid w:val="00D16826"/>
    <w:rsid w:val="00D174E5"/>
    <w:rsid w:val="00D207CC"/>
    <w:rsid w:val="00D21D90"/>
    <w:rsid w:val="00D24642"/>
    <w:rsid w:val="00D24AF5"/>
    <w:rsid w:val="00D30672"/>
    <w:rsid w:val="00D32B4B"/>
    <w:rsid w:val="00D3530D"/>
    <w:rsid w:val="00D45033"/>
    <w:rsid w:val="00D45776"/>
    <w:rsid w:val="00D45D4D"/>
    <w:rsid w:val="00D531ED"/>
    <w:rsid w:val="00D555F7"/>
    <w:rsid w:val="00D641C5"/>
    <w:rsid w:val="00D76CB9"/>
    <w:rsid w:val="00D76FD5"/>
    <w:rsid w:val="00D8343F"/>
    <w:rsid w:val="00D8423F"/>
    <w:rsid w:val="00D92CC9"/>
    <w:rsid w:val="00D9666E"/>
    <w:rsid w:val="00DA0899"/>
    <w:rsid w:val="00DA17DF"/>
    <w:rsid w:val="00DA21B7"/>
    <w:rsid w:val="00DA3724"/>
    <w:rsid w:val="00DA7F84"/>
    <w:rsid w:val="00DB2E2E"/>
    <w:rsid w:val="00DB3424"/>
    <w:rsid w:val="00DB57E2"/>
    <w:rsid w:val="00DB6068"/>
    <w:rsid w:val="00DC2236"/>
    <w:rsid w:val="00DC67B2"/>
    <w:rsid w:val="00DC752E"/>
    <w:rsid w:val="00DC7864"/>
    <w:rsid w:val="00DD36C5"/>
    <w:rsid w:val="00DD47AA"/>
    <w:rsid w:val="00DD67F3"/>
    <w:rsid w:val="00DE0185"/>
    <w:rsid w:val="00DE3C2E"/>
    <w:rsid w:val="00DE6373"/>
    <w:rsid w:val="00DF4DAD"/>
    <w:rsid w:val="00E01394"/>
    <w:rsid w:val="00E575EF"/>
    <w:rsid w:val="00E720D5"/>
    <w:rsid w:val="00E73211"/>
    <w:rsid w:val="00E73396"/>
    <w:rsid w:val="00E86D13"/>
    <w:rsid w:val="00E87127"/>
    <w:rsid w:val="00E92731"/>
    <w:rsid w:val="00E950EE"/>
    <w:rsid w:val="00EA5890"/>
    <w:rsid w:val="00EE0D48"/>
    <w:rsid w:val="00EF34AA"/>
    <w:rsid w:val="00F0057D"/>
    <w:rsid w:val="00F025B9"/>
    <w:rsid w:val="00F04571"/>
    <w:rsid w:val="00F066AA"/>
    <w:rsid w:val="00F07B79"/>
    <w:rsid w:val="00F12444"/>
    <w:rsid w:val="00F15042"/>
    <w:rsid w:val="00F24798"/>
    <w:rsid w:val="00F26152"/>
    <w:rsid w:val="00F27873"/>
    <w:rsid w:val="00F44544"/>
    <w:rsid w:val="00F53664"/>
    <w:rsid w:val="00F56B9E"/>
    <w:rsid w:val="00F61B94"/>
    <w:rsid w:val="00F649F3"/>
    <w:rsid w:val="00F66F01"/>
    <w:rsid w:val="00F70998"/>
    <w:rsid w:val="00F71E9E"/>
    <w:rsid w:val="00F74AA8"/>
    <w:rsid w:val="00F77AFB"/>
    <w:rsid w:val="00F81B4F"/>
    <w:rsid w:val="00F8369A"/>
    <w:rsid w:val="00F85F68"/>
    <w:rsid w:val="00F87E74"/>
    <w:rsid w:val="00F9139A"/>
    <w:rsid w:val="00F92FFF"/>
    <w:rsid w:val="00F932F6"/>
    <w:rsid w:val="00F97946"/>
    <w:rsid w:val="00FB177E"/>
    <w:rsid w:val="00FB49AA"/>
    <w:rsid w:val="00FB658C"/>
    <w:rsid w:val="00FC0822"/>
    <w:rsid w:val="00FC25C7"/>
    <w:rsid w:val="00FC6B0D"/>
    <w:rsid w:val="00FD0CB6"/>
    <w:rsid w:val="00FD2B68"/>
    <w:rsid w:val="00FE1159"/>
    <w:rsid w:val="00FE7CB2"/>
    <w:rsid w:val="00FF1692"/>
    <w:rsid w:val="00FF4473"/>
    <w:rsid w:val="00FF76F3"/>
    <w:rsid w:val="1B775F20"/>
    <w:rsid w:val="49B755B6"/>
    <w:rsid w:val="53D629E8"/>
    <w:rsid w:val="5E280D51"/>
    <w:rsid w:val="6F5A3C93"/>
    <w:rsid w:val="737039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lsdException w:name="toc 2" w:semiHidden="0" w:uiPriority="39"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link w:val="CharChar16"/>
    <w:autoRedefine/>
    <w:qFormat/>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link w:val="CharChar15"/>
    <w:autoRedefine/>
    <w:qFormat/>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styleId="BodyTextIndent2">
    <w:name w:val="Body Text Indent 2"/>
    <w:basedOn w:val="Normal"/>
    <w:link w:val="CharChar3"/>
    <w:uiPriority w:val="99"/>
    <w:pPr>
      <w:spacing w:after="120" w:line="480" w:lineRule="auto"/>
      <w:ind w:left="420" w:leftChars="200"/>
    </w:pPr>
    <w:rPr>
      <w:rFonts w:ascii="Times New Roman" w:hAnsi="Times New Roman"/>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uiPriority w:val="39"/>
    <w:pPr>
      <w:tabs>
        <w:tab w:val="right" w:leader="dot" w:pos="8777"/>
      </w:tabs>
      <w:spacing w:before="120" w:after="120"/>
      <w:jc w:val="left"/>
    </w:pPr>
    <w:rPr>
      <w:rFonts w:ascii="Times New Roman" w:hAnsi="Times New Roman"/>
      <w:bCs/>
      <w:caps/>
      <w:kern w:val="44"/>
      <w:sz w:val="28"/>
      <w:szCs w:val="28"/>
    </w:rPr>
  </w:style>
  <w:style w:type="paragraph" w:styleId="TOC2">
    <w:name w:val="toc 2"/>
    <w:basedOn w:val="Normal"/>
    <w:next w:val="Normal0"/>
    <w:autoRedefine/>
    <w:uiPriority w:val="39"/>
    <w:pPr>
      <w:tabs>
        <w:tab w:val="right" w:leader="dot" w:pos="8777"/>
      </w:tabs>
      <w:ind w:firstLine="480" w:firstLineChars="200"/>
      <w:jc w:val="left"/>
    </w:pPr>
    <w:rPr>
      <w:rFonts w:ascii="仿宋_GB2312" w:eastAsia="仿宋_GB2312" w:hAnsi="Times New Roman"/>
      <w:smallCaps/>
      <w:kern w:val="44"/>
      <w:sz w:val="24"/>
      <w:szCs w:val="24"/>
    </w:rPr>
  </w:style>
  <w:style w:type="character" w:styleId="PageNumber">
    <w:name w:val="page number"/>
    <w:basedOn w:val="DefaultParagraphFont"/>
  </w:style>
  <w:style w:type="paragraph" w:customStyle="1" w:styleId="Footer0">
    <w:name w:val="Footer_0"/>
    <w:basedOn w:val="Normal0"/>
    <w:link w:val="CharChar5"/>
    <w:uiPriority w:val="99"/>
    <w:pPr>
      <w:tabs>
        <w:tab w:val="center" w:pos="4153"/>
        <w:tab w:val="right" w:pos="8306"/>
      </w:tabs>
      <w:snapToGrid w:val="0"/>
      <w:jc w:val="left"/>
    </w:pPr>
    <w:rPr>
      <w:sz w:val="18"/>
      <w:szCs w:val="18"/>
    </w:rPr>
  </w:style>
  <w:style w:type="character" w:customStyle="1" w:styleId="CharChar5">
    <w:name w:val=" Char Char5"/>
    <w:basedOn w:val="DefaultParagraphFont"/>
    <w:link w:val="Footer0"/>
    <w:rPr>
      <w:kern w:val="2"/>
      <w:sz w:val="18"/>
      <w:szCs w:val="18"/>
    </w:rPr>
  </w:style>
  <w:style w:type="paragraph" w:customStyle="1" w:styleId="Header0">
    <w:name w:val="Header_0"/>
    <w:basedOn w:val="Normal0"/>
    <w:link w:val="CharChar6"/>
    <w:uiPriority w:val="99"/>
    <w:pPr>
      <w:pBdr>
        <w:bottom w:val="single" w:sz="6" w:space="1" w:color="auto"/>
      </w:pBdr>
      <w:tabs>
        <w:tab w:val="center" w:pos="4153"/>
        <w:tab w:val="right" w:pos="8306"/>
      </w:tabs>
      <w:wordWrap w:val="0"/>
      <w:snapToGrid w:val="0"/>
      <w:jc w:val="right"/>
    </w:pPr>
    <w:rPr>
      <w:sz w:val="18"/>
      <w:szCs w:val="18"/>
    </w:rPr>
  </w:style>
  <w:style w:type="character" w:customStyle="1" w:styleId="CharChar6">
    <w:name w:val=" Char Char6"/>
    <w:basedOn w:val="DefaultParagraphFont"/>
    <w:link w:val="Header0"/>
    <w:rPr>
      <w:kern w:val="2"/>
      <w:sz w:val="18"/>
      <w:szCs w:val="18"/>
    </w:rPr>
  </w:style>
  <w:style w:type="character" w:customStyle="1" w:styleId="CharChar16">
    <w:name w:val=" Char Char16"/>
    <w:basedOn w:val="DefaultParagraphFont"/>
    <w:link w:val="Heading1"/>
    <w:rPr>
      <w:b/>
      <w:bCs/>
      <w:kern w:val="44"/>
      <w:sz w:val="44"/>
      <w:szCs w:val="44"/>
    </w:rPr>
  </w:style>
  <w:style w:type="character" w:customStyle="1" w:styleId="CharChar15">
    <w:name w:val=" Char Char15"/>
    <w:basedOn w:val="DefaultParagraphFont"/>
    <w:link w:val="Heading2"/>
    <w:rPr>
      <w:rFonts w:ascii="Arial" w:eastAsia="黑体" w:hAnsi="Arial"/>
      <w:b/>
      <w:bCs/>
      <w:kern w:val="2"/>
      <w:sz w:val="32"/>
      <w:szCs w:val="32"/>
    </w:rPr>
  </w:style>
  <w:style w:type="character" w:customStyle="1" w:styleId="CharChar3">
    <w:name w:val=" Char Char3"/>
    <w:basedOn w:val="DefaultParagraphFont"/>
    <w:link w:val="BodyTextIndent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48.xml" /><Relationship Id="rId101" Type="http://schemas.openxmlformats.org/officeDocument/2006/relationships/header" Target="header49.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0.xml" /><Relationship Id="rId105" Type="http://schemas.openxmlformats.org/officeDocument/2006/relationships/footer" Target="footer51.xml" /><Relationship Id="rId106" Type="http://schemas.openxmlformats.org/officeDocument/2006/relationships/header" Target="header51.xml" /><Relationship Id="rId107" Type="http://schemas.openxmlformats.org/officeDocument/2006/relationships/header" Target="header52.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4.xml" /><Relationship Id="rId110" Type="http://schemas.openxmlformats.org/officeDocument/2006/relationships/header" Target="header53.xml" /><Relationship Id="rId111" Type="http://schemas.openxmlformats.org/officeDocument/2006/relationships/footer" Target="footer54.xml" /><Relationship Id="rId112" Type="http://schemas.openxmlformats.org/officeDocument/2006/relationships/header" Target="header54.xml" /><Relationship Id="rId113" Type="http://schemas.openxmlformats.org/officeDocument/2006/relationships/header" Target="header55.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6.xml" /><Relationship Id="rId117" Type="http://schemas.openxmlformats.org/officeDocument/2006/relationships/footer" Target="footer57.xml" /><Relationship Id="rId118" Type="http://schemas.openxmlformats.org/officeDocument/2006/relationships/header" Target="header57.xm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59.xml" /><Relationship Id="rId123" Type="http://schemas.openxmlformats.org/officeDocument/2006/relationships/footer" Target="footer60.xml" /><Relationship Id="rId124" Type="http://schemas.openxmlformats.org/officeDocument/2006/relationships/header" Target="header60.xml" /><Relationship Id="rId125" Type="http://schemas.openxmlformats.org/officeDocument/2006/relationships/header" Target="header61.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2.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image" Target="media/image1.png" /><Relationship Id="rId131" Type="http://schemas.openxmlformats.org/officeDocument/2006/relationships/header" Target="header63.xml" /><Relationship Id="rId132" Type="http://schemas.openxmlformats.org/officeDocument/2006/relationships/header" Target="header64.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5.xml" /><Relationship Id="rId136" Type="http://schemas.openxmlformats.org/officeDocument/2006/relationships/footer" Target="footer66.xml" /><Relationship Id="rId137" Type="http://schemas.openxmlformats.org/officeDocument/2006/relationships/image" Target="media/image2.png" /><Relationship Id="rId138" Type="http://schemas.openxmlformats.org/officeDocument/2006/relationships/image" Target="media/image3.png" /><Relationship Id="rId139" Type="http://schemas.openxmlformats.org/officeDocument/2006/relationships/header" Target="header66.xml" /><Relationship Id="rId14" Type="http://schemas.openxmlformats.org/officeDocument/2006/relationships/header" Target="header5.xml" /><Relationship Id="rId140" Type="http://schemas.openxmlformats.org/officeDocument/2006/relationships/header" Target="header67.xml" /><Relationship Id="rId141" Type="http://schemas.openxmlformats.org/officeDocument/2006/relationships/footer" Target="footer67.xml" /><Relationship Id="rId142" Type="http://schemas.openxmlformats.org/officeDocument/2006/relationships/footer" Target="footer68.xml" /><Relationship Id="rId143" Type="http://schemas.openxmlformats.org/officeDocument/2006/relationships/header" Target="header68.xml" /><Relationship Id="rId144" Type="http://schemas.openxmlformats.org/officeDocument/2006/relationships/footer" Target="footer69.xml" /><Relationship Id="rId145" Type="http://schemas.openxmlformats.org/officeDocument/2006/relationships/header" Target="header69.xml" /><Relationship Id="rId146" Type="http://schemas.openxmlformats.org/officeDocument/2006/relationships/header" Target="header70.xml" /><Relationship Id="rId147" Type="http://schemas.openxmlformats.org/officeDocument/2006/relationships/footer" Target="footer70.xml" /><Relationship Id="rId148" Type="http://schemas.openxmlformats.org/officeDocument/2006/relationships/footer" Target="footer71.xml" /><Relationship Id="rId149" Type="http://schemas.openxmlformats.org/officeDocument/2006/relationships/header" Target="header71.xml" /><Relationship Id="rId15" Type="http://schemas.openxmlformats.org/officeDocument/2006/relationships/footer" Target="footer6.xml" /><Relationship Id="rId150" Type="http://schemas.openxmlformats.org/officeDocument/2006/relationships/footer" Target="footer72.xml" /><Relationship Id="rId151" Type="http://schemas.openxmlformats.org/officeDocument/2006/relationships/header" Target="header72.xml" /><Relationship Id="rId152" Type="http://schemas.openxmlformats.org/officeDocument/2006/relationships/header" Target="header73.xml" /><Relationship Id="rId153" Type="http://schemas.openxmlformats.org/officeDocument/2006/relationships/footer" Target="footer73.xml" /><Relationship Id="rId154" Type="http://schemas.openxmlformats.org/officeDocument/2006/relationships/footer" Target="footer74.xml" /><Relationship Id="rId155" Type="http://schemas.openxmlformats.org/officeDocument/2006/relationships/header" Target="header74.xml" /><Relationship Id="rId156" Type="http://schemas.openxmlformats.org/officeDocument/2006/relationships/footer" Target="footer75.xml" /><Relationship Id="rId157" Type="http://schemas.openxmlformats.org/officeDocument/2006/relationships/header" Target="header75.xml" /><Relationship Id="rId158" Type="http://schemas.openxmlformats.org/officeDocument/2006/relationships/header" Target="header76.xml" /><Relationship Id="rId159" Type="http://schemas.openxmlformats.org/officeDocument/2006/relationships/footer" Target="footer76.xml" /><Relationship Id="rId16" Type="http://schemas.openxmlformats.org/officeDocument/2006/relationships/header" Target="header6.xml" /><Relationship Id="rId160" Type="http://schemas.openxmlformats.org/officeDocument/2006/relationships/footer" Target="footer77.xml" /><Relationship Id="rId161" Type="http://schemas.openxmlformats.org/officeDocument/2006/relationships/header" Target="header77.xml" /><Relationship Id="rId162" Type="http://schemas.openxmlformats.org/officeDocument/2006/relationships/footer" Target="footer78.xml" /><Relationship Id="rId163" Type="http://schemas.openxmlformats.org/officeDocument/2006/relationships/header" Target="header78.xml" /><Relationship Id="rId164" Type="http://schemas.openxmlformats.org/officeDocument/2006/relationships/header" Target="header79.xml" /><Relationship Id="rId165" Type="http://schemas.openxmlformats.org/officeDocument/2006/relationships/footer" Target="footer79.xml" /><Relationship Id="rId166" Type="http://schemas.openxmlformats.org/officeDocument/2006/relationships/footer" Target="footer80.xml" /><Relationship Id="rId167" Type="http://schemas.openxmlformats.org/officeDocument/2006/relationships/header" Target="header80.xml" /><Relationship Id="rId168" Type="http://schemas.openxmlformats.org/officeDocument/2006/relationships/footer" Target="footer81.xml" /><Relationship Id="rId169" Type="http://schemas.openxmlformats.org/officeDocument/2006/relationships/header" Target="header81.xml" /><Relationship Id="rId17" Type="http://schemas.openxmlformats.org/officeDocument/2006/relationships/header" Target="header7.xml" /><Relationship Id="rId170" Type="http://schemas.openxmlformats.org/officeDocument/2006/relationships/header" Target="header82.xml" /><Relationship Id="rId171" Type="http://schemas.openxmlformats.org/officeDocument/2006/relationships/footer" Target="footer82.xml" /><Relationship Id="rId172" Type="http://schemas.openxmlformats.org/officeDocument/2006/relationships/footer" Target="footer83.xml" /><Relationship Id="rId173" Type="http://schemas.openxmlformats.org/officeDocument/2006/relationships/header" Target="header83.xml" /><Relationship Id="rId174" Type="http://schemas.openxmlformats.org/officeDocument/2006/relationships/footer" Target="footer84.xml" /><Relationship Id="rId175" Type="http://schemas.openxmlformats.org/officeDocument/2006/relationships/header" Target="header84.xml" /><Relationship Id="rId176" Type="http://schemas.openxmlformats.org/officeDocument/2006/relationships/header" Target="header85.xml" /><Relationship Id="rId177" Type="http://schemas.openxmlformats.org/officeDocument/2006/relationships/footer" Target="footer85.xml" /><Relationship Id="rId178" Type="http://schemas.openxmlformats.org/officeDocument/2006/relationships/footer" Target="footer86.xml" /><Relationship Id="rId179" Type="http://schemas.openxmlformats.org/officeDocument/2006/relationships/header" Target="header86.xml" /><Relationship Id="rId18" Type="http://schemas.openxmlformats.org/officeDocument/2006/relationships/footer" Target="footer7.xml" /><Relationship Id="rId180" Type="http://schemas.openxmlformats.org/officeDocument/2006/relationships/footer" Target="footer87.xml" /><Relationship Id="rId181" Type="http://schemas.openxmlformats.org/officeDocument/2006/relationships/header" Target="header87.xml" /><Relationship Id="rId182" Type="http://schemas.openxmlformats.org/officeDocument/2006/relationships/header" Target="header88.xml" /><Relationship Id="rId183" Type="http://schemas.openxmlformats.org/officeDocument/2006/relationships/footer" Target="footer88.xml" /><Relationship Id="rId184" Type="http://schemas.openxmlformats.org/officeDocument/2006/relationships/footer" Target="footer89.xml" /><Relationship Id="rId185" Type="http://schemas.openxmlformats.org/officeDocument/2006/relationships/header" Target="header89.xml" /><Relationship Id="rId186" Type="http://schemas.openxmlformats.org/officeDocument/2006/relationships/footer" Target="footer90.xml" /><Relationship Id="rId187" Type="http://schemas.openxmlformats.org/officeDocument/2006/relationships/header" Target="header90.xml" /><Relationship Id="rId188" Type="http://schemas.openxmlformats.org/officeDocument/2006/relationships/header" Target="header91.xml" /><Relationship Id="rId189" Type="http://schemas.openxmlformats.org/officeDocument/2006/relationships/footer" Target="footer91.xml" /><Relationship Id="rId19" Type="http://schemas.openxmlformats.org/officeDocument/2006/relationships/footer" Target="footer8.xml" /><Relationship Id="rId190" Type="http://schemas.openxmlformats.org/officeDocument/2006/relationships/footer" Target="footer92.xml" /><Relationship Id="rId191" Type="http://schemas.openxmlformats.org/officeDocument/2006/relationships/header" Target="header92.xml" /><Relationship Id="rId192" Type="http://schemas.openxmlformats.org/officeDocument/2006/relationships/footer" Target="footer93.xml" /><Relationship Id="rId193" Type="http://schemas.openxmlformats.org/officeDocument/2006/relationships/header" Target="header93.xml" /><Relationship Id="rId194" Type="http://schemas.openxmlformats.org/officeDocument/2006/relationships/header" Target="header94.xml" /><Relationship Id="rId195" Type="http://schemas.openxmlformats.org/officeDocument/2006/relationships/footer" Target="footer94.xml" /><Relationship Id="rId196" Type="http://schemas.openxmlformats.org/officeDocument/2006/relationships/footer" Target="footer95.xml" /><Relationship Id="rId197" Type="http://schemas.openxmlformats.org/officeDocument/2006/relationships/header" Target="header95.xml" /><Relationship Id="rId198" Type="http://schemas.openxmlformats.org/officeDocument/2006/relationships/footer" Target="footer96.xml" /><Relationship Id="rId199" Type="http://schemas.openxmlformats.org/officeDocument/2006/relationships/header" Target="header96.xml" /><Relationship Id="rId2" Type="http://schemas.openxmlformats.org/officeDocument/2006/relationships/webSettings" Target="webSettings.xml" /><Relationship Id="rId20" Type="http://schemas.openxmlformats.org/officeDocument/2006/relationships/header" Target="header8.xml" /><Relationship Id="rId200" Type="http://schemas.openxmlformats.org/officeDocument/2006/relationships/header" Target="header97.xml" /><Relationship Id="rId201" Type="http://schemas.openxmlformats.org/officeDocument/2006/relationships/footer" Target="footer97.xml" /><Relationship Id="rId202" Type="http://schemas.openxmlformats.org/officeDocument/2006/relationships/footer" Target="footer98.xml" /><Relationship Id="rId203" Type="http://schemas.openxmlformats.org/officeDocument/2006/relationships/header" Target="header98.xml" /><Relationship Id="rId204" Type="http://schemas.openxmlformats.org/officeDocument/2006/relationships/footer" Target="footer99.xml" /><Relationship Id="rId205" Type="http://schemas.openxmlformats.org/officeDocument/2006/relationships/header" Target="header99.xml" /><Relationship Id="rId206" Type="http://schemas.openxmlformats.org/officeDocument/2006/relationships/header" Target="header100.xml" /><Relationship Id="rId207" Type="http://schemas.openxmlformats.org/officeDocument/2006/relationships/footer" Target="footer100.xml" /><Relationship Id="rId208" Type="http://schemas.openxmlformats.org/officeDocument/2006/relationships/footer" Target="footer101.xml" /><Relationship Id="rId209" Type="http://schemas.openxmlformats.org/officeDocument/2006/relationships/header" Target="header101.xml" /><Relationship Id="rId21" Type="http://schemas.openxmlformats.org/officeDocument/2006/relationships/footer" Target="footer9.xml" /><Relationship Id="rId210" Type="http://schemas.openxmlformats.org/officeDocument/2006/relationships/footer" Target="footer102.xml" /><Relationship Id="rId211" Type="http://schemas.openxmlformats.org/officeDocument/2006/relationships/header" Target="header102.xml" /><Relationship Id="rId212" Type="http://schemas.openxmlformats.org/officeDocument/2006/relationships/header" Target="header103.xml" /><Relationship Id="rId213" Type="http://schemas.openxmlformats.org/officeDocument/2006/relationships/footer" Target="footer103.xml" /><Relationship Id="rId214" Type="http://schemas.openxmlformats.org/officeDocument/2006/relationships/footer" Target="footer104.xml" /><Relationship Id="rId215" Type="http://schemas.openxmlformats.org/officeDocument/2006/relationships/header" Target="header104.xml" /><Relationship Id="rId216" Type="http://schemas.openxmlformats.org/officeDocument/2006/relationships/footer" Target="footer105.xml" /><Relationship Id="rId217" Type="http://schemas.openxmlformats.org/officeDocument/2006/relationships/header" Target="header105.xml" /><Relationship Id="rId218" Type="http://schemas.openxmlformats.org/officeDocument/2006/relationships/header" Target="header106.xml" /><Relationship Id="rId219" Type="http://schemas.openxmlformats.org/officeDocument/2006/relationships/footer" Target="footer106.xml" /><Relationship Id="rId22" Type="http://schemas.openxmlformats.org/officeDocument/2006/relationships/header" Target="header9.xml" /><Relationship Id="rId220" Type="http://schemas.openxmlformats.org/officeDocument/2006/relationships/footer" Target="footer107.xml" /><Relationship Id="rId221" Type="http://schemas.openxmlformats.org/officeDocument/2006/relationships/header" Target="header107.xml" /><Relationship Id="rId222" Type="http://schemas.openxmlformats.org/officeDocument/2006/relationships/footer" Target="footer108.xml" /><Relationship Id="rId223" Type="http://schemas.openxmlformats.org/officeDocument/2006/relationships/header" Target="header108.xml" /><Relationship Id="rId224" Type="http://schemas.openxmlformats.org/officeDocument/2006/relationships/header" Target="header109.xml" /><Relationship Id="rId225" Type="http://schemas.openxmlformats.org/officeDocument/2006/relationships/footer" Target="footer109.xml" /><Relationship Id="rId226" Type="http://schemas.openxmlformats.org/officeDocument/2006/relationships/footer" Target="footer110.xml" /><Relationship Id="rId227" Type="http://schemas.openxmlformats.org/officeDocument/2006/relationships/header" Target="header110.xml" /><Relationship Id="rId228" Type="http://schemas.openxmlformats.org/officeDocument/2006/relationships/footer" Target="footer111.xml" /><Relationship Id="rId229" Type="http://schemas.openxmlformats.org/officeDocument/2006/relationships/header" Target="header111.xml" /><Relationship Id="rId23" Type="http://schemas.openxmlformats.org/officeDocument/2006/relationships/header" Target="header10.xml" /><Relationship Id="rId230" Type="http://schemas.openxmlformats.org/officeDocument/2006/relationships/header" Target="header112.xml" /><Relationship Id="rId231" Type="http://schemas.openxmlformats.org/officeDocument/2006/relationships/footer" Target="footer112.xml" /><Relationship Id="rId232" Type="http://schemas.openxmlformats.org/officeDocument/2006/relationships/footer" Target="footer113.xml" /><Relationship Id="rId233" Type="http://schemas.openxmlformats.org/officeDocument/2006/relationships/header" Target="header113.xml" /><Relationship Id="rId234" Type="http://schemas.openxmlformats.org/officeDocument/2006/relationships/footer" Target="footer114.xml" /><Relationship Id="rId235" Type="http://schemas.openxmlformats.org/officeDocument/2006/relationships/header" Target="header114.xml" /><Relationship Id="rId236" Type="http://schemas.openxmlformats.org/officeDocument/2006/relationships/header" Target="header115.xml" /><Relationship Id="rId237" Type="http://schemas.openxmlformats.org/officeDocument/2006/relationships/footer" Target="footer115.xml" /><Relationship Id="rId238" Type="http://schemas.openxmlformats.org/officeDocument/2006/relationships/footer" Target="footer116.xml" /><Relationship Id="rId239" Type="http://schemas.openxmlformats.org/officeDocument/2006/relationships/header" Target="header116.xml" /><Relationship Id="rId24" Type="http://schemas.openxmlformats.org/officeDocument/2006/relationships/footer" Target="footer10.xml" /><Relationship Id="rId240" Type="http://schemas.openxmlformats.org/officeDocument/2006/relationships/footer" Target="footer117.xml" /><Relationship Id="rId241" Type="http://schemas.openxmlformats.org/officeDocument/2006/relationships/hyperlink" Target="https://d.book118.com/816021133124010053" TargetMode="External" /><Relationship Id="rId242" Type="http://schemas.openxmlformats.org/officeDocument/2006/relationships/header" Target="header117.xml" /><Relationship Id="rId243" Type="http://schemas.openxmlformats.org/officeDocument/2006/relationships/header" Target="header118.xml" /><Relationship Id="rId244" Type="http://schemas.openxmlformats.org/officeDocument/2006/relationships/footer" Target="footer118.xml" /><Relationship Id="rId245" Type="http://schemas.openxmlformats.org/officeDocument/2006/relationships/footer" Target="footer119.xml" /><Relationship Id="rId246" Type="http://schemas.openxmlformats.org/officeDocument/2006/relationships/header" Target="header119.xml" /><Relationship Id="rId247" Type="http://schemas.openxmlformats.org/officeDocument/2006/relationships/footer" Target="footer120.xml" /><Relationship Id="rId248" Type="http://schemas.openxmlformats.org/officeDocument/2006/relationships/theme" Target="theme/theme1.xml" /><Relationship Id="rId249"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1.xml" /><Relationship Id="rId27" Type="http://schemas.openxmlformats.org/officeDocument/2006/relationships/footer" Target="footer12.xml" /><Relationship Id="rId28" Type="http://schemas.openxmlformats.org/officeDocument/2006/relationships/header" Target="head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4.xml" /><Relationship Id="rId33" Type="http://schemas.openxmlformats.org/officeDocument/2006/relationships/footer" Target="footer15.xml" /><Relationship Id="rId34" Type="http://schemas.openxmlformats.org/officeDocument/2006/relationships/header" Target="head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7.xml" /><Relationship Id="rId39" Type="http://schemas.openxmlformats.org/officeDocument/2006/relationships/footer" Target="footer18.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0.xml" /><Relationship Id="rId45" Type="http://schemas.openxmlformats.org/officeDocument/2006/relationships/footer" Target="footer21.xml" /><Relationship Id="rId46" Type="http://schemas.openxmlformats.org/officeDocument/2006/relationships/header" Target="head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4.xml" /><Relationship Id="rId52" Type="http://schemas.openxmlformats.org/officeDocument/2006/relationships/header" Target="head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6.xml" /><Relationship Id="rId57" Type="http://schemas.openxmlformats.org/officeDocument/2006/relationships/footer" Target="footer27.xml" /><Relationship Id="rId58" Type="http://schemas.openxmlformats.org/officeDocument/2006/relationships/header" Target="head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29.xml" /><Relationship Id="rId63" Type="http://schemas.openxmlformats.org/officeDocument/2006/relationships/footer" Target="footer30.xml" /><Relationship Id="rId64" Type="http://schemas.openxmlformats.org/officeDocument/2006/relationships/header" Target="header30.xm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2.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3.xm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5.xml" /><Relationship Id="rId75" Type="http://schemas.openxmlformats.org/officeDocument/2006/relationships/footer" Target="footer36.xml" /><Relationship Id="rId76" Type="http://schemas.openxmlformats.org/officeDocument/2006/relationships/header" Target="header36.xm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2.xml" /><Relationship Id="rId80" Type="http://schemas.openxmlformats.org/officeDocument/2006/relationships/header" Target="header38.xml" /><Relationship Id="rId81" Type="http://schemas.openxmlformats.org/officeDocument/2006/relationships/footer" Target="footer39.xml" /><Relationship Id="rId82" Type="http://schemas.openxmlformats.org/officeDocument/2006/relationships/header" Target="header39.xm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1.xml" /><Relationship Id="rId87" Type="http://schemas.openxmlformats.org/officeDocument/2006/relationships/footer" Target="footer42.xml" /><Relationship Id="rId88" Type="http://schemas.openxmlformats.org/officeDocument/2006/relationships/header" Target="header42.xm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4.xml" /><Relationship Id="rId93" Type="http://schemas.openxmlformats.org/officeDocument/2006/relationships/footer" Target="footer45.xml" /><Relationship Id="rId94" Type="http://schemas.openxmlformats.org/officeDocument/2006/relationships/header" Target="header45.xml" /><Relationship Id="rId95" Type="http://schemas.openxmlformats.org/officeDocument/2006/relationships/header" Target="header46.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7.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59"/>
    <customShpInfo spid="_x0000_s1075"/>
    <customShpInfo spid="_x0000_s1040"/>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47</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94D90E92D01445ED87E0FD9E737FD30A_12</vt:lpwstr>
  </property>
  <property fmtid="{D5CDD505-2E9C-101B-9397-08002B2CF9AE}" pid="3" name="KSOProductBuildVer">
    <vt:lpwstr>2052-12.1.0.16388</vt:lpwstr>
  </property>
</Properties>
</file>