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500" w:lineRule="exact"/>
        <w:ind w:left="420" w:right="1050" w:firstLine="160" w:leftChars="200" w:rightChars="500" w:firstLineChars="50"/>
        <w:jc w:val="center"/>
        <w:rPr>
          <w:rFonts w:ascii="幼圆" w:eastAsia="幼圆" w:hAnsi="幼圆" w:cs="幼圆" w:hint="eastAsia"/>
          <w:b/>
          <w:sz w:val="32"/>
          <w:szCs w:val="32"/>
          <w:u w:val="single"/>
        </w:rPr>
      </w:pPr>
      <w:bookmarkStart w:id="0" w:name="_Hlk34854120"/>
      <w:bookmarkEnd w:id="0"/>
      <w:bookmarkStart w:id="1" w:name="_GoBack"/>
      <w:r>
        <w:rPr>
          <w:rFonts w:ascii="幼圆" w:eastAsia="幼圆" w:hAnsi="幼圆" w:cs="幼圆" w:hint="eastAsia"/>
          <w:b/>
          <w:sz w:val="32"/>
          <w:szCs w:val="32"/>
          <w:u w:val="single"/>
        </w:rPr>
        <w:t>上海高星级酒店新媒体营销策略分析</w:t>
      </w:r>
    </w:p>
    <w:bookmarkEnd w:id="1"/>
    <w:sdt>
      <w:sdtPr>
        <w:rPr>
          <w:rFonts w:ascii="幼圆" w:eastAsia="幼圆" w:hAnsi="幼圆" w:cs="幼圆" w:hint="eastAsia"/>
          <w:color w:val="auto"/>
          <w:kern w:val="2"/>
          <w:sz w:val="21"/>
          <w:szCs w:val="22"/>
          <w:lang w:val="zh-CN"/>
        </w:rPr>
        <w:id w:val="1550730237"/>
        <w:docPartObj>
          <w:docPartGallery w:val="Table of Contents"/>
          <w:docPartUnique/>
        </w:docPartObj>
      </w:sdtPr>
      <w:sdtEndPr>
        <w:rPr>
          <w:rFonts w:ascii="幼圆" w:eastAsia="幼圆" w:hAnsi="幼圆" w:cs="幼圆" w:hint="eastAsia"/>
          <w:b/>
          <w:bCs/>
          <w:color w:val="auto"/>
          <w:kern w:val="2"/>
          <w:sz w:val="21"/>
          <w:szCs w:val="22"/>
          <w:lang w:val="zh-CN"/>
        </w:rPr>
      </w:sdtEndPr>
      <w:sdtContent>
        <w:p>
          <w:pPr>
            <w:pStyle w:val="TOC10"/>
            <w:tabs>
              <w:tab w:val="center" w:pos="4153"/>
            </w:tabs>
            <w:jc w:val="center"/>
            <w:rPr>
              <w:rFonts w:ascii="幼圆" w:eastAsia="幼圆" w:hAnsi="幼圆" w:cs="幼圆" w:hint="eastAsia"/>
              <w:color w:val="000000" w:themeColor="text1"/>
              <w:lang w:val="zh-CN"/>
              <w14:textFill>
                <w14:solidFill>
                  <w14:schemeClr w14:val="tx1"/>
                </w14:solidFill>
              </w14:textFill>
            </w:rPr>
          </w:pPr>
          <w:bookmarkStart w:id="2" w:name="_Toc68007540"/>
          <w:r>
            <w:rPr>
              <w:rFonts w:ascii="幼圆" w:eastAsia="幼圆" w:hAnsi="幼圆" w:cs="幼圆" w:hint="eastAsia"/>
              <w:color w:val="000000" w:themeColor="text1"/>
              <w:lang w:val="zh-CN"/>
              <w14:textFill>
                <w14:solidFill>
                  <w14:schemeClr w14:val="tx1"/>
                </w14:solidFill>
              </w14:textFill>
            </w:rPr>
            <w:t>目</w:t>
          </w:r>
          <w:r>
            <w:rPr>
              <w:rFonts w:ascii="幼圆" w:eastAsia="幼圆" w:hAnsi="幼圆" w:cs="幼圆" w:hint="eastAsia"/>
              <w:color w:val="000000" w:themeColor="text1"/>
              <w:lang w:val="zh-CN"/>
              <w14:textFill>
                <w14:solidFill>
                  <w14:schemeClr w14:val="tx1"/>
                </w14:solidFill>
              </w14:textFill>
            </w:rPr>
            <w:t xml:space="preserve"> </w:t>
          </w:r>
          <w:r>
            <w:rPr>
              <w:rFonts w:ascii="幼圆" w:eastAsia="幼圆" w:hAnsi="幼圆" w:cs="幼圆" w:hint="eastAsia"/>
              <w:color w:val="000000" w:themeColor="text1"/>
              <w:lang w:val="zh-CN"/>
              <w14:textFill>
                <w14:solidFill>
                  <w14:schemeClr w14:val="tx1"/>
                </w14:solidFill>
              </w14:textFill>
            </w:rPr>
            <w:t>录</w:t>
          </w:r>
        </w:p>
        <w:p>
          <w:pPr>
            <w:rPr>
              <w:rFonts w:ascii="幼圆" w:eastAsia="幼圆" w:hAnsi="幼圆" w:cs="幼圆" w:hint="eastAsia"/>
              <w:lang w:val="zh-CN"/>
            </w:rPr>
          </w:pPr>
        </w:p>
        <w:p>
          <w:pPr>
            <w:pStyle w:val="TOC1"/>
            <w:tabs>
              <w:tab w:val="right" w:leader="dot" w:pos="8296"/>
            </w:tabs>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hyperlink w:anchor="_Toc71618113" w:history="1">
            <w:r>
              <w:rPr>
                <w:rStyle w:val="Hyperlink"/>
                <w:rFonts w:ascii="幼圆" w:eastAsia="幼圆" w:hAnsi="幼圆" w:cs="幼圆" w:hint="eastAsia"/>
              </w:rPr>
              <w:t>摘 要</w:t>
            </w:r>
            <w:r>
              <w:rPr>
                <w:rFonts w:ascii="幼圆" w:eastAsia="幼圆" w:hAnsi="幼圆" w:cs="幼圆" w:hint="eastAsia"/>
              </w:rPr>
              <w:tab/>
            </w:r>
            <w:r>
              <w:rPr>
                <w:rFonts w:ascii="幼圆" w:eastAsia="幼圆" w:hAnsi="幼圆" w:cs="幼圆" w:hint="eastAsia"/>
              </w:rPr>
              <w:t>Ⅰ</w:t>
            </w:r>
          </w:hyperlink>
        </w:p>
        <w:p>
          <w:pPr>
            <w:pStyle w:val="TOC1"/>
            <w:tabs>
              <w:tab w:val="right" w:leader="dot" w:pos="8296"/>
            </w:tabs>
            <w:rPr>
              <w:rFonts w:ascii="幼圆" w:eastAsia="幼圆" w:hAnsi="幼圆" w:cs="幼圆" w:hint="eastAsia"/>
            </w:rPr>
          </w:pPr>
          <w:hyperlink w:anchor="_Toc71618114" w:history="1">
            <w:r>
              <w:rPr>
                <w:rStyle w:val="Hyperlink"/>
                <w:rFonts w:ascii="幼圆" w:eastAsia="幼圆" w:hAnsi="幼圆" w:cs="幼圆" w:hint="eastAsia"/>
              </w:rPr>
              <w:t>ABSTRACT</w:t>
            </w:r>
            <w:r>
              <w:rPr>
                <w:rFonts w:ascii="幼圆" w:eastAsia="幼圆" w:hAnsi="幼圆" w:cs="幼圆" w:hint="eastAsia"/>
              </w:rPr>
              <w:tab/>
            </w:r>
            <w:r>
              <w:rPr>
                <w:rFonts w:ascii="幼圆" w:eastAsia="幼圆" w:hAnsi="幼圆" w:cs="幼圆" w:hint="eastAsia"/>
              </w:rPr>
              <w:t>Ⅱ</w:t>
            </w:r>
          </w:hyperlink>
        </w:p>
        <w:p>
          <w:pPr>
            <w:pStyle w:val="TOC1"/>
            <w:tabs>
              <w:tab w:val="right" w:leader="dot" w:pos="8296"/>
            </w:tabs>
            <w:rPr>
              <w:rFonts w:ascii="幼圆" w:eastAsia="幼圆" w:hAnsi="幼圆" w:cs="幼圆" w:hint="eastAsia"/>
            </w:rPr>
          </w:pPr>
          <w:hyperlink w:anchor="_Toc71618115" w:history="1">
            <w:r>
              <w:rPr>
                <w:rStyle w:val="Hyperlink"/>
                <w:rFonts w:ascii="幼圆" w:eastAsia="幼圆" w:hAnsi="幼圆" w:cs="幼圆" w:hint="eastAsia"/>
              </w:rPr>
              <w:t>第一章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_Toc71618115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16" w:history="1">
            <w:r>
              <w:rPr>
                <w:rStyle w:val="Hyperlink"/>
                <w:rFonts w:ascii="幼圆" w:eastAsia="幼圆" w:hAnsi="幼圆" w:cs="幼圆" w:hint="eastAsia"/>
              </w:rPr>
              <w:t>1.1</w:t>
            </w:r>
            <w:r>
              <w:rPr>
                <w:rFonts w:ascii="幼圆" w:eastAsia="幼圆" w:hAnsi="幼圆" w:cs="幼圆" w:hint="eastAsia"/>
              </w:rPr>
              <w:tab/>
            </w:r>
            <w:r>
              <w:rPr>
                <w:rStyle w:val="Hyperlink"/>
                <w:rFonts w:ascii="幼圆" w:eastAsia="幼圆" w:hAnsi="幼圆" w:cs="幼圆" w:hint="eastAsia"/>
              </w:rPr>
              <w:t>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_Toc71618116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17" w:history="1">
            <w:r>
              <w:rPr>
                <w:rStyle w:val="Hyperlink"/>
                <w:rFonts w:ascii="幼圆" w:eastAsia="幼圆" w:hAnsi="幼圆" w:cs="幼圆" w:hint="eastAsia"/>
              </w:rPr>
              <w:t>1.1.1 移动互联网时代的发展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_Toc71618117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18" w:history="1">
            <w:r>
              <w:rPr>
                <w:rStyle w:val="Hyperlink"/>
                <w:rFonts w:ascii="幼圆" w:eastAsia="幼圆" w:hAnsi="幼圆" w:cs="幼圆" w:hint="eastAsia"/>
              </w:rPr>
              <w:t>1.1.2 新媒体营销的发展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_Toc71618118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19" w:history="1">
            <w:r>
              <w:rPr>
                <w:rStyle w:val="Hyperlink"/>
                <w:rFonts w:ascii="幼圆" w:eastAsia="幼圆" w:hAnsi="幼圆" w:cs="幼圆" w:hint="eastAsia"/>
              </w:rPr>
              <w:t>1.2研究目的与意义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_Toc71618119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0" w:history="1">
            <w:r>
              <w:rPr>
                <w:rStyle w:val="Hyperlink"/>
                <w:rFonts w:ascii="幼圆" w:eastAsia="幼圆" w:hAnsi="幼圆" w:cs="幼圆" w:hint="eastAsia"/>
              </w:rPr>
              <w:t>1.2.1 研究目的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_Toc71618120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1" w:history="1">
            <w:r>
              <w:rPr>
                <w:rStyle w:val="Hyperlink"/>
                <w:rFonts w:ascii="幼圆" w:eastAsia="幼圆" w:hAnsi="幼圆" w:cs="幼圆" w:hint="eastAsia"/>
              </w:rPr>
              <w:t>1.2.2 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_Toc71618121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22" w:history="1">
            <w:r>
              <w:rPr>
                <w:rStyle w:val="Hyperlink"/>
                <w:rFonts w:ascii="幼圆" w:eastAsia="幼圆" w:hAnsi="幼圆" w:cs="幼圆" w:hint="eastAsia"/>
              </w:rPr>
              <w:t>1.3 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_Toc71618122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3" w:history="1">
            <w:r>
              <w:rPr>
                <w:rStyle w:val="Hyperlink"/>
                <w:rFonts w:ascii="幼圆" w:eastAsia="幼圆" w:hAnsi="幼圆" w:cs="幼圆" w:hint="eastAsia"/>
              </w:rPr>
              <w:t>1.3.1 文献分析法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_Toc71618123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4" w:history="1">
            <w:r>
              <w:rPr>
                <w:rStyle w:val="Hyperlink"/>
                <w:rFonts w:ascii="幼圆" w:eastAsia="幼圆" w:hAnsi="幼圆" w:cs="幼圆" w:hint="eastAsia"/>
              </w:rPr>
              <w:t>1.3.2 问卷调查法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_Toc71618124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25" w:history="1">
            <w:r>
              <w:rPr>
                <w:rStyle w:val="Hyperlink"/>
                <w:rFonts w:ascii="幼圆" w:eastAsia="幼圆" w:hAnsi="幼圆" w:cs="幼圆" w:hint="eastAsia"/>
              </w:rPr>
              <w:t>第二章 相关概念与文献综述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_Toc71618125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26" w:history="1">
            <w:r>
              <w:rPr>
                <w:rStyle w:val="Hyperlink"/>
                <w:rFonts w:ascii="幼圆" w:eastAsia="幼圆" w:hAnsi="幼圆" w:cs="幼圆" w:hint="eastAsia"/>
              </w:rPr>
              <w:t>2.1 相关概念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_Toc71618126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7" w:history="1">
            <w:r>
              <w:rPr>
                <w:rStyle w:val="Hyperlink"/>
                <w:rFonts w:ascii="幼圆" w:eastAsia="幼圆" w:hAnsi="幼圆" w:cs="幼圆" w:hint="eastAsia"/>
              </w:rPr>
              <w:t>2.1.1 高星级酒店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_Toc71618127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8" w:history="1">
            <w:r>
              <w:rPr>
                <w:rStyle w:val="Hyperlink"/>
                <w:rFonts w:ascii="幼圆" w:eastAsia="幼圆" w:hAnsi="幼圆" w:cs="幼圆" w:hint="eastAsia"/>
              </w:rPr>
              <w:t>2.1.2 新媒体营销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_Toc71618128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29" w:history="1">
            <w:r>
              <w:rPr>
                <w:rStyle w:val="Hyperlink"/>
                <w:rFonts w:ascii="幼圆" w:eastAsia="幼圆" w:hAnsi="幼圆" w:cs="幼圆" w:hint="eastAsia"/>
              </w:rPr>
              <w:t>2.1.3 传统营销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_Toc71618129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30" w:history="1">
            <w:r>
              <w:rPr>
                <w:rStyle w:val="Hyperlink"/>
                <w:rFonts w:ascii="幼圆" w:eastAsia="幼圆" w:hAnsi="幼圆" w:cs="幼圆" w:hint="eastAsia"/>
              </w:rPr>
              <w:t>2.2 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_Toc71618130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31" w:history="1">
            <w:r>
              <w:rPr>
                <w:rStyle w:val="Hyperlink"/>
                <w:rFonts w:ascii="幼圆" w:eastAsia="幼圆" w:hAnsi="幼圆" w:cs="幼圆" w:hint="eastAsia"/>
              </w:rPr>
              <w:t>2.2.1 国外相关文献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_Toc71618131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32" w:history="1">
            <w:r>
              <w:rPr>
                <w:rStyle w:val="Hyperlink"/>
                <w:rFonts w:ascii="幼圆" w:eastAsia="幼圆" w:hAnsi="幼圆" w:cs="幼圆" w:hint="eastAsia"/>
              </w:rPr>
              <w:t>2.2.2 国内相关文献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_Toc71618132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33" w:history="1">
            <w:r>
              <w:rPr>
                <w:rStyle w:val="Hyperlink"/>
                <w:rFonts w:ascii="幼圆" w:eastAsia="幼圆" w:hAnsi="幼圆" w:cs="幼圆" w:hint="eastAsia"/>
              </w:rPr>
              <w:t>第三章 上海高星级酒店的营销现状分析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_Toc71618133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34" w:history="1">
            <w:r>
              <w:rPr>
                <w:rStyle w:val="Hyperlink"/>
                <w:rFonts w:ascii="幼圆" w:eastAsia="幼圆" w:hAnsi="幼圆" w:cs="幼圆" w:hint="eastAsia"/>
              </w:rPr>
              <w:t>3.1</w:t>
            </w:r>
            <w:r>
              <w:rPr>
                <w:rFonts w:ascii="幼圆" w:eastAsia="幼圆" w:hAnsi="幼圆" w:cs="幼圆" w:hint="eastAsia"/>
              </w:rPr>
              <w:tab/>
            </w:r>
            <w:r>
              <w:rPr>
                <w:rStyle w:val="Hyperlink"/>
                <w:rFonts w:ascii="幼圆" w:eastAsia="幼圆" w:hAnsi="幼圆" w:cs="幼圆" w:hint="eastAsia"/>
              </w:rPr>
              <w:t>研究对象的选择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_Toc71618134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35" w:history="1">
            <w:r>
              <w:rPr>
                <w:rStyle w:val="Hyperlink"/>
                <w:rFonts w:ascii="幼圆" w:eastAsia="幼圆" w:hAnsi="幼圆" w:cs="幼圆" w:hint="eastAsia"/>
              </w:rPr>
              <w:t>3.2</w:t>
            </w:r>
            <w:r>
              <w:rPr>
                <w:rFonts w:ascii="幼圆" w:eastAsia="幼圆" w:hAnsi="幼圆" w:cs="幼圆" w:hint="eastAsia"/>
              </w:rPr>
              <w:tab/>
            </w:r>
            <w:r>
              <w:rPr>
                <w:rStyle w:val="Hyperlink"/>
                <w:rFonts w:ascii="幼圆" w:eastAsia="幼圆" w:hAnsi="幼圆" w:cs="幼圆" w:hint="eastAsia"/>
              </w:rPr>
              <w:t>上海高星级酒店“线上+线下”营销渠道结合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_Toc71618135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36" w:history="1">
            <w:r>
              <w:rPr>
                <w:rStyle w:val="Hyperlink"/>
                <w:rFonts w:ascii="幼圆" w:eastAsia="幼圆" w:hAnsi="幼圆" w:cs="幼圆" w:hint="eastAsia"/>
              </w:rPr>
              <w:t>3.3</w:t>
            </w:r>
            <w:r>
              <w:rPr>
                <w:rFonts w:ascii="幼圆" w:eastAsia="幼圆" w:hAnsi="幼圆" w:cs="幼圆" w:hint="eastAsia"/>
              </w:rPr>
              <w:tab/>
            </w:r>
            <w:r>
              <w:rPr>
                <w:rStyle w:val="Hyperlink"/>
                <w:rFonts w:ascii="幼圆" w:eastAsia="幼圆" w:hAnsi="幼圆" w:cs="幼圆" w:hint="eastAsia"/>
              </w:rPr>
              <w:t>上海高星级酒店线上营销渠道多样化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_Toc71618136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37" w:history="1">
            <w:r>
              <w:rPr>
                <w:rStyle w:val="Hyperlink"/>
                <w:rFonts w:ascii="幼圆" w:eastAsia="幼圆" w:hAnsi="幼圆" w:cs="幼圆" w:hint="eastAsia"/>
              </w:rPr>
              <w:t>3.3.1 微信渠道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_Toc71618137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38" w:history="1">
            <w:r>
              <w:rPr>
                <w:rStyle w:val="Hyperlink"/>
                <w:rFonts w:ascii="幼圆" w:eastAsia="幼圆" w:hAnsi="幼圆" w:cs="幼圆" w:hint="eastAsia"/>
              </w:rPr>
              <w:t>3.3.2 微博渠道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_Toc71618138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296"/>
            </w:tabs>
            <w:rPr>
              <w:rFonts w:ascii="幼圆" w:eastAsia="幼圆" w:hAnsi="幼圆" w:cs="幼圆" w:hint="eastAsia"/>
            </w:rPr>
          </w:pPr>
          <w:hyperlink w:anchor="_Toc71618139" w:history="1">
            <w:r>
              <w:rPr>
                <w:rStyle w:val="Hyperlink"/>
                <w:rFonts w:ascii="幼圆" w:eastAsia="幼圆" w:hAnsi="幼圆" w:cs="幼圆" w:hint="eastAsia"/>
              </w:rPr>
              <w:t>3.3.3 互联网营销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_Toc71618139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40" w:history="1">
            <w:r>
              <w:rPr>
                <w:rStyle w:val="Hyperlink"/>
                <w:rFonts w:ascii="幼圆" w:eastAsia="幼圆" w:hAnsi="幼圆" w:cs="幼圆" w:hint="eastAsia"/>
              </w:rPr>
              <w:t>第四章 研究设计与基础数据分析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_Toc71618140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41" w:history="1">
            <w:r>
              <w:rPr>
                <w:rStyle w:val="Hyperlink"/>
                <w:rFonts w:ascii="幼圆" w:eastAsia="幼圆" w:hAnsi="幼圆" w:cs="幼圆" w:hint="eastAsia"/>
              </w:rPr>
              <w:t>4.1</w:t>
            </w:r>
            <w:r>
              <w:rPr>
                <w:rFonts w:ascii="幼圆" w:eastAsia="幼圆" w:hAnsi="幼圆" w:cs="幼圆" w:hint="eastAsia"/>
              </w:rPr>
              <w:tab/>
            </w:r>
            <w:r>
              <w:rPr>
                <w:rStyle w:val="Hyperlink"/>
                <w:rFonts w:ascii="幼圆" w:eastAsia="幼圆" w:hAnsi="幼圆" w:cs="幼圆" w:hint="eastAsia"/>
              </w:rPr>
              <w:t>调查问卷的设计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_Toc71618141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42" w:history="1">
            <w:r>
              <w:rPr>
                <w:rStyle w:val="Hyperlink"/>
                <w:rFonts w:ascii="幼圆" w:eastAsia="幼圆" w:hAnsi="幼圆" w:cs="幼圆" w:hint="eastAsia"/>
              </w:rPr>
              <w:t>4.2</w:t>
            </w:r>
            <w:r>
              <w:rPr>
                <w:rFonts w:ascii="幼圆" w:eastAsia="幼圆" w:hAnsi="幼圆" w:cs="幼圆" w:hint="eastAsia"/>
              </w:rPr>
              <w:tab/>
            </w:r>
            <w:r>
              <w:rPr>
                <w:rStyle w:val="Hyperlink"/>
                <w:rFonts w:ascii="幼圆" w:eastAsia="幼圆" w:hAnsi="幼圆" w:cs="幼圆" w:hint="eastAsia"/>
              </w:rPr>
              <w:t>调查问卷的发放及回收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_Toc71618142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left" w:pos="1050"/>
              <w:tab w:val="right" w:leader="dot" w:pos="8296"/>
            </w:tabs>
            <w:rPr>
              <w:rFonts w:ascii="幼圆" w:eastAsia="幼圆" w:hAnsi="幼圆" w:cs="幼圆" w:hint="eastAsia"/>
            </w:rPr>
          </w:pPr>
          <w:hyperlink w:anchor="_Toc71618143" w:history="1">
            <w:r>
              <w:rPr>
                <w:rStyle w:val="Hyperlink"/>
                <w:rFonts w:ascii="幼圆" w:eastAsia="幼圆" w:hAnsi="幼圆" w:cs="幼圆" w:hint="eastAsia"/>
              </w:rPr>
              <w:t>4.3</w:t>
            </w:r>
            <w:r>
              <w:rPr>
                <w:rFonts w:ascii="幼圆" w:eastAsia="幼圆" w:hAnsi="幼圆" w:cs="幼圆" w:hint="eastAsia"/>
              </w:rPr>
              <w:tab/>
            </w:r>
            <w:r>
              <w:rPr>
                <w:rStyle w:val="Hyperlink"/>
                <w:rFonts w:ascii="幼圆" w:eastAsia="幼圆" w:hAnsi="幼圆" w:cs="幼圆" w:hint="eastAsia"/>
              </w:rPr>
              <w:t>人口统计学分析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_Toc71618143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44" w:history="1">
            <w:r>
              <w:rPr>
                <w:rStyle w:val="Hyperlink"/>
                <w:rFonts w:ascii="幼圆" w:eastAsia="幼圆" w:hAnsi="幼圆" w:cs="幼圆" w:hint="eastAsia"/>
              </w:rPr>
              <w:t>4.4 消费者预订渠道分析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_Toc71618144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45" w:history="1">
            <w:r>
              <w:rPr>
                <w:rStyle w:val="Hyperlink"/>
                <w:rFonts w:ascii="幼圆" w:eastAsia="幼圆" w:hAnsi="幼圆" w:cs="幼圆" w:hint="eastAsia"/>
              </w:rPr>
              <w:t>第五章 消费者对上海高星级酒店新媒体营销的认知分析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_Toc71618145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46" w:history="1">
            <w:r>
              <w:rPr>
                <w:rStyle w:val="Hyperlink"/>
                <w:rFonts w:ascii="幼圆" w:eastAsia="幼圆" w:hAnsi="幼圆" w:cs="幼圆" w:hint="eastAsia"/>
              </w:rPr>
              <w:t>5.1 问卷调查数据分析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_Toc71618146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47" w:history="1">
            <w:r>
              <w:rPr>
                <w:rStyle w:val="Hyperlink"/>
                <w:rFonts w:ascii="幼圆" w:eastAsia="幼圆" w:hAnsi="幼圆" w:cs="幼圆" w:hint="eastAsia"/>
              </w:rPr>
              <w:t>5.2 分析小结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_Toc71618147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48" w:history="1">
            <w:r>
              <w:rPr>
                <w:rStyle w:val="Hyperlink"/>
                <w:rFonts w:ascii="幼圆" w:eastAsia="幼圆" w:hAnsi="幼圆" w:cs="幼圆" w:hint="eastAsia"/>
              </w:rPr>
              <w:t>第六章 对策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_Toc71618148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49" w:history="1">
            <w:r>
              <w:rPr>
                <w:rStyle w:val="Hyperlink"/>
                <w:rFonts w:ascii="幼圆" w:eastAsia="幼圆" w:hAnsi="幼圆" w:cs="幼圆" w:hint="eastAsia"/>
              </w:rPr>
              <w:t>6.1 扩大线上营销渠道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_Toc71618149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50" w:history="1">
            <w:r>
              <w:rPr>
                <w:rStyle w:val="Hyperlink"/>
                <w:rFonts w:ascii="幼圆" w:eastAsia="幼圆" w:hAnsi="幼圆" w:cs="幼圆" w:hint="eastAsia"/>
              </w:rPr>
              <w:t>6.2 确保内容完全真实</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_Toc71618150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sectPr>
              <w:headerReference w:type="default" r:id="rId7"/>
              <w:footerReference w:type="default" r:id="rId8"/>
              <w:footnotePr>
                <w:numFmt w:val="decimalEnclosedCircleChinese"/>
              </w:footnotePr>
              <w:pgSz w:w="11906" w:h="16838"/>
              <w:pgMar w:top="1440" w:right="1800" w:bottom="1440" w:left="1800" w:header="720" w:footer="720" w:gutter="0"/>
              <w:pgNumType w:start="1"/>
              <w:cols w:num="1" w:space="425"/>
              <w:docGrid w:type="lines" w:linePitch="312" w:charSpace="0"/>
            </w:sectPr>
          </w:pPr>
          <w:hyperlink w:anchor="_Toc71618151" w:history="1">
            <w:r>
              <w:rPr>
                <w:rStyle w:val="Hyperlink"/>
                <w:rFonts w:ascii="幼圆" w:eastAsia="幼圆" w:hAnsi="幼圆" w:cs="幼圆" w:hint="eastAsia"/>
              </w:rPr>
              <w:t>6.3 扩大新媒体平台的了解基数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_Toc71618151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sdtContent>
    </w:sdt>
    <w:sdt>
      <w:sdtPr>
        <w:rPr>
          <w:rFonts w:ascii="幼圆" w:eastAsia="幼圆" w:hAnsi="幼圆" w:cs="幼圆" w:hint="eastAsia"/>
          <w:color w:val="auto"/>
          <w:kern w:val="2"/>
          <w:sz w:val="21"/>
          <w:szCs w:val="22"/>
          <w:lang w:val="zh-CN"/>
        </w:rPr>
        <w:id w:val="1686863254"/>
        <w:docPartObj>
          <w:docPartGallery w:val="Table of Contents"/>
          <w:docPartUnique/>
        </w:docPartObj>
      </w:sdtPr>
      <w:sdtEndPr>
        <w:rPr>
          <w:rFonts w:ascii="幼圆" w:eastAsia="幼圆" w:hAnsi="幼圆" w:cs="幼圆" w:hint="eastAsia"/>
          <w:b/>
          <w:bCs/>
          <w:color w:val="auto"/>
          <w:kern w:val="2"/>
          <w:sz w:val="21"/>
          <w:szCs w:val="22"/>
          <w:lang w:val="zh-CN"/>
        </w:rPr>
      </w:sdtEndPr>
      <w:sdtContent>
        <w:p>
          <w:pPr>
            <w:pStyle w:val="TOC2"/>
            <w:tabs>
              <w:tab w:val="right" w:leader="dot" w:pos="8296"/>
            </w:tabs>
            <w:rPr>
              <w:rFonts w:ascii="幼圆" w:eastAsia="幼圆" w:hAnsi="幼圆" w:cs="幼圆" w:hint="eastAsia"/>
            </w:rPr>
          </w:pPr>
          <w:hyperlink w:anchor="_Toc71618152" w:history="1">
            <w:r>
              <w:rPr>
                <w:rStyle w:val="Hyperlink"/>
                <w:rFonts w:ascii="幼圆" w:eastAsia="幼圆" w:hAnsi="幼圆" w:cs="幼圆" w:hint="eastAsia"/>
              </w:rPr>
              <w:t>6.4 着重于微信营销和短视频app营销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_Toc71618152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53" w:history="1">
            <w:r>
              <w:rPr>
                <w:rStyle w:val="Hyperlink"/>
                <w:rFonts w:ascii="幼圆" w:eastAsia="幼圆" w:hAnsi="幼圆" w:cs="幼圆" w:hint="eastAsia"/>
              </w:rPr>
              <w:t>6.5 增加客户个性化体验以及优惠促销活动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_Toc71618153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54" w:history="1">
            <w:r>
              <w:rPr>
                <w:rStyle w:val="Hyperlink"/>
                <w:rFonts w:ascii="幼圆" w:eastAsia="幼圆" w:hAnsi="幼圆" w:cs="幼圆" w:hint="eastAsia"/>
              </w:rPr>
              <w:t>6.6 平台多发布酒店房间设施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_Toc71618154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55" w:history="1">
            <w:r>
              <w:rPr>
                <w:rStyle w:val="Hyperlink"/>
                <w:rFonts w:ascii="幼圆" w:eastAsia="幼圆" w:hAnsi="幼圆" w:cs="幼圆" w:hint="eastAsia"/>
              </w:rPr>
              <w:t>第七章 研究结论与展望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_Toc71618155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56" w:history="1">
            <w:r>
              <w:rPr>
                <w:rStyle w:val="Hyperlink"/>
                <w:rFonts w:ascii="幼圆" w:eastAsia="幼圆" w:hAnsi="幼圆" w:cs="幼圆" w:hint="eastAsia"/>
              </w:rPr>
              <w:t>7.1 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_Toc71618156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8296"/>
            </w:tabs>
            <w:rPr>
              <w:rFonts w:ascii="幼圆" w:eastAsia="幼圆" w:hAnsi="幼圆" w:cs="幼圆" w:hint="eastAsia"/>
            </w:rPr>
          </w:pPr>
          <w:hyperlink w:anchor="_Toc71618157" w:history="1">
            <w:r>
              <w:rPr>
                <w:rStyle w:val="Hyperlink"/>
                <w:rFonts w:ascii="幼圆" w:eastAsia="幼圆" w:hAnsi="幼圆" w:cs="幼圆" w:hint="eastAsia"/>
              </w:rPr>
              <w:t>7.2 研究展望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_Toc71618157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1"/>
            <w:tabs>
              <w:tab w:val="right" w:leader="dot" w:pos="8296"/>
            </w:tabs>
            <w:rPr>
              <w:rFonts w:ascii="幼圆" w:eastAsia="幼圆" w:hAnsi="幼圆" w:cs="幼圆" w:hint="eastAsia"/>
            </w:rPr>
          </w:pPr>
          <w:hyperlink w:anchor="_Toc71618158" w:history="1">
            <w:r>
              <w:rPr>
                <w:rStyle w:val="Hyperlink"/>
                <w:rFonts w:ascii="幼圆" w:eastAsia="幼圆" w:hAnsi="幼圆" w:cs="幼圆" w:hint="eastAsia"/>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_Toc71618158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rPr>
              <w:rFonts w:ascii="幼圆" w:eastAsia="幼圆" w:hAnsi="幼圆" w:cs="幼圆" w:hint="eastAsia"/>
              <w:b/>
              <w:bCs/>
              <w:lang w:val="zh-CN"/>
            </w:rPr>
          </w:pPr>
          <w:r>
            <w:rPr>
              <w:rFonts w:ascii="幼圆" w:eastAsia="幼圆" w:hAnsi="幼圆" w:cs="幼圆" w:hint="eastAsia"/>
              <w:b/>
              <w:bCs/>
              <w:lang w:val="zh-CN"/>
            </w:rPr>
            <w:fldChar w:fldCharType="end"/>
          </w:r>
        </w:p>
      </w:sdtContent>
    </w:sdt>
    <w:p>
      <w:pPr>
        <w:pStyle w:val="Heading1"/>
        <w:spacing w:line="360" w:lineRule="auto"/>
        <w:jc w:val="center"/>
        <w:rPr>
          <w:rFonts w:ascii="幼圆" w:eastAsia="幼圆" w:hAnsi="幼圆" w:cs="幼圆" w:hint="eastAsia"/>
          <w:b w:val="0"/>
          <w:bCs w:val="0"/>
          <w:sz w:val="32"/>
          <w:szCs w:val="32"/>
        </w:rPr>
      </w:pPr>
      <w:bookmarkStart w:id="3" w:name="_Toc70933133"/>
      <w:bookmarkStart w:id="4" w:name="_Toc71049163"/>
      <w:bookmarkStart w:id="5" w:name="_Toc71047974"/>
      <w:bookmarkStart w:id="6" w:name="_Toc70852529"/>
      <w:bookmarkStart w:id="7" w:name="_Toc71048781"/>
      <w:bookmarkStart w:id="8" w:name="_Toc71618113"/>
      <w:r>
        <w:rPr>
          <w:rFonts w:ascii="幼圆" w:eastAsia="幼圆" w:hAnsi="幼圆" w:cs="幼圆" w:hint="eastAsia"/>
          <w:b w:val="0"/>
          <w:bCs w:val="0"/>
          <w:sz w:val="32"/>
          <w:szCs w:val="32"/>
        </w:rPr>
        <w:t>摘</w:t>
      </w:r>
      <w:r>
        <w:rPr>
          <w:rFonts w:ascii="幼圆" w:eastAsia="幼圆" w:hAnsi="幼圆" w:cs="幼圆" w:hint="eastAsia"/>
          <w:b w:val="0"/>
          <w:bCs w:val="0"/>
          <w:sz w:val="32"/>
          <w:szCs w:val="32"/>
        </w:rPr>
        <w:t xml:space="preserve"> </w:t>
      </w:r>
      <w:r>
        <w:rPr>
          <w:rFonts w:ascii="幼圆" w:eastAsia="幼圆" w:hAnsi="幼圆" w:cs="幼圆" w:hint="eastAsia"/>
          <w:b w:val="0"/>
          <w:bCs w:val="0"/>
          <w:sz w:val="32"/>
          <w:szCs w:val="32"/>
        </w:rPr>
        <w:t>要</w:t>
      </w:r>
      <w:bookmarkEnd w:id="2"/>
      <w:bookmarkEnd w:id="3"/>
      <w:bookmarkEnd w:id="4"/>
      <w:bookmarkEnd w:id="5"/>
      <w:bookmarkEnd w:id="6"/>
      <w:bookmarkEnd w:id="7"/>
      <w:bookmarkEnd w:id="8"/>
    </w:p>
    <w:p>
      <w:pPr>
        <w:spacing w:line="360" w:lineRule="auto"/>
        <w:rPr>
          <w:rFonts w:ascii="幼圆" w:eastAsia="幼圆" w:hAnsi="幼圆" w:cs="幼圆" w:hint="eastAsia"/>
        </w:rPr>
      </w:pPr>
    </w:p>
    <w:p>
      <w:pPr>
        <w:spacing w:line="360" w:lineRule="auto"/>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上海作为一个重要经济的中心和旅游城市，是全国的典范代表，上海酒店业在促进上海市经济发展方面发挥了重要的作用。酒店业作为一种综合服务性行业，集合多种功能。在当前社会看来，新的挑战也是在不断地出现，当然有挑战必然会存在机遇，酒店行业的发展要随着新媒体的发展而发展。新媒体的发展带来的众多机遇，在酒店行业也体现的尤为明显。消费者通过新媒体可以迅速地查询到自己需要的酒店信息以及其他消费者相关评论，方便了酒店的推广和市场拓展。与此同时，新媒体增加了市场的透明度，使消费者变得更加挑剔，酒店行业的竞争也越来越激烈。随着各种改变的发生，让酒店业的竞争更加激烈。如何在这抢占市场份额是酒店管理者面临的重大考验。</w:t>
      </w:r>
    </w:p>
    <w:p>
      <w:pPr>
        <w:spacing w:line="360" w:lineRule="auto"/>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本文以上海高星级酒店为例，首先对上海高星级酒店的营销现状进行研究，然后通过问卷调查对基于消费者视角下的上海高星级酒店新媒体营销进行策略分析，最后根据现状做出相应的建议。</w:t>
      </w:r>
    </w:p>
    <w:p>
      <w:pPr>
        <w:spacing w:line="360" w:lineRule="auto"/>
        <w:ind w:firstLine="420" w:firstLineChars="200"/>
        <w:rPr>
          <w:rFonts w:ascii="幼圆" w:eastAsia="幼圆" w:hAnsi="幼圆" w:cs="幼圆" w:hint="eastAsia"/>
          <w:bCs/>
          <w:color w:val="000000" w:themeColor="text1"/>
          <w:szCs w:val="21"/>
          <w14:textFill>
            <w14:solidFill>
              <w14:schemeClr w14:val="tx1"/>
            </w14:solidFill>
          </w14:textFill>
        </w:rPr>
      </w:pPr>
    </w:p>
    <w:p>
      <w:pPr>
        <w:spacing w:line="360" w:lineRule="auto"/>
        <w:rPr>
          <w:rFonts w:ascii="幼圆" w:eastAsia="幼圆" w:hAnsi="幼圆" w:cs="幼圆" w:hint="eastAsia"/>
          <w:b/>
          <w:color w:val="000000" w:themeColor="text1"/>
          <w:sz w:val="24"/>
          <w14:textFill>
            <w14:solidFill>
              <w14:schemeClr w14:val="tx1"/>
            </w14:solidFill>
          </w14:textFill>
        </w:rPr>
      </w:pPr>
      <w:r>
        <w:rPr>
          <w:rFonts w:ascii="幼圆" w:eastAsia="幼圆" w:hAnsi="幼圆" w:cs="幼圆" w:hint="eastAsia"/>
          <w:bCs/>
          <w:color w:val="000000" w:themeColor="text1"/>
          <w:sz w:val="24"/>
          <w14:textFill>
            <w14:solidFill>
              <w14:schemeClr w14:val="tx1"/>
            </w14:solidFill>
          </w14:textFill>
        </w:rPr>
        <w:t>关键词：</w:t>
      </w:r>
      <w:r>
        <w:rPr>
          <w:rFonts w:ascii="幼圆" w:eastAsia="幼圆" w:hAnsi="幼圆" w:cs="幼圆" w:hint="eastAsia"/>
          <w:b/>
          <w:color w:val="000000" w:themeColor="text1"/>
          <w:sz w:val="24"/>
          <w14:textFill>
            <w14:solidFill>
              <w14:schemeClr w14:val="tx1"/>
            </w14:solidFill>
          </w14:textFill>
        </w:rPr>
        <w:t xml:space="preserve"> </w:t>
      </w:r>
      <w:r>
        <w:rPr>
          <w:rFonts w:ascii="幼圆" w:eastAsia="幼圆" w:hAnsi="幼圆" w:cs="幼圆" w:hint="eastAsia"/>
          <w:bCs/>
          <w:color w:val="000000" w:themeColor="text1"/>
          <w:szCs w:val="21"/>
          <w14:textFill>
            <w14:solidFill>
              <w14:schemeClr w14:val="tx1"/>
            </w14:solidFill>
          </w14:textFill>
        </w:rPr>
        <w:t>新媒体，高星级酒店，新媒体营销，策略分析</w:t>
      </w:r>
    </w:p>
    <w:p>
      <w:pPr>
        <w:widowControl/>
        <w:jc w:val="left"/>
        <w:rPr>
          <w:rFonts w:ascii="幼圆" w:eastAsia="幼圆" w:hAnsi="幼圆" w:cs="幼圆" w:hint="eastAsia"/>
        </w:rPr>
      </w:pPr>
    </w:p>
    <w:p>
      <w:pPr>
        <w:spacing w:line="400" w:lineRule="exact"/>
        <w:rPr>
          <w:rFonts w:ascii="幼圆" w:eastAsia="幼圆" w:hAnsi="幼圆" w:cs="幼圆" w:hint="eastAsia"/>
        </w:rPr>
      </w:pPr>
    </w:p>
    <w:p>
      <w:pPr>
        <w:pStyle w:val="Heading1"/>
        <w:spacing w:line="400" w:lineRule="exact"/>
        <w:jc w:val="center"/>
        <w:rPr>
          <w:rFonts w:ascii="幼圆" w:eastAsia="幼圆" w:hAnsi="幼圆" w:cs="幼圆" w:hint="eastAsia"/>
          <w:b w:val="0"/>
          <w:bCs w:val="0"/>
          <w:sz w:val="32"/>
          <w:szCs w:val="32"/>
        </w:rPr>
      </w:pPr>
      <w:bookmarkStart w:id="9" w:name="_Toc71618115"/>
      <w:r>
        <w:rPr>
          <w:rFonts w:ascii="幼圆" w:eastAsia="幼圆" w:hAnsi="幼圆" w:cs="幼圆" w:hint="eastAsia"/>
          <w:b w:val="0"/>
          <w:bCs w:val="0"/>
          <w:sz w:val="32"/>
          <w:szCs w:val="32"/>
        </w:rPr>
        <w:t>第一章 绪论</w:t>
      </w:r>
      <w:bookmarkEnd w:id="9"/>
    </w:p>
    <w:p>
      <w:pPr>
        <w:spacing w:line="400" w:lineRule="exact"/>
        <w:rPr>
          <w:rFonts w:ascii="幼圆" w:eastAsia="幼圆" w:hAnsi="幼圆" w:cs="幼圆" w:hint="eastAsia"/>
        </w:rPr>
        <w:sectPr>
          <w:headerReference w:type="default" r:id="rId9"/>
          <w:footerReference w:type="default" r:id="rId10"/>
          <w:footnotePr>
            <w:numFmt w:val="decimalEnclosedCircleChinese"/>
          </w:footnotePr>
          <w:type w:val="nextPage"/>
          <w:pgSz w:w="11906" w:h="16838"/>
          <w:pgMar w:top="1440" w:right="1800" w:bottom="1440" w:left="1800" w:header="720" w:footer="720" w:gutter="0"/>
          <w:pgNumType w:start="2"/>
          <w:cols w:num="1" w:space="425"/>
          <w:titlePg w:val="0"/>
          <w:docGrid w:type="lines" w:linePitch="312" w:charSpace="0"/>
        </w:sectPr>
      </w:pPr>
    </w:p>
    <w:p>
      <w:pPr>
        <w:pStyle w:val="Heading2"/>
        <w:numPr>
          <w:ilvl w:val="1"/>
          <w:numId w:val="1"/>
        </w:numPr>
        <w:spacing w:line="400" w:lineRule="exact"/>
        <w:rPr>
          <w:rFonts w:ascii="幼圆" w:eastAsia="幼圆" w:hAnsi="幼圆" w:cs="幼圆" w:hint="eastAsia"/>
          <w:b w:val="0"/>
          <w:bCs w:val="0"/>
          <w:sz w:val="28"/>
          <w:szCs w:val="28"/>
        </w:rPr>
      </w:pPr>
      <w:bookmarkStart w:id="10" w:name="_Toc71618116"/>
      <w:r>
        <w:rPr>
          <w:rFonts w:ascii="幼圆" w:eastAsia="幼圆" w:hAnsi="幼圆" w:cs="幼圆" w:hint="eastAsia"/>
          <w:b w:val="0"/>
          <w:bCs w:val="0"/>
          <w:sz w:val="28"/>
          <w:szCs w:val="28"/>
        </w:rPr>
        <w:t>研究背景</w:t>
      </w:r>
      <w:bookmarkEnd w:id="10"/>
    </w:p>
    <w:p>
      <w:pPr>
        <w:pStyle w:val="Heading3"/>
        <w:spacing w:line="400" w:lineRule="exact"/>
        <w:rPr>
          <w:rFonts w:ascii="幼圆" w:eastAsia="幼圆" w:hAnsi="幼圆" w:cs="幼圆" w:hint="eastAsia"/>
          <w:b w:val="0"/>
          <w:bCs w:val="0"/>
          <w:sz w:val="24"/>
          <w:szCs w:val="24"/>
        </w:rPr>
      </w:pPr>
      <w:bookmarkStart w:id="11" w:name="_Toc71618117"/>
      <w:r>
        <w:rPr>
          <w:rFonts w:ascii="幼圆" w:eastAsia="幼圆" w:hAnsi="幼圆" w:cs="幼圆" w:hint="eastAsia"/>
          <w:b w:val="0"/>
          <w:bCs w:val="0"/>
          <w:sz w:val="24"/>
          <w:szCs w:val="24"/>
        </w:rPr>
        <w:t>1</w:t>
      </w:r>
      <w:r>
        <w:rPr>
          <w:rFonts w:ascii="幼圆" w:eastAsia="幼圆" w:hAnsi="幼圆" w:cs="幼圆" w:hint="eastAsia"/>
          <w:b w:val="0"/>
          <w:bCs w:val="0"/>
          <w:sz w:val="24"/>
          <w:szCs w:val="24"/>
        </w:rPr>
        <w:t xml:space="preserve">.1.1 </w:t>
      </w:r>
      <w:r>
        <w:rPr>
          <w:rFonts w:ascii="幼圆" w:eastAsia="幼圆" w:hAnsi="幼圆" w:cs="幼圆" w:hint="eastAsia"/>
          <w:b w:val="0"/>
          <w:bCs w:val="0"/>
          <w:sz w:val="24"/>
          <w:szCs w:val="24"/>
        </w:rPr>
        <w:t>移动互联网时代的发展</w:t>
      </w:r>
      <w:bookmarkEnd w:id="11"/>
    </w:p>
    <w:p>
      <w:pPr>
        <w:spacing w:line="400" w:lineRule="exact"/>
        <w:ind w:firstLine="420" w:firstLineChars="200"/>
        <w:rPr>
          <w:rFonts w:ascii="幼圆" w:eastAsia="幼圆" w:hAnsi="幼圆" w:cs="幼圆" w:hint="eastAsia"/>
        </w:rPr>
      </w:pPr>
      <w:r>
        <w:rPr>
          <w:rFonts w:ascii="幼圆" w:eastAsia="幼圆" w:hAnsi="幼圆" w:cs="幼圆" w:hint="eastAsia"/>
          <w:color w:val="000000" w:themeColor="text1"/>
          <w:szCs w:val="21"/>
          <w14:textFill>
            <w14:solidFill>
              <w14:schemeClr w14:val="tx1"/>
            </w14:solidFill>
          </w14:textFill>
        </w:rPr>
        <w:t>2</w:t>
      </w:r>
      <w:r>
        <w:rPr>
          <w:rFonts w:ascii="幼圆" w:eastAsia="幼圆" w:hAnsi="幼圆" w:cs="幼圆" w:hint="eastAsia"/>
          <w:color w:val="000000" w:themeColor="text1"/>
          <w:szCs w:val="21"/>
          <w14:textFill>
            <w14:solidFill>
              <w14:schemeClr w14:val="tx1"/>
            </w14:solidFill>
          </w14:textFill>
        </w:rPr>
        <w:t>015</w:t>
      </w:r>
      <w:r>
        <w:rPr>
          <w:rFonts w:ascii="幼圆" w:eastAsia="幼圆" w:hAnsi="幼圆" w:cs="幼圆" w:hint="eastAsia"/>
          <w:color w:val="000000" w:themeColor="text1"/>
          <w:szCs w:val="21"/>
          <w14:textFill>
            <w14:solidFill>
              <w14:schemeClr w14:val="tx1"/>
            </w14:solidFill>
          </w14:textFill>
        </w:rPr>
        <w:t>年3月，李克强总理在第十二届全国人民代表大会第三次会议上，正式提出“互联网+”的战略</w:t>
      </w:r>
      <w:r>
        <w:rPr>
          <w:rStyle w:val="FootnoteReference"/>
          <w:rFonts w:ascii="幼圆" w:eastAsia="幼圆" w:hAnsi="幼圆" w:cs="幼圆" w:hint="eastAsia"/>
        </w:rPr>
        <w:footnoteReference w:id="2"/>
      </w:r>
      <w:r>
        <w:rPr>
          <w:rFonts w:ascii="幼圆" w:eastAsia="幼圆" w:hAnsi="幼圆" w:cs="幼圆" w:hint="eastAsia"/>
        </w:rPr>
        <w:t>，从此之后“互联网+”这一概念走入人们的视野</w:t>
      </w:r>
      <w:r>
        <w:rPr>
          <w:rFonts w:ascii="幼圆" w:eastAsia="幼圆" w:hAnsi="幼圆" w:cs="幼圆" w:hint="eastAsia"/>
          <w:color w:val="000000" w:themeColor="text1"/>
          <w:szCs w:val="21"/>
          <w14:textFill>
            <w14:solidFill>
              <w14:schemeClr w14:val="tx1"/>
            </w14:solidFill>
          </w14:textFill>
        </w:rPr>
        <w:t>。“互联网+”战略的提出使得手机、广告等新媒体以更加多元化的形式走进了我们的生活并且对我们的生活产生了巨大的影响。</w:t>
      </w:r>
      <w:r>
        <w:rPr>
          <w:rFonts w:ascii="幼圆" w:eastAsia="幼圆" w:hAnsi="幼圆" w:cs="幼圆" w:hint="eastAsia"/>
        </w:rPr>
        <w:t>21</w:t>
      </w:r>
      <w:r>
        <w:rPr>
          <w:rFonts w:ascii="幼圆" w:eastAsia="幼圆" w:hAnsi="幼圆" w:cs="幼圆" w:hint="eastAsia"/>
        </w:rPr>
        <w:t>世纪的今天，人们的生活变得越来越智能化，移动互联网正在迅速地崛起，它有着方便、快捷以及私密性强等特点，受到了人们的一致喜欢</w:t>
      </w:r>
      <w:r>
        <w:rPr>
          <w:rFonts w:ascii="幼圆" w:eastAsia="幼圆" w:hAnsi="幼圆" w:cs="幼圆" w:hint="eastAsia"/>
          <w:vertAlign w:val="superscript"/>
        </w:rPr>
        <w:t>[</w:t>
      </w:r>
      <w:r>
        <w:rPr>
          <w:rFonts w:ascii="幼圆" w:eastAsia="幼圆" w:hAnsi="幼圆" w:cs="幼圆" w:hint="eastAsia"/>
          <w:vertAlign w:val="superscript"/>
        </w:rPr>
        <w:t>2]</w:t>
      </w:r>
      <w:r>
        <w:rPr>
          <w:rFonts w:ascii="幼圆" w:eastAsia="幼圆" w:hAnsi="幼圆" w:cs="幼圆" w:hint="eastAsia"/>
        </w:rPr>
        <w:t>。根据易库智库发布的《中国互联网用户行为统计2</w:t>
      </w:r>
      <w:r>
        <w:rPr>
          <w:rFonts w:ascii="幼圆" w:eastAsia="幼圆" w:hAnsi="幼圆" w:cs="幼圆" w:hint="eastAsia"/>
        </w:rPr>
        <w:t>020</w:t>
      </w:r>
      <w:r>
        <w:rPr>
          <w:rFonts w:ascii="幼圆" w:eastAsia="幼圆" w:hAnsi="幼圆" w:cs="幼圆" w:hint="eastAsia"/>
        </w:rPr>
        <w:t>》的数据显示，到2</w:t>
      </w:r>
      <w:r>
        <w:rPr>
          <w:rFonts w:ascii="幼圆" w:eastAsia="幼圆" w:hAnsi="幼圆" w:cs="幼圆" w:hint="eastAsia"/>
        </w:rPr>
        <w:t>020</w:t>
      </w:r>
      <w:r>
        <w:rPr>
          <w:rFonts w:ascii="幼圆" w:eastAsia="幼圆" w:hAnsi="幼圆" w:cs="幼圆" w:hint="eastAsia"/>
        </w:rPr>
        <w:t>年底为止，我国网民规模达到了9.</w:t>
      </w:r>
      <w:r>
        <w:rPr>
          <w:rFonts w:ascii="幼圆" w:eastAsia="幼圆" w:hAnsi="幼圆" w:cs="幼圆" w:hint="eastAsia"/>
        </w:rPr>
        <w:t>89</w:t>
      </w:r>
      <w:r>
        <w:rPr>
          <w:rFonts w:ascii="幼圆" w:eastAsia="幼圆" w:hAnsi="幼圆" w:cs="幼圆" w:hint="eastAsia"/>
        </w:rPr>
        <w:t>亿之多，现如今人们的生活已经几乎离不开互联网了。</w:t>
      </w:r>
    </w:p>
    <w:p>
      <w:pPr>
        <w:spacing w:line="400" w:lineRule="exact"/>
        <w:rPr>
          <w:rFonts w:ascii="幼圆" w:eastAsia="幼圆" w:hAnsi="幼圆" w:cs="幼圆" w:hint="eastAsia"/>
        </w:rPr>
      </w:pPr>
      <w:r>
        <w:rPr>
          <w:rFonts w:ascii="幼圆" w:eastAsia="幼圆" w:hAnsi="幼圆" w:cs="幼圆" w:hint="eastAsia"/>
        </w:rPr>
        <w:drawing>
          <wp:anchor distT="0" distB="0" distL="114300" distR="114300" simplePos="0" relativeHeight="251658240" behindDoc="0" locked="0" layoutInCell="1" allowOverlap="1">
            <wp:simplePos x="0" y="0"/>
            <wp:positionH relativeFrom="margin">
              <wp:posOffset>327025</wp:posOffset>
            </wp:positionH>
            <wp:positionV relativeFrom="paragraph">
              <wp:posOffset>71755</wp:posOffset>
            </wp:positionV>
            <wp:extent cx="4572000" cy="2743200"/>
            <wp:effectExtent l="0" t="0" r="0" b="0"/>
            <wp:wrapSquare wrapText="bothSides"/>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pStyle w:val="Caption"/>
        <w:spacing w:line="400" w:lineRule="exact"/>
        <w:ind w:firstLine="360"/>
        <w:jc w:val="center"/>
        <w:rPr>
          <w:rFonts w:ascii="幼圆" w:eastAsia="幼圆" w:hAnsi="幼圆" w:cs="幼圆" w:hint="eastAsia"/>
          <w:sz w:val="18"/>
          <w:szCs w:val="18"/>
        </w:rPr>
      </w:pPr>
      <w:r>
        <w:rPr>
          <w:rFonts w:ascii="幼圆" w:eastAsia="幼圆" w:hAnsi="幼圆" w:cs="幼圆" w:hint="eastAsia"/>
          <w:sz w:val="18"/>
          <w:szCs w:val="18"/>
        </w:rPr>
        <w:t>图1-</w:t>
      </w:r>
      <w:r>
        <w:rPr>
          <w:rFonts w:ascii="幼圆" w:eastAsia="幼圆" w:hAnsi="幼圆" w:cs="幼圆" w:hint="eastAsia"/>
          <w:sz w:val="18"/>
          <w:szCs w:val="18"/>
        </w:rPr>
        <w:t xml:space="preserve">1 </w:t>
      </w:r>
      <w:r>
        <w:rPr>
          <w:rFonts w:ascii="幼圆" w:eastAsia="幼圆" w:hAnsi="幼圆" w:cs="幼圆" w:hint="eastAsia"/>
          <w:sz w:val="18"/>
          <w:szCs w:val="18"/>
        </w:rPr>
        <w:t>国民规模与互联网普及率</w:t>
      </w:r>
    </w:p>
    <w:p>
      <w:pPr>
        <w:pStyle w:val="Caption"/>
        <w:spacing w:line="400" w:lineRule="exact"/>
        <w:rPr>
          <w:rFonts w:ascii="幼圆" w:eastAsia="幼圆" w:hAnsi="幼圆" w:cs="幼圆" w:hint="eastAsia"/>
          <w:sz w:val="15"/>
          <w:szCs w:val="15"/>
        </w:rPr>
      </w:pPr>
      <w:r>
        <w:rPr>
          <w:rFonts w:ascii="幼圆" w:eastAsia="幼圆" w:hAnsi="幼圆" w:cs="幼圆" w:hint="eastAsia"/>
          <w:sz w:val="15"/>
          <w:szCs w:val="15"/>
        </w:rPr>
        <w:t>数据来源：《</w:t>
      </w:r>
      <w:r>
        <w:rPr>
          <w:rFonts w:ascii="幼圆" w:eastAsia="幼圆" w:hAnsi="幼圆" w:cs="幼圆" w:hint="eastAsia"/>
          <w:sz w:val="15"/>
          <w:szCs w:val="15"/>
        </w:rPr>
        <w:t>中国移动互联网用户行为统计报告</w:t>
      </w:r>
      <w:r>
        <w:rPr>
          <w:rFonts w:ascii="幼圆" w:eastAsia="幼圆" w:hAnsi="幼圆" w:cs="幼圆" w:hint="eastAsia"/>
          <w:sz w:val="15"/>
          <w:szCs w:val="15"/>
        </w:rPr>
        <w:t>2</w:t>
      </w:r>
      <w:r>
        <w:rPr>
          <w:rFonts w:ascii="幼圆" w:eastAsia="幼圆" w:hAnsi="幼圆" w:cs="幼圆" w:hint="eastAsia"/>
          <w:sz w:val="15"/>
          <w:szCs w:val="15"/>
        </w:rPr>
        <w:t>020</w:t>
      </w:r>
      <w:r>
        <w:rPr>
          <w:rFonts w:ascii="幼圆" w:eastAsia="幼圆" w:hAnsi="幼圆" w:cs="幼圆" w:hint="eastAsia"/>
          <w:sz w:val="15"/>
          <w:szCs w:val="15"/>
        </w:rPr>
        <w:t>》</w:t>
      </w:r>
    </w:p>
    <w:p>
      <w:pPr>
        <w:pStyle w:val="Heading3"/>
        <w:spacing w:line="400" w:lineRule="exact"/>
        <w:rPr>
          <w:rFonts w:ascii="幼圆" w:eastAsia="幼圆" w:hAnsi="幼圆" w:cs="幼圆" w:hint="eastAsia"/>
          <w:b w:val="0"/>
          <w:bCs w:val="0"/>
          <w:sz w:val="24"/>
          <w:szCs w:val="24"/>
        </w:rPr>
      </w:pPr>
      <w:bookmarkStart w:id="12" w:name="_Toc71618118"/>
      <w:r>
        <w:rPr>
          <w:rFonts w:ascii="幼圆" w:eastAsia="幼圆" w:hAnsi="幼圆" w:cs="幼圆" w:hint="eastAsia"/>
          <w:b w:val="0"/>
          <w:bCs w:val="0"/>
          <w:sz w:val="24"/>
          <w:szCs w:val="24"/>
        </w:rPr>
        <w:t>1</w:t>
      </w:r>
      <w:r>
        <w:rPr>
          <w:rFonts w:ascii="幼圆" w:eastAsia="幼圆" w:hAnsi="幼圆" w:cs="幼圆" w:hint="eastAsia"/>
          <w:b w:val="0"/>
          <w:bCs w:val="0"/>
          <w:sz w:val="24"/>
          <w:szCs w:val="24"/>
        </w:rPr>
        <w:t xml:space="preserve">.1.2 </w:t>
      </w:r>
      <w:r>
        <w:rPr>
          <w:rFonts w:ascii="幼圆" w:eastAsia="幼圆" w:hAnsi="幼圆" w:cs="幼圆" w:hint="eastAsia"/>
          <w:b w:val="0"/>
          <w:bCs w:val="0"/>
          <w:sz w:val="24"/>
          <w:szCs w:val="24"/>
        </w:rPr>
        <w:t>新媒体营销的发展</w:t>
      </w:r>
      <w:bookmarkEnd w:id="12"/>
    </w:p>
    <w:p>
      <w:pPr>
        <w:spacing w:line="400" w:lineRule="exact"/>
        <w:ind w:firstLine="420"/>
        <w:rPr>
          <w:rFonts w:ascii="幼圆" w:eastAsia="幼圆" w:hAnsi="幼圆" w:cs="幼圆" w:hint="eastAsia"/>
        </w:rPr>
        <w:sectPr>
          <w:headerReference w:type="default" r:id="rId12"/>
          <w:footerReference w:type="default" r:id="rId13"/>
          <w:footnotePr>
            <w:numFmt w:val="decimalEnclosedCircleChinese"/>
          </w:footnotePr>
          <w:type w:val="nextPage"/>
          <w:pgSz w:w="11906" w:h="16838"/>
          <w:pgMar w:top="1440" w:right="1800" w:bottom="1440" w:left="1800" w:header="720" w:footer="720" w:gutter="0"/>
          <w:pgNumType w:start="3"/>
          <w:cols w:num="1" w:space="425"/>
          <w:titlePg w:val="0"/>
          <w:docGrid w:type="lines" w:linePitch="312" w:charSpace="0"/>
        </w:sectPr>
      </w:pPr>
      <w:r>
        <w:rPr>
          <w:rFonts w:ascii="幼圆" w:eastAsia="幼圆" w:hAnsi="幼圆" w:cs="幼圆" w:hint="eastAsia"/>
        </w:rPr>
        <w:t>媒体，即是能够为信息传播提供各种平台的媒介。随着时代的迅猛发展，各个行业渐渐都离不开互联网技术的支持，从而衍生出了新媒体这个新兴的传播媒介。新媒体营销的规模也随着时间在逐年增大，并且引领着媒体产业。根据2</w:t>
      </w:r>
      <w:r>
        <w:rPr>
          <w:rFonts w:ascii="幼圆" w:eastAsia="幼圆" w:hAnsi="幼圆" w:cs="幼圆" w:hint="eastAsia"/>
        </w:rPr>
        <w:t>019</w:t>
      </w:r>
      <w:r>
        <w:rPr>
          <w:rFonts w:ascii="幼圆" w:eastAsia="幼圆" w:hAnsi="幼圆" w:cs="幼圆" w:hint="eastAsia"/>
        </w:rPr>
        <w:t>年的一项市场前景分析，可以知道消费者对于传统媒体的依赖程度已经逐渐下降，各个公司都推出了“互联网+”新媒体的营销方式</w:t>
      </w:r>
      <w:r>
        <w:rPr>
          <w:rFonts w:ascii="幼圆" w:eastAsia="幼圆" w:hAnsi="幼圆" w:cs="幼圆" w:hint="eastAsia"/>
          <w:vertAlign w:val="superscript"/>
        </w:rPr>
        <w:t>[</w:t>
      </w:r>
      <w:r>
        <w:rPr>
          <w:rFonts w:ascii="幼圆" w:eastAsia="幼圆" w:hAnsi="幼圆" w:cs="幼圆" w:hint="eastAsia"/>
          <w:vertAlign w:val="superscript"/>
        </w:rPr>
        <w:t>3]</w:t>
      </w:r>
    </w:p>
    <w:p>
      <w:pPr>
        <w:spacing w:line="400" w:lineRule="exact"/>
        <w:ind w:firstLine="420"/>
        <w:rPr>
          <w:rFonts w:ascii="幼圆" w:eastAsia="幼圆" w:hAnsi="幼圆" w:cs="幼圆" w:hint="eastAsia"/>
        </w:rPr>
      </w:pPr>
      <w:r>
        <w:rPr>
          <w:rFonts w:ascii="幼圆" w:eastAsia="幼圆" w:hAnsi="幼圆" w:cs="幼圆" w:hint="eastAsia"/>
        </w:rPr>
        <w:t>。新媒体营销的发展规模以及速度仍在不断地加快，而且增长速度十分明显。根据下图数据显示，中国新媒体行业正在逐年增长，用户规模也在不断扩大，因此抓住新媒体营销是把握主流市场的关键。</w:t>
      </w:r>
    </w:p>
    <w:p>
      <w:pPr>
        <w:spacing w:line="400" w:lineRule="exact"/>
        <w:rPr>
          <w:rFonts w:ascii="幼圆" w:eastAsia="幼圆" w:hAnsi="幼圆" w:cs="幼圆" w:hint="eastAsia"/>
        </w:rPr>
      </w:pPr>
      <w:r>
        <w:rPr>
          <w:rFonts w:ascii="幼圆" w:eastAsia="幼圆" w:hAnsi="幼圆" w:cs="幼圆" w:hint="eastAsia"/>
        </w:rPr>
        <w:drawing>
          <wp:anchor distT="0" distB="0" distL="114300" distR="114300" simplePos="0" relativeHeight="251659264" behindDoc="0" locked="0" layoutInCell="1" allowOverlap="1">
            <wp:simplePos x="0" y="0"/>
            <wp:positionH relativeFrom="margin">
              <wp:posOffset>365125</wp:posOffset>
            </wp:positionH>
            <wp:positionV relativeFrom="paragraph">
              <wp:posOffset>80645</wp:posOffset>
            </wp:positionV>
            <wp:extent cx="4572000" cy="2743200"/>
            <wp:effectExtent l="0" t="0" r="0" b="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65408" behindDoc="0" locked="0" layoutInCell="1" allowOverlap="1">
                <wp:simplePos x="0" y="0"/>
                <wp:positionH relativeFrom="column">
                  <wp:posOffset>3276600</wp:posOffset>
                </wp:positionH>
                <wp:positionV relativeFrom="paragraph">
                  <wp:posOffset>175895</wp:posOffset>
                </wp:positionV>
                <wp:extent cx="733425" cy="257175"/>
                <wp:effectExtent l="0" t="0" r="9525" b="9525"/>
                <wp:wrapSquare wrapText="bothSides"/>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733425" cy="257175"/>
                        </a:xfrm>
                        <a:prstGeom prst="rect">
                          <a:avLst/>
                        </a:prstGeom>
                        <a:solidFill>
                          <a:schemeClr val="lt1"/>
                        </a:solidFill>
                        <a:ln w="6350">
                          <a:noFill/>
                        </a:ln>
                      </wps:spPr>
                      <wps:txbx>
                        <w:txbxContent>
                          <w:p>
                            <w:pPr>
                              <w:rPr>
                                <w:rFonts w:ascii="宋体" w:eastAsia="宋体" w:hAnsi="宋体"/>
                                <w:sz w:val="18"/>
                                <w:szCs w:val="20"/>
                              </w:rPr>
                            </w:pPr>
                            <w:r>
                              <w:rPr>
                                <w:rFonts w:ascii="宋体" w:eastAsia="宋体" w:hAnsi="宋体" w:hint="eastAsia"/>
                                <w:sz w:val="18"/>
                                <w:szCs w:val="20"/>
                              </w:rPr>
                              <w:t>移动社交</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0" o:spid="_x0000_s1025" type="#_x0000_t202" style="width:57.75pt;height:20.25pt;margin-top:13.85pt;margin-left:258pt;mso-wrap-distance-bottom:0;mso-wrap-distance-left:9pt;mso-wrap-distance-right:9pt;mso-wrap-distance-top:0;position:absolute;v-text-anchor:top;z-index:251664384" fillcolor="white" stroked="f" strokeweight="0.5pt">
                <v:textbox>
                  <w:txbxContent>
                    <w:p>
                      <w:pPr>
                        <w:rPr>
                          <w:rFonts w:ascii="宋体" w:eastAsia="宋体" w:hAnsi="宋体"/>
                          <w:sz w:val="18"/>
                          <w:szCs w:val="20"/>
                        </w:rPr>
                      </w:pPr>
                      <w:r>
                        <w:rPr>
                          <w:rFonts w:ascii="宋体" w:eastAsia="宋体" w:hAnsi="宋体" w:hint="eastAsia"/>
                          <w:sz w:val="18"/>
                          <w:szCs w:val="20"/>
                        </w:rPr>
                        <w:t>移动社交</w:t>
                      </w:r>
                    </w:p>
                  </w:txbxContent>
                </v:textbox>
                <w10:wrap type="square"/>
              </v:shape>
            </w:pict>
          </mc:Fallback>
        </mc:AlternateContent>
      </w:r>
      <w:r>
        <w:rPr>
          <w:rFonts w:ascii="幼圆" w:eastAsia="幼圆" w:hAnsi="幼圆" w:cs="幼圆" w:hint="eastAsia"/>
        </w:rPr>
        <mc:AlternateContent>
          <mc:Choice Requires="wps">
            <w:drawing>
              <wp:anchor distT="0" distB="0" distL="114300" distR="114300" simplePos="0" relativeHeight="251663360" behindDoc="0" locked="0" layoutInCell="1" allowOverlap="1">
                <wp:simplePos x="0" y="0"/>
                <wp:positionH relativeFrom="column">
                  <wp:posOffset>2342515</wp:posOffset>
                </wp:positionH>
                <wp:positionV relativeFrom="paragraph">
                  <wp:posOffset>185420</wp:posOffset>
                </wp:positionV>
                <wp:extent cx="733425" cy="257175"/>
                <wp:effectExtent l="0" t="0" r="9525" b="9525"/>
                <wp:wrapSquare wrapText="bothSides"/>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733425" cy="257175"/>
                        </a:xfrm>
                        <a:prstGeom prst="rect">
                          <a:avLst/>
                        </a:prstGeom>
                        <a:solidFill>
                          <a:schemeClr val="lt1"/>
                        </a:solidFill>
                        <a:ln w="6350">
                          <a:noFill/>
                        </a:ln>
                      </wps:spPr>
                      <wps:txbx>
                        <w:txbxContent>
                          <w:p>
                            <w:pPr>
                              <w:rPr>
                                <w:rFonts w:ascii="宋体" w:eastAsia="宋体" w:hAnsi="宋体"/>
                                <w:sz w:val="18"/>
                                <w:szCs w:val="20"/>
                              </w:rPr>
                            </w:pPr>
                            <w:r>
                              <w:rPr>
                                <w:rFonts w:ascii="宋体" w:eastAsia="宋体" w:hAnsi="宋体" w:hint="eastAsia"/>
                                <w:sz w:val="18"/>
                                <w:szCs w:val="20"/>
                              </w:rPr>
                              <w:t>短视频</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 o:spid="_x0000_s1026" type="#_x0000_t202" style="width:57.75pt;height:20.25pt;margin-top:14.6pt;margin-left:184.45pt;mso-wrap-distance-bottom:0;mso-wrap-distance-left:9pt;mso-wrap-distance-right:9pt;mso-wrap-distance-top:0;position:absolute;v-text-anchor:top;z-index:251662336" fillcolor="white" stroked="f" strokeweight="0.5pt">
                <v:textbox>
                  <w:txbxContent>
                    <w:p>
                      <w:pPr>
                        <w:rPr>
                          <w:rFonts w:ascii="宋体" w:eastAsia="宋体" w:hAnsi="宋体"/>
                          <w:sz w:val="18"/>
                          <w:szCs w:val="20"/>
                        </w:rPr>
                      </w:pPr>
                      <w:r>
                        <w:rPr>
                          <w:rFonts w:ascii="宋体" w:eastAsia="宋体" w:hAnsi="宋体" w:hint="eastAsia"/>
                          <w:sz w:val="18"/>
                          <w:szCs w:val="20"/>
                        </w:rPr>
                        <w:t>短视频</w:t>
                      </w:r>
                    </w:p>
                  </w:txbxContent>
                </v:textbox>
                <w10:wrap type="square"/>
              </v:shape>
            </w:pict>
          </mc:Fallback>
        </mc:AlternateContent>
      </w:r>
      <w:r>
        <w:rPr>
          <w:rFonts w:ascii="幼圆" w:eastAsia="幼圆" w:hAnsi="幼圆" w:cs="幼圆" w:hint="eastAsia"/>
        </w:rPr>
        <mc:AlternateContent>
          <mc:Choice Requires="wps">
            <w:drawing>
              <wp:anchor distT="0" distB="0" distL="114300" distR="114300" simplePos="0" relativeHeight="251661312" behindDoc="0" locked="0" layoutInCell="1" allowOverlap="1">
                <wp:simplePos x="0" y="0"/>
                <wp:positionH relativeFrom="column">
                  <wp:posOffset>1432560</wp:posOffset>
                </wp:positionH>
                <wp:positionV relativeFrom="paragraph">
                  <wp:posOffset>184785</wp:posOffset>
                </wp:positionV>
                <wp:extent cx="733425" cy="257175"/>
                <wp:effectExtent l="0" t="0" r="9525" b="9525"/>
                <wp:wrapSquare wrapText="bothSides"/>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733425" cy="257175"/>
                        </a:xfrm>
                        <a:prstGeom prst="rect">
                          <a:avLst/>
                        </a:prstGeom>
                        <a:solidFill>
                          <a:schemeClr val="lt1"/>
                        </a:solidFill>
                        <a:ln w="6350">
                          <a:noFill/>
                        </a:ln>
                      </wps:spPr>
                      <wps:txbx>
                        <w:txbxContent>
                          <w:p>
                            <w:pPr>
                              <w:rPr>
                                <w:rFonts w:ascii="宋体" w:eastAsia="宋体" w:hAnsi="宋体"/>
                                <w:sz w:val="18"/>
                                <w:szCs w:val="20"/>
                              </w:rPr>
                            </w:pPr>
                            <w:r>
                              <w:rPr>
                                <w:rFonts w:ascii="宋体" w:eastAsia="宋体" w:hAnsi="宋体" w:hint="eastAsia"/>
                                <w:sz w:val="18"/>
                                <w:szCs w:val="20"/>
                              </w:rPr>
                              <w:t>在线直播</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 o:spid="_x0000_s1027" type="#_x0000_t202" style="width:57.75pt;height:20.25pt;margin-top:14.55pt;margin-left:112.8pt;mso-wrap-distance-bottom:0;mso-wrap-distance-left:9pt;mso-wrap-distance-right:9pt;mso-wrap-distance-top:0;position:absolute;v-text-anchor:top;z-index:251660288" fillcolor="white" stroked="f" strokeweight="0.5pt">
                <v:textbox>
                  <w:txbxContent>
                    <w:p>
                      <w:pPr>
                        <w:rPr>
                          <w:rFonts w:ascii="宋体" w:eastAsia="宋体" w:hAnsi="宋体"/>
                          <w:sz w:val="18"/>
                          <w:szCs w:val="20"/>
                        </w:rPr>
                      </w:pPr>
                      <w:r>
                        <w:rPr>
                          <w:rFonts w:ascii="宋体" w:eastAsia="宋体" w:hAnsi="宋体" w:hint="eastAsia"/>
                          <w:sz w:val="18"/>
                          <w:szCs w:val="20"/>
                        </w:rPr>
                        <w:t>在线直播</w:t>
                      </w:r>
                    </w:p>
                  </w:txbxContent>
                </v:textbox>
                <w10:wrap type="square"/>
              </v:shape>
            </w:pict>
          </mc:Fallback>
        </mc:AlternateContent>
      </w:r>
    </w:p>
    <w:p>
      <w:pPr>
        <w:spacing w:line="400" w:lineRule="exact"/>
        <w:rPr>
          <w:rFonts w:ascii="幼圆" w:eastAsia="幼圆" w:hAnsi="幼圆" w:cs="幼圆" w:hint="eastAsia"/>
        </w:rPr>
      </w:pPr>
    </w:p>
    <w:p>
      <w:pPr>
        <w:spacing w:line="400" w:lineRule="exact"/>
        <w:rPr>
          <w:rFonts w:ascii="幼圆" w:eastAsia="幼圆" w:hAnsi="幼圆" w:cs="幼圆" w:hint="eastAsia"/>
        </w:rPr>
      </w:pPr>
    </w:p>
    <w:p>
      <w:pPr>
        <w:pStyle w:val="Caption"/>
        <w:spacing w:line="400" w:lineRule="exact"/>
        <w:ind w:firstLine="360"/>
        <w:jc w:val="center"/>
        <w:rPr>
          <w:rFonts w:ascii="幼圆" w:eastAsia="幼圆" w:hAnsi="幼圆" w:cs="幼圆" w:hint="eastAsia"/>
          <w:sz w:val="18"/>
          <w:szCs w:val="18"/>
        </w:rPr>
      </w:pPr>
      <w:r>
        <w:rPr>
          <w:rFonts w:ascii="幼圆" w:eastAsia="幼圆" w:hAnsi="幼圆" w:cs="幼圆" w:hint="eastAsia"/>
          <w:sz w:val="18"/>
          <w:szCs w:val="18"/>
        </w:rPr>
        <w:t>图</w:t>
      </w:r>
      <w:r>
        <w:rPr>
          <w:rFonts w:ascii="幼圆" w:eastAsia="幼圆" w:hAnsi="幼圆" w:cs="幼圆" w:hint="eastAsia"/>
          <w:sz w:val="18"/>
          <w:szCs w:val="18"/>
        </w:rPr>
        <w:t>1</w:t>
      </w:r>
      <w:r>
        <w:rPr>
          <w:rFonts w:ascii="幼圆" w:eastAsia="幼圆" w:hAnsi="幼圆" w:cs="幼圆" w:hint="eastAsia"/>
          <w:sz w:val="18"/>
          <w:szCs w:val="18"/>
        </w:rPr>
        <w:t>-</w:t>
      </w:r>
      <w:r>
        <w:rPr>
          <w:rFonts w:ascii="幼圆" w:eastAsia="幼圆" w:hAnsi="幼圆" w:cs="幼圆" w:hint="eastAsia"/>
          <w:sz w:val="18"/>
          <w:szCs w:val="18"/>
        </w:rPr>
        <w:t xml:space="preserve">2 </w:t>
      </w:r>
      <w:r>
        <w:rPr>
          <w:rFonts w:ascii="幼圆" w:eastAsia="幼圆" w:hAnsi="幼圆" w:cs="幼圆" w:hint="eastAsia"/>
          <w:sz w:val="18"/>
          <w:szCs w:val="18"/>
        </w:rPr>
        <w:t>中国新媒体行业不同领域用户规模及预测</w:t>
      </w:r>
    </w:p>
    <w:p>
      <w:pPr>
        <w:pStyle w:val="Caption"/>
        <w:spacing w:line="400" w:lineRule="exact"/>
        <w:rPr>
          <w:rFonts w:ascii="幼圆" w:eastAsia="幼圆" w:hAnsi="幼圆" w:cs="幼圆" w:hint="eastAsia"/>
          <w:sz w:val="15"/>
          <w:szCs w:val="15"/>
        </w:rPr>
      </w:pPr>
      <w:r>
        <w:rPr>
          <w:rFonts w:ascii="幼圆" w:eastAsia="幼圆" w:hAnsi="幼圆" w:cs="幼圆" w:hint="eastAsia"/>
          <w:sz w:val="15"/>
          <w:szCs w:val="15"/>
        </w:rPr>
        <w:t>数据来源：艾媒咨询</w:t>
      </w:r>
    </w:p>
    <w:p>
      <w:pPr>
        <w:pStyle w:val="Heading2"/>
        <w:spacing w:line="400" w:lineRule="exact"/>
        <w:rPr>
          <w:rFonts w:ascii="幼圆" w:eastAsia="幼圆" w:hAnsi="幼圆" w:cs="幼圆" w:hint="eastAsia"/>
          <w:b w:val="0"/>
          <w:bCs w:val="0"/>
          <w:sz w:val="28"/>
          <w:szCs w:val="28"/>
        </w:rPr>
      </w:pPr>
      <w:bookmarkStart w:id="13" w:name="_Toc71618119"/>
      <w:r>
        <w:rPr>
          <w:rFonts w:ascii="幼圆" w:eastAsia="幼圆" w:hAnsi="幼圆" w:cs="幼圆" w:hint="eastAsia"/>
          <w:b w:val="0"/>
          <w:bCs w:val="0"/>
          <w:sz w:val="28"/>
          <w:szCs w:val="28"/>
        </w:rPr>
        <w:t>1</w:t>
      </w:r>
      <w:r>
        <w:rPr>
          <w:rFonts w:ascii="幼圆" w:eastAsia="幼圆" w:hAnsi="幼圆" w:cs="幼圆" w:hint="eastAsia"/>
          <w:b w:val="0"/>
          <w:bCs w:val="0"/>
          <w:sz w:val="28"/>
          <w:szCs w:val="28"/>
        </w:rPr>
        <w:t>.2</w:t>
      </w:r>
      <w:r>
        <w:rPr>
          <w:rFonts w:ascii="幼圆" w:eastAsia="幼圆" w:hAnsi="幼圆" w:cs="幼圆" w:hint="eastAsia"/>
          <w:b w:val="0"/>
          <w:bCs w:val="0"/>
          <w:sz w:val="28"/>
          <w:szCs w:val="28"/>
        </w:rPr>
        <w:t>研究目的与意义</w:t>
      </w:r>
      <w:bookmarkEnd w:id="13"/>
    </w:p>
    <w:p>
      <w:pPr>
        <w:pStyle w:val="Heading3"/>
        <w:spacing w:line="400" w:lineRule="exact"/>
        <w:rPr>
          <w:rFonts w:ascii="幼圆" w:eastAsia="幼圆" w:hAnsi="幼圆" w:cs="幼圆" w:hint="eastAsia"/>
          <w:b w:val="0"/>
          <w:bCs w:val="0"/>
          <w:sz w:val="24"/>
          <w:szCs w:val="24"/>
        </w:rPr>
      </w:pPr>
      <w:bookmarkStart w:id="14" w:name="_Toc71618120"/>
      <w:r>
        <w:rPr>
          <w:rFonts w:ascii="幼圆" w:eastAsia="幼圆" w:hAnsi="幼圆" w:cs="幼圆" w:hint="eastAsia"/>
          <w:b w:val="0"/>
          <w:bCs w:val="0"/>
          <w:sz w:val="24"/>
          <w:szCs w:val="24"/>
        </w:rPr>
        <w:t>1</w:t>
      </w:r>
      <w:r>
        <w:rPr>
          <w:rFonts w:ascii="幼圆" w:eastAsia="幼圆" w:hAnsi="幼圆" w:cs="幼圆" w:hint="eastAsia"/>
          <w:b w:val="0"/>
          <w:bCs w:val="0"/>
          <w:sz w:val="24"/>
          <w:szCs w:val="24"/>
        </w:rPr>
        <w:t xml:space="preserve">.2.1 </w:t>
      </w:r>
      <w:r>
        <w:rPr>
          <w:rFonts w:ascii="幼圆" w:eastAsia="幼圆" w:hAnsi="幼圆" w:cs="幼圆" w:hint="eastAsia"/>
          <w:b w:val="0"/>
          <w:bCs w:val="0"/>
          <w:sz w:val="24"/>
          <w:szCs w:val="24"/>
        </w:rPr>
        <w:t>研究目的</w:t>
      </w:r>
      <w:bookmarkEnd w:id="14"/>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通过此次的调查来研究上海高星级酒店现阶段的营销渠道、营销模式以及营销策略对于消费者的影响，发现不同营销方式对于消费者的吸引程度，提出更有效的营销策略以此来提高消费者入住上海高星级酒店的意愿。</w:t>
      </w:r>
    </w:p>
    <w:p>
      <w:pPr>
        <w:pStyle w:val="Heading3"/>
        <w:spacing w:line="400" w:lineRule="exact"/>
        <w:rPr>
          <w:rFonts w:ascii="幼圆" w:eastAsia="幼圆" w:hAnsi="幼圆" w:cs="幼圆" w:hint="eastAsia"/>
          <w:b w:val="0"/>
          <w:bCs w:val="0"/>
          <w:sz w:val="24"/>
          <w:szCs w:val="24"/>
        </w:rPr>
      </w:pPr>
      <w:bookmarkStart w:id="15" w:name="_Toc71618121"/>
      <w:r>
        <w:rPr>
          <w:rFonts w:ascii="幼圆" w:eastAsia="幼圆" w:hAnsi="幼圆" w:cs="幼圆" w:hint="eastAsia"/>
          <w:b w:val="0"/>
          <w:bCs w:val="0"/>
          <w:sz w:val="24"/>
          <w:szCs w:val="24"/>
        </w:rPr>
        <w:t>1</w:t>
      </w:r>
      <w:r>
        <w:rPr>
          <w:rFonts w:ascii="幼圆" w:eastAsia="幼圆" w:hAnsi="幼圆" w:cs="幼圆" w:hint="eastAsia"/>
          <w:b w:val="0"/>
          <w:bCs w:val="0"/>
          <w:sz w:val="24"/>
          <w:szCs w:val="24"/>
        </w:rPr>
        <w:t xml:space="preserve">.2.2 </w:t>
      </w:r>
      <w:r>
        <w:rPr>
          <w:rFonts w:ascii="幼圆" w:eastAsia="幼圆" w:hAnsi="幼圆" w:cs="幼圆" w:hint="eastAsia"/>
          <w:b w:val="0"/>
          <w:bCs w:val="0"/>
          <w:sz w:val="24"/>
          <w:szCs w:val="24"/>
        </w:rPr>
        <w:t>研究意义</w:t>
      </w:r>
      <w:bookmarkEnd w:id="15"/>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本文研究的理论意义在于强调新媒体营销对于酒店发展的重要性，以及从问卷调查的结果中所反映出来的有关影响消费者入住意愿的问题，表明了新媒体的发展对酒店业产生的各方面影响。</w:t>
      </w:r>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sectPr>
          <w:headerReference w:type="default" r:id="rId15"/>
          <w:footerReference w:type="default" r:id="rId16"/>
          <w:footnotePr>
            <w:numFmt w:val="decimalEnclosedCircleChinese"/>
          </w:footnotePr>
          <w:type w:val="nextPage"/>
          <w:pgSz w:w="11906" w:h="16838"/>
          <w:pgMar w:top="1440" w:right="1800" w:bottom="1440" w:left="1800" w:header="720" w:footer="720" w:gutter="0"/>
          <w:pgNumType w:start="4"/>
          <w:cols w:num="1" w:space="425"/>
          <w:titlePg w:val="0"/>
          <w:docGrid w:type="lines" w:linePitch="312" w:charSpace="0"/>
        </w:sectPr>
      </w:pPr>
      <w:r>
        <w:rPr>
          <w:rFonts w:ascii="幼圆" w:eastAsia="幼圆" w:hAnsi="幼圆" w:cs="幼圆" w:hint="eastAsia"/>
          <w:bCs/>
          <w:color w:val="000000" w:themeColor="text1"/>
          <w:szCs w:val="21"/>
          <w14:textFill>
            <w14:solidFill>
              <w14:schemeClr w14:val="tx1"/>
            </w14:solidFill>
          </w14:textFill>
        </w:rPr>
        <w:t>本文研究的实际意义在于使上海高星级酒店认识到以网络媒体为主体的新媒体营销在未来的发展中必将成为主流的营销趋势，抓住新媒体营销才能提高酒店的竞争力，从而提升消费者入住率，并使社会了解到新媒体的发展对于当今互联网时代的必要性，抓住这个契机对酒店业的发展有很大的作用。</w:t>
      </w:r>
    </w:p>
    <w:p>
      <w:pPr>
        <w:pStyle w:val="Heading2"/>
        <w:spacing w:line="400" w:lineRule="exact"/>
        <w:rPr>
          <w:rFonts w:ascii="幼圆" w:eastAsia="幼圆" w:hAnsi="幼圆" w:cs="幼圆" w:hint="eastAsia"/>
          <w:b w:val="0"/>
          <w:bCs w:val="0"/>
          <w:sz w:val="28"/>
          <w:szCs w:val="28"/>
        </w:rPr>
      </w:pPr>
      <w:bookmarkStart w:id="16" w:name="_Toc71618122"/>
      <w:r>
        <w:rPr>
          <w:rFonts w:ascii="幼圆" w:eastAsia="幼圆" w:hAnsi="幼圆" w:cs="幼圆" w:hint="eastAsia"/>
          <w:b w:val="0"/>
          <w:bCs w:val="0"/>
          <w:sz w:val="28"/>
          <w:szCs w:val="28"/>
        </w:rPr>
        <w:t>1</w:t>
      </w:r>
      <w:r>
        <w:rPr>
          <w:rFonts w:ascii="幼圆" w:eastAsia="幼圆" w:hAnsi="幼圆" w:cs="幼圆" w:hint="eastAsia"/>
          <w:b w:val="0"/>
          <w:bCs w:val="0"/>
          <w:sz w:val="28"/>
          <w:szCs w:val="28"/>
        </w:rPr>
        <w:t xml:space="preserve">.3 </w:t>
      </w:r>
      <w:r>
        <w:rPr>
          <w:rFonts w:ascii="幼圆" w:eastAsia="幼圆" w:hAnsi="幼圆" w:cs="幼圆" w:hint="eastAsia"/>
          <w:b w:val="0"/>
          <w:bCs w:val="0"/>
          <w:sz w:val="28"/>
          <w:szCs w:val="28"/>
        </w:rPr>
        <w:t>研究方法</w:t>
      </w:r>
      <w:bookmarkEnd w:id="16"/>
    </w:p>
    <w:p>
      <w:pPr>
        <w:pStyle w:val="Heading3"/>
        <w:spacing w:line="400" w:lineRule="exact"/>
        <w:rPr>
          <w:rFonts w:ascii="幼圆" w:eastAsia="幼圆" w:hAnsi="幼圆" w:cs="幼圆" w:hint="eastAsia"/>
          <w:b w:val="0"/>
          <w:bCs w:val="0"/>
          <w:sz w:val="24"/>
          <w:szCs w:val="24"/>
        </w:rPr>
      </w:pPr>
      <w:bookmarkStart w:id="17" w:name="_Toc71618123"/>
      <w:r>
        <w:rPr>
          <w:rFonts w:ascii="幼圆" w:eastAsia="幼圆" w:hAnsi="幼圆" w:cs="幼圆" w:hint="eastAsia"/>
          <w:b w:val="0"/>
          <w:bCs w:val="0"/>
          <w:sz w:val="24"/>
          <w:szCs w:val="24"/>
        </w:rPr>
        <w:t>1</w:t>
      </w:r>
      <w:r>
        <w:rPr>
          <w:rFonts w:ascii="幼圆" w:eastAsia="幼圆" w:hAnsi="幼圆" w:cs="幼圆" w:hint="eastAsia"/>
          <w:b w:val="0"/>
          <w:bCs w:val="0"/>
          <w:sz w:val="24"/>
          <w:szCs w:val="24"/>
        </w:rPr>
        <w:t xml:space="preserve">.3.1 </w:t>
      </w:r>
      <w:r>
        <w:rPr>
          <w:rFonts w:ascii="幼圆" w:eastAsia="幼圆" w:hAnsi="幼圆" w:cs="幼圆" w:hint="eastAsia"/>
          <w:b w:val="0"/>
          <w:bCs w:val="0"/>
          <w:sz w:val="24"/>
          <w:szCs w:val="24"/>
        </w:rPr>
        <w:t>文献分析法</w:t>
      </w:r>
      <w:bookmarkEnd w:id="17"/>
    </w:p>
    <w:p>
      <w:pPr>
        <w:spacing w:line="400" w:lineRule="exact"/>
        <w:ind w:firstLine="420" w:firstLineChars="200"/>
        <w:rPr>
          <w:rFonts w:ascii="幼圆" w:eastAsia="幼圆" w:hAnsi="幼圆" w:cs="幼圆" w:hint="eastAsia"/>
          <w:color w:val="000000" w:themeColor="text1"/>
          <w:szCs w:val="21"/>
          <w14:textFill>
            <w14:solidFill>
              <w14:schemeClr w14:val="tx1"/>
            </w14:solidFill>
          </w14:textFill>
        </w:rPr>
      </w:pPr>
      <w:r>
        <w:rPr>
          <w:rFonts w:ascii="幼圆" w:eastAsia="幼圆" w:hAnsi="幼圆" w:cs="幼圆" w:hint="eastAsia"/>
          <w:color w:val="000000" w:themeColor="text1"/>
          <w:szCs w:val="21"/>
          <w14:textFill>
            <w14:solidFill>
              <w14:schemeClr w14:val="tx1"/>
            </w14:solidFill>
          </w14:textFill>
        </w:rPr>
        <w:t>本文在研究过程中通过在知网、万方等数据库中大量查阅了有关资料，为本文的研究奠定了坚实的基础，最后经过认真分析，理清新媒体销售营销策略的研究脉络并结合上海高星级酒店实际情况分析。</w:t>
      </w:r>
    </w:p>
    <w:p>
      <w:pPr>
        <w:pStyle w:val="Heading3"/>
        <w:spacing w:line="400" w:lineRule="exact"/>
        <w:rPr>
          <w:rFonts w:ascii="幼圆" w:eastAsia="幼圆" w:hAnsi="幼圆" w:cs="幼圆" w:hint="eastAsia"/>
          <w:b w:val="0"/>
          <w:bCs w:val="0"/>
          <w:sz w:val="24"/>
          <w:szCs w:val="24"/>
        </w:rPr>
      </w:pPr>
      <w:bookmarkStart w:id="18" w:name="_Toc71618124"/>
      <w:r>
        <w:rPr>
          <w:rFonts w:ascii="幼圆" w:eastAsia="幼圆" w:hAnsi="幼圆" w:cs="幼圆" w:hint="eastAsia"/>
          <w:b w:val="0"/>
          <w:bCs w:val="0"/>
          <w:sz w:val="24"/>
          <w:szCs w:val="24"/>
        </w:rPr>
        <w:t>1</w:t>
      </w:r>
      <w:r>
        <w:rPr>
          <w:rFonts w:ascii="幼圆" w:eastAsia="幼圆" w:hAnsi="幼圆" w:cs="幼圆" w:hint="eastAsia"/>
          <w:b w:val="0"/>
          <w:bCs w:val="0"/>
          <w:sz w:val="24"/>
          <w:szCs w:val="24"/>
        </w:rPr>
        <w:t xml:space="preserve">.3.2 </w:t>
      </w:r>
      <w:r>
        <w:rPr>
          <w:rFonts w:ascii="幼圆" w:eastAsia="幼圆" w:hAnsi="幼圆" w:cs="幼圆" w:hint="eastAsia"/>
          <w:b w:val="0"/>
          <w:bCs w:val="0"/>
          <w:sz w:val="24"/>
          <w:szCs w:val="24"/>
        </w:rPr>
        <w:t>问卷调查法</w:t>
      </w:r>
      <w:bookmarkEnd w:id="18"/>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本文在“新媒体营销”的理论研究基础上，设计了《基于消费者视角下的上海新媒体营销成效分析问卷》。这个问卷分成三个部分：第一部分内容为调查对象的基本信息，即有关样本的人口统计特征的问题，如：年龄、性别、职业、月收入等；第二部分内容主要针对调查对象的酒店预订渠道、入住酒店的因素等等进行调查；第三部分内容则是通过1</w:t>
      </w:r>
      <w:r>
        <w:rPr>
          <w:rFonts w:ascii="幼圆" w:eastAsia="幼圆" w:hAnsi="幼圆" w:cs="幼圆" w:hint="eastAsia"/>
          <w:bCs/>
          <w:color w:val="000000" w:themeColor="text1"/>
          <w:szCs w:val="21"/>
          <w14:textFill>
            <w14:solidFill>
              <w14:schemeClr w14:val="tx1"/>
            </w14:solidFill>
          </w14:textFill>
        </w:rPr>
        <w:t>0</w:t>
      </w:r>
      <w:r>
        <w:rPr>
          <w:rFonts w:ascii="幼圆" w:eastAsia="幼圆" w:hAnsi="幼圆" w:cs="幼圆" w:hint="eastAsia"/>
          <w:bCs/>
          <w:color w:val="000000" w:themeColor="text1"/>
          <w:szCs w:val="21"/>
          <w14:textFill>
            <w14:solidFill>
              <w14:schemeClr w14:val="tx1"/>
            </w14:solidFill>
          </w14:textFill>
        </w:rPr>
        <w:t>道题围绕新媒体对调查对象入住酒店的影响进行展开，以单项、多项选择的客观方式进行研究。</w:t>
      </w:r>
    </w:p>
    <w:p>
      <w:pPr>
        <w:pStyle w:val="Heading1"/>
        <w:spacing w:line="400" w:lineRule="exact"/>
        <w:ind w:left="563"/>
        <w:jc w:val="center"/>
        <w:rPr>
          <w:rFonts w:ascii="幼圆" w:eastAsia="幼圆" w:hAnsi="幼圆" w:cs="幼圆" w:hint="eastAsia"/>
        </w:rPr>
      </w:pPr>
      <w:bookmarkStart w:id="19" w:name="_Toc71618125"/>
      <w:r>
        <w:rPr>
          <w:rFonts w:ascii="幼圆" w:eastAsia="幼圆" w:hAnsi="幼圆" w:cs="幼圆" w:hint="eastAsia"/>
          <w:b w:val="0"/>
          <w:bCs w:val="0"/>
          <w:sz w:val="32"/>
          <w:szCs w:val="32"/>
        </w:rPr>
        <w:t>第二章 相关概念与文献综述</w:t>
      </w:r>
      <w:bookmarkEnd w:id="19"/>
    </w:p>
    <w:p>
      <w:pPr>
        <w:pStyle w:val="Heading2"/>
        <w:spacing w:line="400" w:lineRule="exact"/>
        <w:rPr>
          <w:rFonts w:ascii="幼圆" w:eastAsia="幼圆" w:hAnsi="幼圆" w:cs="幼圆" w:hint="eastAsia"/>
          <w:b w:val="0"/>
          <w:bCs w:val="0"/>
          <w:sz w:val="28"/>
          <w:szCs w:val="28"/>
        </w:rPr>
      </w:pPr>
      <w:bookmarkStart w:id="20" w:name="_Toc71618126"/>
      <w:r>
        <w:rPr>
          <w:rFonts w:ascii="幼圆" w:eastAsia="幼圆" w:hAnsi="幼圆" w:cs="幼圆" w:hint="eastAsia"/>
          <w:b w:val="0"/>
          <w:bCs w:val="0"/>
          <w:sz w:val="28"/>
          <w:szCs w:val="28"/>
        </w:rPr>
        <w:t>2</w:t>
      </w:r>
      <w:r>
        <w:rPr>
          <w:rFonts w:ascii="幼圆" w:eastAsia="幼圆" w:hAnsi="幼圆" w:cs="幼圆" w:hint="eastAsia"/>
          <w:b w:val="0"/>
          <w:bCs w:val="0"/>
          <w:sz w:val="28"/>
          <w:szCs w:val="28"/>
        </w:rPr>
        <w:t xml:space="preserve">.1 </w:t>
      </w:r>
      <w:r>
        <w:rPr>
          <w:rFonts w:ascii="幼圆" w:eastAsia="幼圆" w:hAnsi="幼圆" w:cs="幼圆" w:hint="eastAsia"/>
          <w:b w:val="0"/>
          <w:bCs w:val="0"/>
          <w:sz w:val="28"/>
          <w:szCs w:val="28"/>
        </w:rPr>
        <w:t>相关概念</w:t>
      </w:r>
      <w:bookmarkEnd w:id="20"/>
    </w:p>
    <w:p>
      <w:pPr>
        <w:pStyle w:val="Heading3"/>
        <w:spacing w:line="400" w:lineRule="exact"/>
        <w:rPr>
          <w:rFonts w:ascii="幼圆" w:eastAsia="幼圆" w:hAnsi="幼圆" w:cs="幼圆" w:hint="eastAsia"/>
          <w:b w:val="0"/>
          <w:bCs w:val="0"/>
          <w:sz w:val="24"/>
          <w:szCs w:val="24"/>
        </w:rPr>
      </w:pPr>
      <w:bookmarkStart w:id="21" w:name="_Toc71618127"/>
      <w:r>
        <w:rPr>
          <w:rFonts w:ascii="幼圆" w:eastAsia="幼圆" w:hAnsi="幼圆" w:cs="幼圆" w:hint="eastAsia"/>
          <w:b w:val="0"/>
          <w:bCs w:val="0"/>
          <w:sz w:val="24"/>
          <w:szCs w:val="24"/>
        </w:rPr>
        <w:t>2</w:t>
      </w:r>
      <w:r>
        <w:rPr>
          <w:rFonts w:ascii="幼圆" w:eastAsia="幼圆" w:hAnsi="幼圆" w:cs="幼圆" w:hint="eastAsia"/>
          <w:b w:val="0"/>
          <w:bCs w:val="0"/>
          <w:sz w:val="24"/>
          <w:szCs w:val="24"/>
        </w:rPr>
        <w:t xml:space="preserve">.1.1 </w:t>
      </w:r>
      <w:r>
        <w:rPr>
          <w:rFonts w:ascii="幼圆" w:eastAsia="幼圆" w:hAnsi="幼圆" w:cs="幼圆" w:hint="eastAsia"/>
          <w:b w:val="0"/>
          <w:bCs w:val="0"/>
          <w:sz w:val="24"/>
          <w:szCs w:val="24"/>
        </w:rPr>
        <w:t>高星级酒店</w:t>
      </w:r>
      <w:bookmarkEnd w:id="21"/>
    </w:p>
    <w:p>
      <w:pPr>
        <w:pStyle w:val="CommentText"/>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根据我国《旅游饭店星级的划分与评定》（GB/T 14308-2010），将酒店等级由低到高依次划分为一星级酒店、二星级酒店、三星级酒店、四星级酒店、五星级酒店</w:t>
      </w:r>
      <w:r>
        <w:rPr>
          <w:rStyle w:val="FootnoteReference"/>
          <w:rFonts w:ascii="幼圆" w:eastAsia="幼圆" w:hAnsi="幼圆" w:cs="幼圆" w:hint="eastAsia"/>
          <w:bCs/>
          <w:color w:val="000000" w:themeColor="text1"/>
          <w:szCs w:val="21"/>
          <w14:textFill>
            <w14:solidFill>
              <w14:schemeClr w14:val="tx1"/>
            </w14:solidFill>
          </w14:textFill>
        </w:rPr>
        <w:footnoteReference w:id="3"/>
      </w:r>
      <w:r>
        <w:rPr>
          <w:rFonts w:ascii="幼圆" w:eastAsia="幼圆" w:hAnsi="幼圆" w:cs="幼圆" w:hint="eastAsia"/>
          <w:bCs/>
          <w:color w:val="000000" w:themeColor="text1"/>
          <w:szCs w:val="21"/>
          <w14:textFill>
            <w14:solidFill>
              <w14:schemeClr w14:val="tx1"/>
            </w14:solidFill>
          </w14:textFill>
        </w:rPr>
        <w:t>。</w:t>
      </w:r>
    </w:p>
    <w:p>
      <w:pPr>
        <w:pStyle w:val="CommentText"/>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本文中提到的高星级酒店全为设备完善、服务尚好，达到国家四星级以上标准的酒店。</w:t>
      </w:r>
    </w:p>
    <w:p>
      <w:pPr>
        <w:pStyle w:val="Heading3"/>
        <w:spacing w:line="400" w:lineRule="exact"/>
        <w:rPr>
          <w:rFonts w:ascii="幼圆" w:eastAsia="幼圆" w:hAnsi="幼圆" w:cs="幼圆" w:hint="eastAsia"/>
          <w:b w:val="0"/>
          <w:bCs w:val="0"/>
          <w:sz w:val="24"/>
          <w:szCs w:val="24"/>
        </w:rPr>
      </w:pPr>
      <w:bookmarkStart w:id="22" w:name="_Toc71618128"/>
      <w:r>
        <w:rPr>
          <w:rFonts w:ascii="幼圆" w:eastAsia="幼圆" w:hAnsi="幼圆" w:cs="幼圆" w:hint="eastAsia"/>
          <w:b w:val="0"/>
          <w:bCs w:val="0"/>
          <w:sz w:val="24"/>
          <w:szCs w:val="24"/>
        </w:rPr>
        <w:t>2</w:t>
      </w:r>
      <w:r>
        <w:rPr>
          <w:rFonts w:ascii="幼圆" w:eastAsia="幼圆" w:hAnsi="幼圆" w:cs="幼圆" w:hint="eastAsia"/>
          <w:b w:val="0"/>
          <w:bCs w:val="0"/>
          <w:sz w:val="24"/>
          <w:szCs w:val="24"/>
        </w:rPr>
        <w:t xml:space="preserve">.1.2 </w:t>
      </w:r>
      <w:r>
        <w:rPr>
          <w:rFonts w:ascii="幼圆" w:eastAsia="幼圆" w:hAnsi="幼圆" w:cs="幼圆" w:hint="eastAsia"/>
          <w:b w:val="0"/>
          <w:bCs w:val="0"/>
          <w:sz w:val="24"/>
          <w:szCs w:val="24"/>
        </w:rPr>
        <w:t>新媒体营销</w:t>
      </w:r>
      <w:bookmarkEnd w:id="22"/>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sectPr>
          <w:headerReference w:type="default" r:id="rId17"/>
          <w:footerReference w:type="default" r:id="rId18"/>
          <w:footnotePr>
            <w:numFmt w:val="decimalEnclosedCircleChinese"/>
          </w:footnotePr>
          <w:type w:val="nextPage"/>
          <w:pgSz w:w="11906" w:h="16838"/>
          <w:pgMar w:top="1440" w:right="1800" w:bottom="1440" w:left="1800" w:header="720" w:footer="720" w:gutter="0"/>
          <w:pgNumType w:start="5"/>
          <w:cols w:num="1" w:space="425"/>
          <w:titlePg w:val="0"/>
          <w:docGrid w:type="lines" w:linePitch="312" w:charSpace="0"/>
        </w:sectPr>
      </w:pPr>
      <w:r>
        <w:rPr>
          <w:rFonts w:ascii="幼圆" w:eastAsia="幼圆" w:hAnsi="幼圆" w:cs="幼圆" w:hint="eastAsia"/>
          <w:bCs/>
          <w:color w:val="000000" w:themeColor="text1"/>
          <w:szCs w:val="21"/>
          <w14:textFill>
            <w14:solidFill>
              <w14:schemeClr w14:val="tx1"/>
            </w14:solidFill>
          </w14:textFill>
        </w:rPr>
        <w:t>新媒体指是一种基于信息和科技发展之下的媒体形态的变革</w:t>
      </w:r>
      <w:r>
        <w:rPr>
          <w:rStyle w:val="FootnoteReference"/>
          <w:rFonts w:ascii="幼圆" w:eastAsia="幼圆" w:hAnsi="幼圆" w:cs="幼圆" w:hint="eastAsia"/>
          <w:bCs/>
          <w:color w:val="000000" w:themeColor="text1"/>
          <w:szCs w:val="21"/>
          <w14:textFill>
            <w14:solidFill>
              <w14:schemeClr w14:val="tx1"/>
            </w14:solidFill>
          </w14:textFill>
        </w:rPr>
        <w:footnoteReference w:id="4"/>
      </w:r>
      <w:r>
        <w:rPr>
          <w:rFonts w:ascii="幼圆" w:eastAsia="幼圆" w:hAnsi="幼圆" w:cs="幼圆" w:hint="eastAsia"/>
          <w:bCs/>
          <w:color w:val="000000" w:themeColor="text1"/>
          <w:szCs w:val="21"/>
          <w14:textFill>
            <w14:solidFill>
              <w14:schemeClr w14:val="tx1"/>
            </w14:solidFill>
          </w14:textFill>
        </w:rPr>
        <w:t>。如今的新媒体主要指的是基于互联网而出现的不同app等媒体应用形式</w:t>
      </w:r>
      <w:r>
        <w:rPr>
          <w:rStyle w:val="FootnoteReference"/>
          <w:rFonts w:ascii="幼圆" w:eastAsia="幼圆" w:hAnsi="幼圆" w:cs="幼圆" w:hint="eastAsia"/>
          <w:bCs/>
          <w:color w:val="000000" w:themeColor="text1"/>
          <w:szCs w:val="21"/>
          <w14:textFill>
            <w14:solidFill>
              <w14:schemeClr w14:val="tx1"/>
            </w14:solidFill>
          </w14:textFill>
        </w:rPr>
        <w:footnoteReference w:id="5"/>
      </w:r>
      <w:r>
        <w:rPr>
          <w:rFonts w:ascii="幼圆" w:eastAsia="幼圆" w:hAnsi="幼圆" w:cs="幼圆" w:hint="eastAsia"/>
          <w:bCs/>
          <w:color w:val="000000" w:themeColor="text1"/>
          <w:szCs w:val="21"/>
          <w14:textFill>
            <w14:solidFill>
              <w14:schemeClr w14:val="tx1"/>
            </w14:solidFill>
          </w14:textFill>
        </w:rPr>
        <w:t>，如今的电脑、手机等也成为了新媒体的载体。新媒体使出现了更多的营销手段，同时营销形式也日渐丰富，营销策略也更加符合消费者的个性化需求，企业进行营销方式更新的时间也越来越短。</w:t>
      </w:r>
    </w:p>
    <w:p>
      <w:pPr>
        <w:widowControl/>
        <w:shd w:val="clear" w:color="auto" w:fill="FFFFFF"/>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新媒体营销，是指通过对企业的品牌宣传、公共关系、产品促销的一系列营销活动</w:t>
      </w:r>
      <w:r>
        <w:rPr>
          <w:rStyle w:val="FootnoteReference"/>
          <w:rFonts w:ascii="幼圆" w:eastAsia="幼圆" w:hAnsi="幼圆" w:cs="幼圆" w:hint="eastAsia"/>
          <w:bCs/>
          <w:color w:val="000000" w:themeColor="text1"/>
          <w:szCs w:val="21"/>
          <w14:textFill>
            <w14:solidFill>
              <w14:schemeClr w14:val="tx1"/>
            </w14:solidFill>
          </w14:textFill>
        </w:rPr>
        <w:footnoteReference w:id="6"/>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新媒体营销和传统媒体营销</w:t>
      </w:r>
      <w:r>
        <w:rPr>
          <w:rFonts w:ascii="幼圆" w:eastAsia="幼圆" w:hAnsi="幼圆" w:cs="幼圆" w:hint="eastAsia"/>
          <w:bCs/>
          <w:color w:val="000000" w:themeColor="text1"/>
          <w:szCs w:val="21"/>
          <w14:textFill>
            <w14:solidFill>
              <w14:schemeClr w14:val="tx1"/>
            </w14:solidFill>
          </w14:textFill>
        </w:rPr>
        <w:t>都旨在</w:t>
      </w:r>
      <w:r>
        <w:rPr>
          <w:rFonts w:ascii="幼圆" w:eastAsia="幼圆" w:hAnsi="幼圆" w:cs="幼圆" w:hint="eastAsia"/>
          <w:bCs/>
          <w:color w:val="000000" w:themeColor="text1"/>
          <w:szCs w:val="21"/>
          <w14:textFill>
            <w14:solidFill>
              <w14:schemeClr w14:val="tx1"/>
            </w14:solidFill>
          </w14:textFill>
        </w:rPr>
        <w:t>实现社会效益和经济效益。但是新媒体营销的形式、做法和广度大大超越了传统媒体营销，这是由于智能手机等移动终端设备迅速普及，性能不断提高，人们的通信、社交、学习、娱乐等生活方式发生了翻天覆地的变化，每个人随时随地都是信息的接受者，而且如果你愿意，每个人随时随地也是信息的发起者和传播者。</w:t>
      </w:r>
    </w:p>
    <w:p>
      <w:pPr>
        <w:pStyle w:val="Heading3"/>
        <w:spacing w:line="400" w:lineRule="exact"/>
        <w:rPr>
          <w:rFonts w:ascii="幼圆" w:eastAsia="幼圆" w:hAnsi="幼圆" w:cs="幼圆" w:hint="eastAsia"/>
          <w:b w:val="0"/>
          <w:bCs w:val="0"/>
          <w:sz w:val="24"/>
          <w:szCs w:val="24"/>
        </w:rPr>
      </w:pPr>
      <w:bookmarkStart w:id="23" w:name="_Toc71618129"/>
      <w:r>
        <w:rPr>
          <w:rFonts w:ascii="幼圆" w:eastAsia="幼圆" w:hAnsi="幼圆" w:cs="幼圆" w:hint="eastAsia"/>
          <w:b w:val="0"/>
          <w:bCs w:val="0"/>
          <w:sz w:val="24"/>
          <w:szCs w:val="24"/>
        </w:rPr>
        <w:t>2</w:t>
      </w:r>
      <w:r>
        <w:rPr>
          <w:rFonts w:ascii="幼圆" w:eastAsia="幼圆" w:hAnsi="幼圆" w:cs="幼圆" w:hint="eastAsia"/>
          <w:b w:val="0"/>
          <w:bCs w:val="0"/>
          <w:sz w:val="24"/>
          <w:szCs w:val="24"/>
        </w:rPr>
        <w:t xml:space="preserve">.1.3 </w:t>
      </w:r>
      <w:r>
        <w:rPr>
          <w:rFonts w:ascii="幼圆" w:eastAsia="幼圆" w:hAnsi="幼圆" w:cs="幼圆" w:hint="eastAsia"/>
          <w:b w:val="0"/>
          <w:bCs w:val="0"/>
          <w:sz w:val="24"/>
          <w:szCs w:val="24"/>
        </w:rPr>
        <w:t>传统营销</w:t>
      </w:r>
      <w:bookmarkEnd w:id="23"/>
    </w:p>
    <w:p>
      <w:pPr>
        <w:widowControl/>
        <w:shd w:val="clear" w:color="auto" w:fill="FFFFFF"/>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传统营销是一种交易性的营销</w:t>
      </w:r>
      <w:r>
        <w:rPr>
          <w:rStyle w:val="FootnoteReference"/>
          <w:rFonts w:ascii="幼圆" w:eastAsia="幼圆" w:hAnsi="幼圆" w:cs="幼圆" w:hint="eastAsia"/>
          <w:bCs/>
          <w:color w:val="000000" w:themeColor="text1"/>
          <w:szCs w:val="21"/>
          <w14:textFill>
            <w14:solidFill>
              <w14:schemeClr w14:val="tx1"/>
            </w14:solidFill>
          </w14:textFill>
        </w:rPr>
        <w:footnoteReference w:id="7"/>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传统的营销模式在我国是一种长期存在的营销模式，我国居民可以通过非常简单的购买方法实现价格的商议，通过实际商品之间的对比，可以选择品质质量更好的产品</w:t>
      </w:r>
      <w:r>
        <w:rPr>
          <w:rStyle w:val="FootnoteReference"/>
          <w:rFonts w:ascii="幼圆" w:eastAsia="幼圆" w:hAnsi="幼圆" w:cs="幼圆" w:hint="eastAsia"/>
          <w:bCs/>
          <w:color w:val="000000" w:themeColor="text1"/>
          <w:szCs w:val="21"/>
          <w14:textFill>
            <w14:solidFill>
              <w14:schemeClr w14:val="tx1"/>
            </w14:solidFill>
          </w14:textFill>
        </w:rPr>
        <w:footnoteReference w:id="8"/>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传统营销</w:t>
      </w:r>
      <w:r>
        <w:rPr>
          <w:rFonts w:ascii="幼圆" w:eastAsia="幼圆" w:hAnsi="幼圆" w:cs="幼圆" w:hint="eastAsia"/>
          <w:bCs/>
          <w:color w:val="000000" w:themeColor="text1"/>
          <w:szCs w:val="21"/>
          <w14:textFill>
            <w14:solidFill>
              <w14:schemeClr w14:val="tx1"/>
            </w14:solidFill>
          </w14:textFill>
        </w:rPr>
        <w:t>主要建立在传统的传播渠道和交易渠道的基础上，它虽然在一定程度上推动了营销渠道的发展，但是随着时代的进步与发展，传统营销渠道也产生了越来越多的隐患</w:t>
      </w:r>
      <w:r>
        <w:rPr>
          <w:rFonts w:ascii="幼圆" w:eastAsia="幼圆" w:hAnsi="幼圆" w:cs="幼圆" w:hint="eastAsia"/>
          <w:bCs/>
          <w:color w:val="000000" w:themeColor="text1"/>
          <w:szCs w:val="21"/>
          <w:vertAlign w:val="superscript"/>
          <w14:textFill>
            <w14:solidFill>
              <w14:schemeClr w14:val="tx1"/>
            </w14:solidFill>
          </w14:textFill>
        </w:rPr>
        <w:t>[</w:t>
      </w:r>
      <w:r>
        <w:rPr>
          <w:rFonts w:ascii="幼圆" w:eastAsia="幼圆" w:hAnsi="幼圆" w:cs="幼圆" w:hint="eastAsia"/>
          <w:bCs/>
          <w:color w:val="000000" w:themeColor="text1"/>
          <w:szCs w:val="21"/>
          <w:vertAlign w:val="superscript"/>
          <w14:textFill>
            <w14:solidFill>
              <w14:schemeClr w14:val="tx1"/>
            </w14:solidFill>
          </w14:textFill>
        </w:rPr>
        <w:t>12]</w:t>
      </w:r>
      <w:r>
        <w:rPr>
          <w:rFonts w:ascii="幼圆" w:eastAsia="幼圆" w:hAnsi="幼圆" w:cs="幼圆" w:hint="eastAsia"/>
          <w:bCs/>
          <w:color w:val="000000" w:themeColor="text1"/>
          <w:szCs w:val="21"/>
          <w14:textFill>
            <w14:solidFill>
              <w14:schemeClr w14:val="tx1"/>
            </w14:solidFill>
          </w14:textFill>
        </w:rPr>
        <w:t>。</w:t>
      </w:r>
    </w:p>
    <w:p>
      <w:pPr>
        <w:pStyle w:val="Heading2"/>
        <w:spacing w:line="400" w:lineRule="exact"/>
        <w:rPr>
          <w:rFonts w:ascii="幼圆" w:eastAsia="幼圆" w:hAnsi="幼圆" w:cs="幼圆" w:hint="eastAsia"/>
          <w:b w:val="0"/>
          <w:bCs w:val="0"/>
          <w:sz w:val="28"/>
          <w:szCs w:val="28"/>
        </w:rPr>
      </w:pPr>
      <w:bookmarkStart w:id="24" w:name="_Toc71618130"/>
      <w:r>
        <w:rPr>
          <w:rFonts w:ascii="幼圆" w:eastAsia="幼圆" w:hAnsi="幼圆" w:cs="幼圆" w:hint="eastAsia"/>
          <w:b w:val="0"/>
          <w:bCs w:val="0"/>
          <w:sz w:val="28"/>
          <w:szCs w:val="28"/>
        </w:rPr>
        <w:t>2</w:t>
      </w:r>
      <w:r>
        <w:rPr>
          <w:rFonts w:ascii="幼圆" w:eastAsia="幼圆" w:hAnsi="幼圆" w:cs="幼圆" w:hint="eastAsia"/>
          <w:b w:val="0"/>
          <w:bCs w:val="0"/>
          <w:sz w:val="28"/>
          <w:szCs w:val="28"/>
        </w:rPr>
        <w:t xml:space="preserve">.2 </w:t>
      </w:r>
      <w:r>
        <w:rPr>
          <w:rFonts w:ascii="幼圆" w:eastAsia="幼圆" w:hAnsi="幼圆" w:cs="幼圆" w:hint="eastAsia"/>
          <w:b w:val="0"/>
          <w:bCs w:val="0"/>
          <w:sz w:val="28"/>
          <w:szCs w:val="28"/>
        </w:rPr>
        <w:t>文献综述</w:t>
      </w:r>
      <w:bookmarkEnd w:id="24"/>
    </w:p>
    <w:p>
      <w:pPr>
        <w:pStyle w:val="Heading3"/>
        <w:spacing w:line="400" w:lineRule="exact"/>
        <w:rPr>
          <w:rFonts w:ascii="幼圆" w:eastAsia="幼圆" w:hAnsi="幼圆" w:cs="幼圆" w:hint="eastAsia"/>
          <w:b w:val="0"/>
          <w:bCs w:val="0"/>
          <w:sz w:val="24"/>
          <w:szCs w:val="24"/>
        </w:rPr>
      </w:pPr>
      <w:bookmarkStart w:id="25" w:name="_Toc71618131"/>
      <w:r>
        <w:rPr>
          <w:rFonts w:ascii="幼圆" w:eastAsia="幼圆" w:hAnsi="幼圆" w:cs="幼圆" w:hint="eastAsia"/>
          <w:b w:val="0"/>
          <w:bCs w:val="0"/>
          <w:sz w:val="24"/>
          <w:szCs w:val="24"/>
        </w:rPr>
        <w:t>2</w:t>
      </w:r>
      <w:r>
        <w:rPr>
          <w:rFonts w:ascii="幼圆" w:eastAsia="幼圆" w:hAnsi="幼圆" w:cs="幼圆" w:hint="eastAsia"/>
          <w:b w:val="0"/>
          <w:bCs w:val="0"/>
          <w:sz w:val="24"/>
          <w:szCs w:val="24"/>
        </w:rPr>
        <w:t xml:space="preserve">.2.1 </w:t>
      </w:r>
      <w:r>
        <w:rPr>
          <w:rFonts w:ascii="幼圆" w:eastAsia="幼圆" w:hAnsi="幼圆" w:cs="幼圆" w:hint="eastAsia"/>
          <w:b w:val="0"/>
          <w:bCs w:val="0"/>
          <w:sz w:val="24"/>
          <w:szCs w:val="24"/>
        </w:rPr>
        <w:t>国外相关文献</w:t>
      </w:r>
      <w:bookmarkEnd w:id="25"/>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互联网产生后，Philip Kotler</w:t>
      </w:r>
      <w:r>
        <w:rPr>
          <w:rFonts w:ascii="幼圆" w:eastAsia="幼圆" w:hAnsi="幼圆" w:cs="幼圆" w:hint="eastAsia"/>
          <w:bCs/>
          <w:color w:val="000000" w:themeColor="text1"/>
          <w:szCs w:val="21"/>
          <w14:textFill>
            <w14:solidFill>
              <w14:schemeClr w14:val="tx1"/>
            </w14:solidFill>
          </w14:textFill>
        </w:rPr>
        <w:t>（2</w:t>
      </w:r>
      <w:r>
        <w:rPr>
          <w:rFonts w:ascii="幼圆" w:eastAsia="幼圆" w:hAnsi="幼圆" w:cs="幼圆" w:hint="eastAsia"/>
          <w:bCs/>
          <w:color w:val="000000" w:themeColor="text1"/>
          <w:szCs w:val="21"/>
          <w14:textFill>
            <w14:solidFill>
              <w14:schemeClr w14:val="tx1"/>
            </w14:solidFill>
          </w14:textFill>
        </w:rPr>
        <w:t>007</w:t>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就明确提出，企业要保持竞争力，问题的关键不是是否接受互联网，而是如何使用网络</w:t>
      </w:r>
      <w:r>
        <w:rPr>
          <w:rFonts w:ascii="幼圆" w:eastAsia="幼圆" w:hAnsi="幼圆" w:cs="幼圆" w:hint="eastAsia"/>
          <w:bCs/>
          <w:color w:val="000000" w:themeColor="text1"/>
          <w:szCs w:val="21"/>
          <w14:textFill>
            <w14:solidFill>
              <w14:schemeClr w14:val="tx1"/>
            </w14:solidFill>
          </w14:textFill>
        </w:rPr>
        <w:t>技术</w:t>
      </w:r>
      <w:r>
        <w:rPr>
          <w:rStyle w:val="FootnoteReference"/>
          <w:rFonts w:ascii="幼圆" w:eastAsia="幼圆" w:hAnsi="幼圆" w:cs="幼圆" w:hint="eastAsia"/>
          <w:bCs/>
          <w:color w:val="000000" w:themeColor="text1"/>
          <w:szCs w:val="21"/>
          <w14:textFill>
            <w14:solidFill>
              <w14:schemeClr w14:val="tx1"/>
            </w14:solidFill>
          </w14:textFill>
        </w:rPr>
        <w:footnoteReference w:id="9"/>
      </w:r>
      <w:r>
        <w:rPr>
          <w:rFonts w:ascii="幼圆" w:eastAsia="幼圆" w:hAnsi="幼圆" w:cs="幼圆" w:hint="eastAsia"/>
          <w:bCs/>
          <w:color w:val="000000" w:themeColor="text1"/>
          <w:szCs w:val="21"/>
          <w14:textFill>
            <w14:solidFill>
              <w14:schemeClr w14:val="tx1"/>
            </w14:solidFill>
          </w14:textFill>
        </w:rPr>
        <w:t>。A.H.Walle</w:t>
      </w:r>
      <w:r>
        <w:rPr>
          <w:rFonts w:ascii="幼圆" w:eastAsia="幼圆" w:hAnsi="幼圆" w:cs="幼圆" w:hint="eastAsia"/>
          <w:bCs/>
          <w:color w:val="000000" w:themeColor="text1"/>
          <w:szCs w:val="21"/>
          <w14:textFill>
            <w14:solidFill>
              <w14:schemeClr w14:val="tx1"/>
            </w14:solidFill>
          </w14:textFill>
        </w:rPr>
        <w:t>（2</w:t>
      </w:r>
      <w:r>
        <w:rPr>
          <w:rFonts w:ascii="幼圆" w:eastAsia="幼圆" w:hAnsi="幼圆" w:cs="幼圆" w:hint="eastAsia"/>
          <w:bCs/>
          <w:color w:val="000000" w:themeColor="text1"/>
          <w:szCs w:val="21"/>
          <w14:textFill>
            <w14:solidFill>
              <w14:schemeClr w14:val="tx1"/>
            </w14:solidFill>
          </w14:textFill>
        </w:rPr>
        <w:t>002</w:t>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也指出，互联网营销是现代最有发展潜力的营销手段，比传统的营销手段有更大的发展空间</w:t>
      </w:r>
      <w:r>
        <w:rPr>
          <w:rStyle w:val="FootnoteReference"/>
          <w:rFonts w:ascii="幼圆" w:eastAsia="幼圆" w:hAnsi="幼圆" w:cs="幼圆" w:hint="eastAsia"/>
          <w:bCs/>
          <w:color w:val="000000" w:themeColor="text1"/>
          <w:szCs w:val="21"/>
          <w14:textFill>
            <w14:solidFill>
              <w14:schemeClr w14:val="tx1"/>
            </w14:solidFill>
          </w14:textFill>
        </w:rPr>
        <w:footnoteReference w:id="10"/>
      </w:r>
      <w:r>
        <w:rPr>
          <w:rFonts w:ascii="幼圆" w:eastAsia="幼圆" w:hAnsi="幼圆" w:cs="幼圆" w:hint="eastAsia"/>
          <w:bCs/>
          <w:color w:val="000000" w:themeColor="text1"/>
          <w:szCs w:val="21"/>
          <w14:textFill>
            <w14:solidFill>
              <w14:schemeClr w14:val="tx1"/>
            </w14:solidFill>
          </w14:textFill>
        </w:rPr>
        <w:t>。</w:t>
      </w:r>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sectPr>
          <w:headerReference w:type="default" r:id="rId19"/>
          <w:footerReference w:type="default" r:id="rId20"/>
          <w:footnotePr>
            <w:numFmt w:val="decimalEnclosedCircleChinese"/>
          </w:footnotePr>
          <w:type w:val="nextPage"/>
          <w:pgSz w:w="11906" w:h="16838"/>
          <w:pgMar w:top="1440" w:right="1800" w:bottom="1440" w:left="1800" w:header="720" w:footer="720" w:gutter="0"/>
          <w:pgNumType w:start="6"/>
          <w:cols w:num="1" w:space="425"/>
          <w:titlePg w:val="0"/>
          <w:docGrid w:type="lines" w:linePitch="312" w:charSpace="0"/>
        </w:sectPr>
      </w:pPr>
      <w:r>
        <w:rPr>
          <w:rFonts w:ascii="幼圆" w:eastAsia="幼圆" w:hAnsi="幼圆" w:cs="幼圆" w:hint="eastAsia"/>
          <w:bCs/>
          <w:color w:val="000000" w:themeColor="text1"/>
          <w:szCs w:val="21"/>
          <w14:textFill>
            <w14:solidFill>
              <w14:schemeClr w14:val="tx1"/>
            </w14:solidFill>
          </w14:textFill>
        </w:rPr>
        <w:t>Groucutt J，Hopkins C.（2015）认为随着社交媒体的迅速崛起，新兴社交平台改变了酒店产品的传统营销方式，如何将社交媒体转化为组合营销策略已经成为酒店管理者必须要思考的问题</w:t>
      </w:r>
      <w:r>
        <w:rPr>
          <w:rStyle w:val="FootnoteReference"/>
          <w:rFonts w:ascii="幼圆" w:eastAsia="幼圆" w:hAnsi="幼圆" w:cs="幼圆" w:hint="eastAsia"/>
          <w:bCs/>
          <w:color w:val="000000" w:themeColor="text1"/>
          <w:szCs w:val="21"/>
          <w14:textFill>
            <w14:solidFill>
              <w14:schemeClr w14:val="tx1"/>
            </w14:solidFill>
          </w14:textFill>
        </w:rPr>
        <w:footnoteReference w:id="11"/>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Gary S.Lynn（1999</w:t>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分析</w:t>
      </w:r>
      <w:r>
        <w:rPr>
          <w:rFonts w:ascii="幼圆" w:eastAsia="幼圆" w:hAnsi="幼圆" w:cs="幼圆" w:hint="eastAsia"/>
          <w:bCs/>
          <w:color w:val="000000" w:themeColor="text1"/>
          <w:szCs w:val="21"/>
          <w14:textFill>
            <w14:solidFill>
              <w14:schemeClr w14:val="tx1"/>
            </w14:solidFill>
          </w14:textFill>
        </w:rPr>
        <w:t>了</w:t>
      </w:r>
      <w:r>
        <w:rPr>
          <w:rFonts w:ascii="幼圆" w:eastAsia="幼圆" w:hAnsi="幼圆" w:cs="幼圆" w:hint="eastAsia"/>
          <w:bCs/>
          <w:color w:val="000000" w:themeColor="text1"/>
          <w:szCs w:val="21"/>
          <w14:textFill>
            <w14:solidFill>
              <w14:schemeClr w14:val="tx1"/>
            </w14:solidFill>
          </w14:textFill>
        </w:rPr>
        <w:t>新媒体营销的背景下不同规模的企业</w:t>
      </w:r>
      <w:r>
        <w:rPr>
          <w:rFonts w:ascii="幼圆" w:eastAsia="幼圆" w:hAnsi="幼圆" w:cs="幼圆" w:hint="eastAsia"/>
          <w:bCs/>
          <w:color w:val="000000" w:themeColor="text1"/>
          <w:szCs w:val="21"/>
          <w14:textFill>
            <w14:solidFill>
              <w14:schemeClr w14:val="tx1"/>
            </w14:solidFill>
          </w14:textFill>
        </w:rPr>
        <w:t>并发现</w:t>
      </w:r>
      <w:r>
        <w:rPr>
          <w:rFonts w:ascii="幼圆" w:eastAsia="幼圆" w:hAnsi="幼圆" w:cs="幼圆" w:hint="eastAsia"/>
          <w:bCs/>
          <w:color w:val="000000" w:themeColor="text1"/>
          <w:szCs w:val="21"/>
          <w14:textFill>
            <w14:solidFill>
              <w14:schemeClr w14:val="tx1"/>
            </w14:solidFill>
          </w14:textFill>
        </w:rPr>
        <w:t>大型企业的发展方向应该</w:t>
      </w:r>
      <w:r>
        <w:rPr>
          <w:rFonts w:ascii="幼圆" w:eastAsia="幼圆" w:hAnsi="幼圆" w:cs="幼圆" w:hint="eastAsia"/>
          <w:bCs/>
          <w:color w:val="000000" w:themeColor="text1"/>
          <w:szCs w:val="21"/>
          <w14:textFill>
            <w14:solidFill>
              <w14:schemeClr w14:val="tx1"/>
            </w14:solidFill>
          </w14:textFill>
        </w:rPr>
        <w:t>用</w:t>
      </w:r>
      <w:r>
        <w:rPr>
          <w:rFonts w:ascii="幼圆" w:eastAsia="幼圆" w:hAnsi="幼圆" w:cs="幼圆" w:hint="eastAsia"/>
          <w:bCs/>
          <w:color w:val="000000" w:themeColor="text1"/>
          <w:szCs w:val="21"/>
          <w14:textFill>
            <w14:solidFill>
              <w14:schemeClr w14:val="tx1"/>
            </w14:solidFill>
          </w14:textFill>
        </w:rPr>
        <w:t>足够的资金来促进他们的新媒体营销策略研究，小公司也可以使用低成本的新媒体</w:t>
      </w:r>
      <w:r>
        <w:rPr>
          <w:rFonts w:ascii="幼圆" w:eastAsia="幼圆" w:hAnsi="幼圆" w:cs="幼圆" w:hint="eastAsia"/>
          <w:bCs/>
          <w:color w:val="000000" w:themeColor="text1"/>
          <w:szCs w:val="21"/>
          <w14:textFill>
            <w14:solidFill>
              <w14:schemeClr w14:val="tx1"/>
            </w14:solidFill>
          </w14:textFill>
        </w:rPr>
        <w:t>来做</w:t>
      </w:r>
      <w:r>
        <w:rPr>
          <w:rFonts w:ascii="幼圆" w:eastAsia="幼圆" w:hAnsi="幼圆" w:cs="幼圆" w:hint="eastAsia"/>
          <w:bCs/>
          <w:color w:val="000000" w:themeColor="text1"/>
          <w:szCs w:val="21"/>
          <w14:textFill>
            <w14:solidFill>
              <w14:schemeClr w14:val="tx1"/>
            </w14:solidFill>
          </w14:textFill>
        </w:rPr>
        <w:t>一些市场推广，新媒体</w:t>
      </w:r>
      <w:r>
        <w:rPr>
          <w:rFonts w:ascii="幼圆" w:eastAsia="幼圆" w:hAnsi="幼圆" w:cs="幼圆" w:hint="eastAsia"/>
          <w:bCs/>
          <w:color w:val="000000" w:themeColor="text1"/>
          <w:szCs w:val="21"/>
          <w14:textFill>
            <w14:solidFill>
              <w14:schemeClr w14:val="tx1"/>
            </w14:solidFill>
          </w14:textFill>
        </w:rPr>
        <w:t>营销</w:t>
      </w:r>
      <w:r>
        <w:rPr>
          <w:rFonts w:ascii="幼圆" w:eastAsia="幼圆" w:hAnsi="幼圆" w:cs="幼圆" w:hint="eastAsia"/>
          <w:bCs/>
          <w:color w:val="000000" w:themeColor="text1"/>
          <w:szCs w:val="21"/>
          <w14:textFill>
            <w14:solidFill>
              <w14:schemeClr w14:val="tx1"/>
            </w14:solidFill>
          </w14:textFill>
        </w:rPr>
        <w:t>为不同规模的企业</w:t>
      </w:r>
      <w:r>
        <w:rPr>
          <w:rFonts w:ascii="幼圆" w:eastAsia="幼圆" w:hAnsi="幼圆" w:cs="幼圆" w:hint="eastAsia"/>
          <w:bCs/>
          <w:color w:val="000000" w:themeColor="text1"/>
          <w:szCs w:val="21"/>
          <w14:textFill>
            <w14:solidFill>
              <w14:schemeClr w14:val="tx1"/>
            </w14:solidFill>
          </w14:textFill>
        </w:rPr>
        <w:t>都</w:t>
      </w:r>
      <w:r>
        <w:rPr>
          <w:rFonts w:ascii="幼圆" w:eastAsia="幼圆" w:hAnsi="幼圆" w:cs="幼圆" w:hint="eastAsia"/>
          <w:bCs/>
          <w:color w:val="000000" w:themeColor="text1"/>
          <w:szCs w:val="21"/>
          <w14:textFill>
            <w14:solidFill>
              <w14:schemeClr w14:val="tx1"/>
            </w14:solidFill>
          </w14:textFill>
        </w:rPr>
        <w:t>提供了发展的机会</w:t>
      </w:r>
      <w:r>
        <w:rPr>
          <w:rStyle w:val="FootnoteReference"/>
          <w:rFonts w:ascii="幼圆" w:eastAsia="幼圆" w:hAnsi="幼圆" w:cs="幼圆" w:hint="eastAsia"/>
          <w:bCs/>
          <w:color w:val="000000" w:themeColor="text1"/>
          <w:szCs w:val="21"/>
          <w14:textFill>
            <w14:solidFill>
              <w14:schemeClr w14:val="tx1"/>
            </w14:solidFill>
          </w14:textFill>
        </w:rPr>
        <w:footnoteReference w:id="12"/>
      </w:r>
      <w:r>
        <w:rPr>
          <w:rFonts w:ascii="幼圆" w:eastAsia="幼圆" w:hAnsi="幼圆" w:cs="幼圆" w:hint="eastAsia"/>
          <w:bCs/>
          <w:color w:val="000000" w:themeColor="text1"/>
          <w:szCs w:val="21"/>
          <w14:textFill>
            <w14:solidFill>
              <w14:schemeClr w14:val="tx1"/>
            </w14:solidFill>
          </w14:textFill>
        </w:rPr>
        <w:t>。</w:t>
      </w:r>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Ling L（2</w:t>
      </w:r>
      <w:r>
        <w:rPr>
          <w:rFonts w:ascii="幼圆" w:eastAsia="幼圆" w:hAnsi="幼圆" w:cs="幼圆" w:hint="eastAsia"/>
          <w:bCs/>
          <w:color w:val="000000" w:themeColor="text1"/>
          <w:szCs w:val="21"/>
          <w14:textFill>
            <w14:solidFill>
              <w14:schemeClr w14:val="tx1"/>
            </w14:solidFill>
          </w14:textFill>
        </w:rPr>
        <w:t>017</w:t>
      </w:r>
      <w:r>
        <w:rPr>
          <w:rFonts w:ascii="幼圆" w:eastAsia="幼圆" w:hAnsi="幼圆" w:cs="幼圆" w:hint="eastAsia"/>
          <w:bCs/>
          <w:color w:val="000000" w:themeColor="text1"/>
          <w:szCs w:val="21"/>
          <w14:textFill>
            <w14:solidFill>
              <w14:schemeClr w14:val="tx1"/>
            </w14:solidFill>
          </w14:textFill>
        </w:rPr>
        <w:t>）等提出一种在酒店和房间预订服务上的在线旅行社模式（OTAs）</w:t>
      </w:r>
      <w:r>
        <w:rPr>
          <w:rStyle w:val="FootnoteReference"/>
          <w:rFonts w:ascii="幼圆" w:eastAsia="幼圆" w:hAnsi="幼圆" w:cs="幼圆" w:hint="eastAsia"/>
          <w:bCs/>
          <w:color w:val="000000" w:themeColor="text1"/>
          <w:szCs w:val="21"/>
          <w14:textFill>
            <w14:solidFill>
              <w14:schemeClr w14:val="tx1"/>
            </w14:solidFill>
          </w14:textFill>
        </w:rPr>
        <w:footnoteReference w:id="13"/>
      </w:r>
      <w:r>
        <w:rPr>
          <w:rFonts w:ascii="幼圆" w:eastAsia="幼圆" w:hAnsi="幼圆" w:cs="幼圆" w:hint="eastAsia"/>
          <w:bCs/>
          <w:color w:val="000000" w:themeColor="text1"/>
          <w:szCs w:val="21"/>
          <w14:textFill>
            <w14:solidFill>
              <w14:schemeClr w14:val="tx1"/>
            </w14:solidFill>
          </w14:textFill>
        </w:rPr>
        <w:t>。客户可以通过两种途径进行客房预订，一是酒店分销渠道直接预订，二是在销售期间间接通过 OTA 进行预订。酒店通过客户预订信息预测客房需求，并通过确定在线旅行社是否提供现有客房来优化客房供应。Sun S（2</w:t>
      </w:r>
      <w:r>
        <w:rPr>
          <w:rFonts w:ascii="幼圆" w:eastAsia="幼圆" w:hAnsi="幼圆" w:cs="幼圆" w:hint="eastAsia"/>
          <w:bCs/>
          <w:color w:val="000000" w:themeColor="text1"/>
          <w:szCs w:val="21"/>
          <w14:textFill>
            <w14:solidFill>
              <w14:schemeClr w14:val="tx1"/>
            </w14:solidFill>
          </w14:textFill>
        </w:rPr>
        <w:t>015</w:t>
      </w:r>
      <w:r>
        <w:rPr>
          <w:rFonts w:ascii="幼圆" w:eastAsia="幼圆" w:hAnsi="幼圆" w:cs="幼圆" w:hint="eastAsia"/>
          <w:bCs/>
          <w:color w:val="000000" w:themeColor="text1"/>
          <w:szCs w:val="21"/>
          <w14:textFill>
            <w14:solidFill>
              <w14:schemeClr w14:val="tx1"/>
            </w14:solidFill>
          </w14:textFill>
        </w:rPr>
        <w:t>）等研究者认为互联网改变了消费者购买旅游相关产品时的一些传统行为。近年来，基于酒店房间网络预订服务的在线旅行社（OTAs）数量激增</w:t>
      </w:r>
      <w:r>
        <w:rPr>
          <w:rStyle w:val="FootnoteReference"/>
          <w:rFonts w:ascii="幼圆" w:eastAsia="幼圆" w:hAnsi="幼圆" w:cs="幼圆" w:hint="eastAsia"/>
          <w:bCs/>
          <w:color w:val="000000" w:themeColor="text1"/>
          <w:szCs w:val="21"/>
          <w14:textFill>
            <w14:solidFill>
              <w14:schemeClr w14:val="tx1"/>
            </w14:solidFill>
          </w14:textFill>
        </w:rPr>
        <w:footnoteReference w:id="14"/>
      </w:r>
      <w:r>
        <w:rPr>
          <w:rFonts w:ascii="幼圆" w:eastAsia="幼圆" w:hAnsi="幼圆" w:cs="幼圆" w:hint="eastAsia"/>
          <w:bCs/>
          <w:color w:val="000000" w:themeColor="text1"/>
          <w:szCs w:val="21"/>
          <w14:textFill>
            <w14:solidFill>
              <w14:schemeClr w14:val="tx1"/>
            </w14:solidFill>
          </w14:textFill>
        </w:rPr>
        <w:t>。线上O</w:t>
      </w:r>
      <w:r>
        <w:rPr>
          <w:rFonts w:ascii="幼圆" w:eastAsia="幼圆" w:hAnsi="幼圆" w:cs="幼圆" w:hint="eastAsia"/>
          <w:bCs/>
          <w:color w:val="000000" w:themeColor="text1"/>
          <w:szCs w:val="21"/>
          <w14:textFill>
            <w14:solidFill>
              <w14:schemeClr w14:val="tx1"/>
            </w14:solidFill>
          </w14:textFill>
        </w:rPr>
        <w:t>TA</w:t>
      </w:r>
      <w:r>
        <w:rPr>
          <w:rFonts w:ascii="幼圆" w:eastAsia="幼圆" w:hAnsi="幼圆" w:cs="幼圆" w:hint="eastAsia"/>
          <w:bCs/>
          <w:color w:val="000000" w:themeColor="text1"/>
          <w:szCs w:val="21"/>
          <w14:textFill>
            <w14:solidFill>
              <w14:schemeClr w14:val="tx1"/>
            </w14:solidFill>
          </w14:textFill>
        </w:rPr>
        <w:t>预订模式不仅方便了消费者和酒店，O</w:t>
      </w:r>
      <w:r>
        <w:rPr>
          <w:rFonts w:ascii="幼圆" w:eastAsia="幼圆" w:hAnsi="幼圆" w:cs="幼圆" w:hint="eastAsia"/>
          <w:bCs/>
          <w:color w:val="000000" w:themeColor="text1"/>
          <w:szCs w:val="21"/>
          <w14:textFill>
            <w14:solidFill>
              <w14:schemeClr w14:val="tx1"/>
            </w14:solidFill>
          </w14:textFill>
        </w:rPr>
        <w:t>TA</w:t>
      </w:r>
      <w:r>
        <w:rPr>
          <w:rFonts w:ascii="幼圆" w:eastAsia="幼圆" w:hAnsi="幼圆" w:cs="幼圆" w:hint="eastAsia"/>
          <w:bCs/>
          <w:color w:val="000000" w:themeColor="text1"/>
          <w:szCs w:val="21"/>
          <w14:textFill>
            <w14:solidFill>
              <w14:schemeClr w14:val="tx1"/>
            </w14:solidFill>
          </w14:textFill>
        </w:rPr>
        <w:t>平台也成为了消费者进行酒店预订的重要参考信息，并影响着消费者的酒店线上预订行为。</w:t>
      </w:r>
    </w:p>
    <w:p>
      <w:pPr>
        <w:pStyle w:val="Heading3"/>
        <w:spacing w:line="400" w:lineRule="exact"/>
        <w:rPr>
          <w:rFonts w:ascii="幼圆" w:eastAsia="幼圆" w:hAnsi="幼圆" w:cs="幼圆" w:hint="eastAsia"/>
          <w:b w:val="0"/>
          <w:bCs w:val="0"/>
          <w:sz w:val="24"/>
          <w:szCs w:val="24"/>
        </w:rPr>
      </w:pPr>
      <w:bookmarkStart w:id="26" w:name="_Toc71618132"/>
      <w:r>
        <w:rPr>
          <w:rFonts w:ascii="幼圆" w:eastAsia="幼圆" w:hAnsi="幼圆" w:cs="幼圆" w:hint="eastAsia"/>
          <w:b w:val="0"/>
          <w:bCs w:val="0"/>
          <w:sz w:val="24"/>
          <w:szCs w:val="24"/>
        </w:rPr>
        <w:t>2</w:t>
      </w:r>
      <w:r>
        <w:rPr>
          <w:rFonts w:ascii="幼圆" w:eastAsia="幼圆" w:hAnsi="幼圆" w:cs="幼圆" w:hint="eastAsia"/>
          <w:b w:val="0"/>
          <w:bCs w:val="0"/>
          <w:sz w:val="24"/>
          <w:szCs w:val="24"/>
        </w:rPr>
        <w:t xml:space="preserve">.2.2 </w:t>
      </w:r>
      <w:r>
        <w:rPr>
          <w:rFonts w:ascii="幼圆" w:eastAsia="幼圆" w:hAnsi="幼圆" w:cs="幼圆" w:hint="eastAsia"/>
          <w:b w:val="0"/>
          <w:bCs w:val="0"/>
          <w:sz w:val="24"/>
          <w:szCs w:val="24"/>
        </w:rPr>
        <w:t>国内相关文献</w:t>
      </w:r>
      <w:bookmarkEnd w:id="26"/>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在新媒体的研究开始之初，大多数学者都对其特性进行了总结和归纳。</w:t>
      </w:r>
      <w:r>
        <w:rPr>
          <w:rFonts w:ascii="幼圆" w:eastAsia="幼圆" w:hAnsi="幼圆" w:cs="幼圆" w:hint="eastAsia"/>
          <w:bCs/>
          <w:color w:val="000000" w:themeColor="text1"/>
          <w:szCs w:val="21"/>
          <w14:textFill>
            <w14:solidFill>
              <w14:schemeClr w14:val="tx1"/>
            </w14:solidFill>
          </w14:textFill>
        </w:rPr>
        <w:t>熊澄宇等（2003）认为新媒体是建立在互联网基础之上，发挥传播功能的媒介综合，具有交互性、融合性、延展性</w:t>
      </w:r>
      <w:r>
        <w:rPr>
          <w:rFonts w:ascii="幼圆" w:eastAsia="幼圆" w:hAnsi="幼圆" w:cs="幼圆" w:hint="eastAsia"/>
          <w:bCs/>
          <w:color w:val="000000" w:themeColor="text1"/>
          <w:szCs w:val="21"/>
          <w14:textFill>
            <w14:solidFill>
              <w14:schemeClr w14:val="tx1"/>
            </w14:solidFill>
          </w14:textFill>
        </w:rPr>
        <w:t>等</w:t>
      </w:r>
      <w:r>
        <w:rPr>
          <w:rFonts w:ascii="幼圆" w:eastAsia="幼圆" w:hAnsi="幼圆" w:cs="幼圆" w:hint="eastAsia"/>
          <w:bCs/>
          <w:color w:val="000000" w:themeColor="text1"/>
          <w:szCs w:val="21"/>
          <w14:textFill>
            <w14:solidFill>
              <w14:schemeClr w14:val="tx1"/>
            </w14:solidFill>
          </w14:textFill>
        </w:rPr>
        <w:t>的新特征</w:t>
      </w:r>
      <w:r>
        <w:rPr>
          <w:rStyle w:val="FootnoteReference"/>
          <w:rFonts w:ascii="幼圆" w:eastAsia="幼圆" w:hAnsi="幼圆" w:cs="幼圆" w:hint="eastAsia"/>
          <w:bCs/>
          <w:color w:val="000000" w:themeColor="text1"/>
          <w:szCs w:val="21"/>
          <w14:textFill>
            <w14:solidFill>
              <w14:schemeClr w14:val="tx1"/>
            </w14:solidFill>
          </w14:textFill>
        </w:rPr>
        <w:footnoteReference w:id="15"/>
      </w:r>
      <w:r>
        <w:rPr>
          <w:rFonts w:ascii="幼圆" w:eastAsia="幼圆" w:hAnsi="幼圆" w:cs="幼圆" w:hint="eastAsia"/>
          <w:bCs/>
          <w:color w:val="000000" w:themeColor="text1"/>
          <w:szCs w:val="21"/>
          <w14:textFill>
            <w14:solidFill>
              <w14:schemeClr w14:val="tx1"/>
            </w14:solidFill>
          </w14:textFill>
        </w:rPr>
        <w:t>。喻国明等（2006）认为新媒体意味着科学技术的进步带来传媒数字化转变、传播语境碎片化改变、话语权的阅众分享解构、内容全民传播的转变</w:t>
      </w:r>
      <w:r>
        <w:rPr>
          <w:rStyle w:val="FootnoteReference"/>
          <w:rFonts w:ascii="幼圆" w:eastAsia="幼圆" w:hAnsi="幼圆" w:cs="幼圆" w:hint="eastAsia"/>
          <w:bCs/>
          <w:color w:val="000000" w:themeColor="text1"/>
          <w:szCs w:val="21"/>
          <w14:textFill>
            <w14:solidFill>
              <w14:schemeClr w14:val="tx1"/>
            </w14:solidFill>
          </w14:textFill>
        </w:rPr>
        <w:footnoteReference w:id="16"/>
      </w:r>
      <w:r>
        <w:rPr>
          <w:rFonts w:ascii="幼圆" w:eastAsia="幼圆" w:hAnsi="幼圆" w:cs="幼圆" w:hint="eastAsia"/>
          <w:bCs/>
          <w:color w:val="000000" w:themeColor="text1"/>
          <w:szCs w:val="21"/>
          <w14:textFill>
            <w14:solidFill>
              <w14:schemeClr w14:val="tx1"/>
            </w14:solidFill>
          </w14:textFill>
        </w:rPr>
        <w:t>。匡文波（2008）认为新媒体</w:t>
      </w:r>
      <w:r>
        <w:rPr>
          <w:rFonts w:ascii="幼圆" w:eastAsia="幼圆" w:hAnsi="幼圆" w:cs="幼圆" w:hint="eastAsia"/>
          <w:bCs/>
          <w:color w:val="000000" w:themeColor="text1"/>
          <w:szCs w:val="21"/>
          <w14:textFill>
            <w14:solidFill>
              <w14:schemeClr w14:val="tx1"/>
            </w14:solidFill>
          </w14:textFill>
        </w:rPr>
        <w:t>的</w:t>
      </w:r>
      <w:r>
        <w:rPr>
          <w:rFonts w:ascii="幼圆" w:eastAsia="幼圆" w:hAnsi="幼圆" w:cs="幼圆" w:hint="eastAsia"/>
          <w:bCs/>
          <w:color w:val="000000" w:themeColor="text1"/>
          <w:szCs w:val="21"/>
          <w14:textFill>
            <w14:solidFill>
              <w14:schemeClr w14:val="tx1"/>
            </w14:solidFill>
          </w14:textFill>
        </w:rPr>
        <w:t>内涵是相对</w:t>
      </w:r>
      <w:r>
        <w:rPr>
          <w:rFonts w:ascii="幼圆" w:eastAsia="幼圆" w:hAnsi="幼圆" w:cs="幼圆" w:hint="eastAsia"/>
          <w:bCs/>
          <w:color w:val="000000" w:themeColor="text1"/>
          <w:szCs w:val="21"/>
          <w14:textFill>
            <w14:solidFill>
              <w14:schemeClr w14:val="tx1"/>
            </w14:solidFill>
          </w14:textFill>
        </w:rPr>
        <w:t>而言</w:t>
      </w:r>
      <w:r>
        <w:rPr>
          <w:rFonts w:ascii="幼圆" w:eastAsia="幼圆" w:hAnsi="幼圆" w:cs="幼圆" w:hint="eastAsia"/>
          <w:bCs/>
          <w:color w:val="000000" w:themeColor="text1"/>
          <w:szCs w:val="21"/>
          <w14:textFill>
            <w14:solidFill>
              <w14:schemeClr w14:val="tx1"/>
            </w14:solidFill>
          </w14:textFill>
        </w:rPr>
        <w:t>的，其会随着传媒技术的发展而有所发展。宽泛的概念是指新媒体由数字技术、网络技术等 通过互联网、宽带局域网等渠道，以电脑、手机等终端，向用户提供信息和娱乐服务的传播形态</w:t>
      </w:r>
      <w:r>
        <w:rPr>
          <w:rStyle w:val="FootnoteReference"/>
          <w:rFonts w:ascii="幼圆" w:eastAsia="幼圆" w:hAnsi="幼圆" w:cs="幼圆" w:hint="eastAsia"/>
          <w:bCs/>
          <w:color w:val="000000" w:themeColor="text1"/>
          <w:szCs w:val="21"/>
          <w14:textFill>
            <w14:solidFill>
              <w14:schemeClr w14:val="tx1"/>
            </w14:solidFill>
          </w14:textFill>
        </w:rPr>
        <w:footnoteReference w:id="17"/>
      </w:r>
      <w:r>
        <w:rPr>
          <w:rFonts w:ascii="幼圆" w:eastAsia="幼圆" w:hAnsi="幼圆" w:cs="幼圆" w:hint="eastAsia"/>
          <w:bCs/>
          <w:color w:val="000000" w:themeColor="text1"/>
          <w:szCs w:val="21"/>
          <w14:textFill>
            <w14:solidFill>
              <w14:schemeClr w14:val="tx1"/>
            </w14:solidFill>
          </w14:textFill>
        </w:rPr>
        <w:t>。</w:t>
      </w:r>
      <w:r>
        <w:rPr>
          <w:rFonts w:ascii="幼圆" w:eastAsia="幼圆" w:hAnsi="幼圆" w:cs="幼圆" w:hint="eastAsia"/>
          <w:bCs/>
          <w:color w:val="000000" w:themeColor="text1"/>
          <w:szCs w:val="21"/>
          <w14:textFill>
            <w14:solidFill>
              <w14:schemeClr w14:val="tx1"/>
            </w14:solidFill>
          </w14:textFill>
        </w:rPr>
        <w:t>唐雪梅等（2014）指出酒店产品和服务的在线点评属于网络口碑营销，酒店潜在、实际或者先前的消费者可以通过网络口碑对酒店产品和服务做出评论，互联网可以将该评论传递给大众群体或组织</w:t>
      </w:r>
      <w:r>
        <w:rPr>
          <w:rStyle w:val="FootnoteReference"/>
          <w:rFonts w:ascii="幼圆" w:eastAsia="幼圆" w:hAnsi="幼圆" w:cs="幼圆" w:hint="eastAsia"/>
          <w:bCs/>
          <w:color w:val="000000" w:themeColor="text1"/>
          <w:szCs w:val="21"/>
          <w14:textFill>
            <w14:solidFill>
              <w14:schemeClr w14:val="tx1"/>
            </w14:solidFill>
          </w14:textFill>
        </w:rPr>
        <w:footnoteReference w:id="18"/>
      </w:r>
      <w:r>
        <w:rPr>
          <w:rFonts w:ascii="幼圆" w:eastAsia="幼圆" w:hAnsi="幼圆" w:cs="幼圆" w:hint="eastAsia"/>
          <w:bCs/>
          <w:color w:val="000000" w:themeColor="text1"/>
          <w:szCs w:val="21"/>
          <w14:textFill>
            <w14:solidFill>
              <w14:schemeClr w14:val="tx1"/>
            </w14:solidFill>
          </w14:textFill>
        </w:rPr>
        <w:t>。</w:t>
      </w:r>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t>在新媒体快速发展的时期，它被视为一种非常重要的传播媒介。姚如驹（2014）认为在网络经济下，利用新媒体和信息技术进行品牌营销已经成为市场营销的必然趋势</w:t>
      </w:r>
      <w:r>
        <w:rPr>
          <w:rStyle w:val="FootnoteReference"/>
          <w:rFonts w:ascii="幼圆" w:eastAsia="幼圆" w:hAnsi="幼圆" w:cs="幼圆" w:hint="eastAsia"/>
          <w:bCs/>
          <w:color w:val="000000" w:themeColor="text1"/>
          <w:szCs w:val="21"/>
          <w14:textFill>
            <w14:solidFill>
              <w14:schemeClr w14:val="tx1"/>
            </w14:solidFill>
          </w14:textFill>
        </w:rPr>
        <w:footnoteReference w:id="19"/>
      </w:r>
      <w:r>
        <w:rPr>
          <w:rFonts w:ascii="幼圆" w:eastAsia="幼圆" w:hAnsi="幼圆" w:cs="幼圆" w:hint="eastAsia"/>
          <w:bCs/>
          <w:color w:val="000000" w:themeColor="text1"/>
          <w:szCs w:val="21"/>
          <w14:textFill>
            <w14:solidFill>
              <w14:schemeClr w14:val="tx1"/>
            </w14:solidFill>
          </w14:textFill>
        </w:rPr>
        <w:t>。酒店营销庚戌要整合新媒体营销渠道，充分利用微博、微信、微视频平台来强化酒店品牌形象。赵琪等（2019）认为酒店与第三方平台合作不仅可以使消费者获得价格优惠，增加服务的便利性，而且可以提升酒店知名度和盈利能力，这种间接销售渠道已成为酒店营销的重要方式</w:t>
      </w:r>
      <w:r>
        <w:rPr>
          <w:rStyle w:val="FootnoteReference"/>
          <w:rFonts w:ascii="幼圆" w:eastAsia="幼圆" w:hAnsi="幼圆" w:cs="幼圆" w:hint="eastAsia"/>
          <w:bCs/>
          <w:color w:val="000000" w:themeColor="text1"/>
          <w:szCs w:val="21"/>
          <w14:textFill>
            <w14:solidFill>
              <w14:schemeClr w14:val="tx1"/>
            </w14:solidFill>
          </w14:textFill>
        </w:rPr>
        <w:footnoteReference w:id="20"/>
      </w:r>
      <w:r>
        <w:rPr>
          <w:rFonts w:ascii="幼圆" w:eastAsia="幼圆" w:hAnsi="幼圆" w:cs="幼圆" w:hint="eastAsia"/>
          <w:bCs/>
          <w:color w:val="000000" w:themeColor="text1"/>
          <w:szCs w:val="21"/>
          <w14:textFill>
            <w14:solidFill>
              <w14:schemeClr w14:val="tx1"/>
            </w14:solidFill>
          </w14:textFill>
        </w:rPr>
        <w:t>。</w:t>
      </w:r>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r>
        <w:rPr>
          <w:rFonts w:ascii="幼圆" w:eastAsia="幼圆" w:hAnsi="幼圆" w:cs="幼圆" w:hint="eastAsia"/>
          <w:bCs/>
          <w:color w:val="000000" w:themeColor="text1"/>
          <w:szCs w:val="21"/>
          <w14:textFill>
            <w14:solidFill>
              <w14:schemeClr w14:val="tx1"/>
            </w14:solidFill>
          </w14:textFill>
        </w:rPr>
        <w:br/>
      </w:r>
      <w:r>
        <w:rPr>
          <w:rFonts w:ascii="幼圆" w:eastAsia="幼圆" w:hAnsi="幼圆" w:cs="幼圆" w:hint="eastAsia"/>
          <w:bCs/>
          <w:color w:val="000000" w:themeColor="text1"/>
          <w:szCs w:val="21"/>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https://d.book118.com/816132151025010040</w:t>
        </w:r>
      </w:hyperlink>
    </w:p>
    <w:p>
      <w:pPr>
        <w:spacing w:line="400" w:lineRule="exact"/>
        <w:ind w:firstLine="420" w:firstLineChars="200"/>
        <w:rPr>
          <w:rFonts w:ascii="幼圆" w:eastAsia="幼圆" w:hAnsi="幼圆" w:cs="幼圆" w:hint="eastAsia"/>
          <w:bCs/>
          <w:color w:val="000000" w:themeColor="text1"/>
          <w:szCs w:val="21"/>
          <w14:textFill>
            <w14:solidFill>
              <w14:schemeClr w14:val="tx1"/>
            </w14:solidFill>
          </w14:textFill>
        </w:rPr>
      </w:pPr>
    </w:p>
    <w:sectPr>
      <w:headerReference w:type="default" r:id="rId22"/>
      <w:footerReference w:type="default" r:id="rId23"/>
      <w:footnotePr>
        <w:numFmt w:val="decimalEnclosedCircleChinese"/>
      </w:footnotePr>
      <w:type w:val="nextPage"/>
      <w:pgSz w:w="11906" w:h="16838"/>
      <w:pgMar w:top="1440" w:right="1800" w:bottom="1440" w:left="1800" w:header="720" w:footer="720"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2557856"/>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8397395"/>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97345752"/>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71249333"/>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27023490"/>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8911961"/>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0438582"/>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pPr>
      <w:r>
        <w:rPr>
          <w:rStyle w:val="FootnoteReference"/>
        </w:rPr>
        <w:footnoteRef/>
      </w:r>
      <w:r>
        <w:t xml:space="preserve"> </w:t>
      </w:r>
      <w:r>
        <w:rPr>
          <w:rFonts w:ascii="宋体" w:eastAsia="宋体" w:hAnsi="宋体" w:cs="宋体"/>
          <w:bCs/>
          <w:szCs w:val="21"/>
        </w:rPr>
        <w:t>李克强．第十二届全国人民代表大会第三次会议政府工作报告[R]．北京：全国 人民代表大会，2015—05—03．</w:t>
      </w:r>
    </w:p>
  </w:footnote>
  <w:footnote w:id="3">
    <w:p>
      <w:pPr>
        <w:pStyle w:val="FootnoteText"/>
      </w:pPr>
      <w:r>
        <w:rPr>
          <w:rStyle w:val="FootnoteReference"/>
        </w:rPr>
        <w:footnoteRef/>
      </w:r>
      <w:r>
        <w:t xml:space="preserve"> </w:t>
      </w:r>
      <w:r>
        <w:rPr>
          <w:rFonts w:ascii="宋体" w:eastAsia="宋体" w:hAnsi="宋体" w:cs="宋体" w:hint="eastAsia"/>
          <w:bCs/>
          <w:szCs w:val="21"/>
        </w:rPr>
        <w:t>何晶.酒店微博营销的SWOT分析[J].企业导报,2015(8):85-86.</w:t>
      </w:r>
    </w:p>
  </w:footnote>
  <w:footnote w:id="4">
    <w:p>
      <w:pPr>
        <w:rPr>
          <w:rFonts w:ascii="宋体" w:eastAsia="宋体" w:hAnsi="宋体" w:cs="宋体"/>
          <w:bCs/>
          <w:sz w:val="18"/>
          <w:szCs w:val="21"/>
        </w:rPr>
      </w:pPr>
      <w:r>
        <w:rPr>
          <w:rStyle w:val="FootnoteReference"/>
          <w:sz w:val="18"/>
          <w:szCs w:val="18"/>
        </w:rPr>
        <w:footnoteRef/>
      </w:r>
      <w:r>
        <w:rPr>
          <w:rFonts w:ascii="宋体" w:eastAsia="宋体" w:hAnsi="宋体" w:cs="宋体"/>
          <w:bCs/>
          <w:sz w:val="18"/>
          <w:szCs w:val="18"/>
        </w:rPr>
        <w:t xml:space="preserve"> </w:t>
      </w:r>
      <w:r>
        <w:rPr>
          <w:rFonts w:ascii="宋体" w:eastAsia="宋体" w:hAnsi="宋体" w:cs="宋体" w:hint="eastAsia"/>
          <w:bCs/>
          <w:sz w:val="18"/>
          <w:szCs w:val="21"/>
        </w:rPr>
        <w:t>刘臻真.基于问卷调查的B酒店市场营销策略研究[D].南京农业大学,2015.</w:t>
      </w:r>
    </w:p>
  </w:footnote>
  <w:footnote w:id="5">
    <w:p>
      <w:pPr>
        <w:pStyle w:val="FootnoteText"/>
      </w:pPr>
      <w:r>
        <w:rPr>
          <w:rStyle w:val="FootnoteReference"/>
        </w:rPr>
        <w:footnoteRef/>
      </w:r>
      <w:r>
        <w:t xml:space="preserve"> </w:t>
      </w:r>
      <w:r>
        <w:rPr>
          <w:rFonts w:ascii="宋体" w:eastAsia="宋体" w:hAnsi="宋体" w:cs="宋体" w:hint="eastAsia"/>
          <w:bCs/>
          <w:szCs w:val="21"/>
        </w:rPr>
        <w:t>储秀丽.酒店网络预订的影响因素和渠道策略的解析[D].浙江工商大学,2015.</w:t>
      </w:r>
    </w:p>
  </w:footnote>
  <w:footnote w:id="6">
    <w:p>
      <w:pPr>
        <w:pStyle w:val="FootnoteText"/>
      </w:pPr>
      <w:r>
        <w:rPr>
          <w:rStyle w:val="FootnoteReference"/>
        </w:rPr>
        <w:footnoteRef/>
      </w:r>
      <w:r>
        <w:t xml:space="preserve"> </w:t>
      </w:r>
      <w:r>
        <w:rPr>
          <w:rFonts w:ascii="宋体" w:eastAsia="宋体" w:hAnsi="宋体" w:cs="宋体" w:hint="eastAsia"/>
          <w:bCs/>
          <w:szCs w:val="21"/>
        </w:rPr>
        <w:t>黄福莉.新媒体时代短视频的营销模式及商业价值研究[J].经济研究刊,2020(21):36-39.</w:t>
      </w:r>
    </w:p>
  </w:footnote>
  <w:footnote w:id="7">
    <w:p>
      <w:pPr>
        <w:pStyle w:val="FootnoteText"/>
      </w:pPr>
      <w:r>
        <w:rPr>
          <w:rStyle w:val="FootnoteReference"/>
        </w:rPr>
        <w:footnoteRef/>
      </w:r>
      <w:r>
        <w:t xml:space="preserve"> </w:t>
      </w:r>
      <w:r>
        <w:rPr>
          <w:rFonts w:ascii="宋体" w:eastAsia="宋体" w:hAnsi="宋体" w:cs="宋体" w:hint="eastAsia"/>
          <w:bCs/>
          <w:szCs w:val="21"/>
        </w:rPr>
        <w:t>陈娟.互联网思维下的新媒体营销初探[J].中国市场,2020(24):129-130.</w:t>
      </w:r>
    </w:p>
  </w:footnote>
  <w:footnote w:id="8">
    <w:p>
      <w:pPr>
        <w:pStyle w:val="FootnoteText"/>
      </w:pPr>
      <w:r>
        <w:rPr>
          <w:rStyle w:val="FootnoteReference"/>
        </w:rPr>
        <w:footnoteRef/>
      </w:r>
      <w:r>
        <w:t xml:space="preserve"> </w:t>
      </w:r>
      <w:r>
        <w:rPr>
          <w:rFonts w:ascii="宋体" w:eastAsia="宋体" w:hAnsi="宋体" w:cs="宋体" w:hint="eastAsia"/>
          <w:bCs/>
          <w:szCs w:val="21"/>
        </w:rPr>
        <w:t>刘雪梅.互联网经济下传统营销模式的转型升级探索[J].知识经济,202</w:t>
      </w:r>
      <w:r>
        <w:rPr>
          <w:rFonts w:ascii="宋体" w:eastAsia="宋体" w:hAnsi="宋体" w:cs="宋体"/>
          <w:bCs/>
          <w:szCs w:val="21"/>
        </w:rPr>
        <w:t>1</w:t>
      </w:r>
      <w:r>
        <w:rPr>
          <w:rFonts w:ascii="宋体" w:eastAsia="宋体" w:hAnsi="宋体" w:cs="宋体" w:hint="eastAsia"/>
          <w:bCs/>
          <w:szCs w:val="21"/>
        </w:rPr>
        <w:t>(2):</w:t>
      </w:r>
      <w:r>
        <w:rPr>
          <w:rFonts w:ascii="宋体" w:eastAsia="宋体" w:hAnsi="宋体" w:cs="宋体"/>
          <w:bCs/>
          <w:szCs w:val="21"/>
        </w:rPr>
        <w:t>30</w:t>
      </w:r>
      <w:r>
        <w:rPr>
          <w:rFonts w:ascii="宋体" w:eastAsia="宋体" w:hAnsi="宋体" w:cs="宋体" w:hint="eastAsia"/>
          <w:bCs/>
          <w:szCs w:val="21"/>
        </w:rPr>
        <w:t>-3</w:t>
      </w:r>
      <w:r>
        <w:rPr>
          <w:rFonts w:ascii="宋体" w:eastAsia="宋体" w:hAnsi="宋体" w:cs="宋体"/>
          <w:bCs/>
          <w:szCs w:val="21"/>
        </w:rPr>
        <w:t>1</w:t>
      </w:r>
      <w:r>
        <w:rPr>
          <w:rFonts w:ascii="宋体" w:eastAsia="宋体" w:hAnsi="宋体" w:cs="宋体" w:hint="eastAsia"/>
          <w:bCs/>
          <w:szCs w:val="21"/>
        </w:rPr>
        <w:t>.</w:t>
      </w:r>
    </w:p>
  </w:footnote>
  <w:footnote w:id="9">
    <w:p>
      <w:pPr>
        <w:pStyle w:val="FootnoteText"/>
      </w:pPr>
      <w:r>
        <w:rPr>
          <w:rStyle w:val="FootnoteReference"/>
        </w:rPr>
        <w:footnoteRef/>
      </w:r>
      <w:r>
        <w:t xml:space="preserve"> </w:t>
      </w:r>
      <w:r>
        <w:rPr>
          <w:rFonts w:ascii="宋体" w:eastAsia="宋体" w:hAnsi="宋体" w:cs="宋体"/>
          <w:bCs/>
          <w:szCs w:val="21"/>
        </w:rPr>
        <w:t>（美）菲利普·科特勒.市场营销原理（第十一版）[M].北京：清华大学出版社，2007:92.</w:t>
      </w:r>
    </w:p>
  </w:footnote>
  <w:footnote w:id="10">
    <w:p>
      <w:pPr>
        <w:pStyle w:val="FootnoteText"/>
      </w:pPr>
      <w:r>
        <w:rPr>
          <w:rStyle w:val="FootnoteReference"/>
        </w:rPr>
        <w:footnoteRef/>
      </w:r>
      <w:r>
        <w:t xml:space="preserve"> </w:t>
      </w:r>
      <w:r>
        <w:rPr>
          <w:rFonts w:ascii="宋体" w:eastAsia="宋体" w:hAnsi="宋体" w:cs="宋体"/>
          <w:bCs/>
          <w:szCs w:val="21"/>
        </w:rPr>
        <w:t>A.H.Walle .Tourism and the Internet: opportunities for direet marketing.Journal of travel research[J],2002(35):72-77.</w:t>
      </w:r>
    </w:p>
  </w:footnote>
  <w:footnote w:id="11">
    <w:p>
      <w:pPr>
        <w:pStyle w:val="FootnoteText"/>
      </w:pPr>
      <w:r>
        <w:rPr>
          <w:rStyle w:val="FootnoteReference"/>
        </w:rPr>
        <w:footnoteRef/>
      </w:r>
      <w:r>
        <w:t xml:space="preserve"> </w:t>
      </w:r>
      <w:r>
        <w:rPr>
          <w:rFonts w:ascii="宋体" w:eastAsia="宋体" w:hAnsi="宋体" w:cs="宋体" w:hint="eastAsia"/>
          <w:bCs/>
          <w:szCs w:val="21"/>
        </w:rPr>
        <w:t>Groucutt J，Hopkins C.: A company breaking branding and product conventions[J]. Journal of Brand Strategy，2015.</w:t>
      </w:r>
    </w:p>
  </w:footnote>
  <w:footnote w:id="12">
    <w:p>
      <w:pPr>
        <w:pStyle w:val="FootnoteText"/>
      </w:pPr>
      <w:r>
        <w:rPr>
          <w:rStyle w:val="FootnoteReference"/>
        </w:rPr>
        <w:footnoteRef/>
      </w:r>
      <w:r>
        <w:t xml:space="preserve"> </w:t>
      </w:r>
      <w:r>
        <w:rPr>
          <w:rFonts w:ascii="宋体" w:eastAsia="宋体" w:hAnsi="宋体" w:cs="宋体"/>
          <w:bCs/>
          <w:szCs w:val="21"/>
        </w:rPr>
        <w:t>Gary S. Lynn, Alan C. Maltz, Peter M. Jurkat.New media in marketing redefine competitive advantage: a comparison of small and large firms[J].Journal of Services Marketing, 1999, 13(1).</w:t>
      </w:r>
    </w:p>
  </w:footnote>
  <w:footnote w:id="13">
    <w:p>
      <w:pPr>
        <w:pStyle w:val="FootnoteText"/>
      </w:pPr>
      <w:r>
        <w:rPr>
          <w:rStyle w:val="FootnoteReference"/>
        </w:rPr>
        <w:footnoteRef/>
      </w:r>
      <w:r>
        <w:t xml:space="preserve"> </w:t>
      </w:r>
      <w:r>
        <w:rPr>
          <w:rFonts w:ascii="宋体" w:eastAsia="宋体" w:hAnsi="宋体" w:cs="宋体" w:hint="eastAsia"/>
          <w:bCs/>
          <w:szCs w:val="21"/>
        </w:rPr>
        <w:t>Ling L,</w:t>
      </w:r>
      <w:r>
        <w:rPr>
          <w:rFonts w:ascii="宋体" w:eastAsia="宋体" w:hAnsi="宋体" w:cs="宋体"/>
          <w:bCs/>
          <w:szCs w:val="21"/>
        </w:rPr>
        <w:t xml:space="preserve"> </w:t>
      </w:r>
      <w:r>
        <w:rPr>
          <w:rFonts w:ascii="宋体" w:eastAsia="宋体" w:hAnsi="宋体" w:cs="宋体" w:hint="eastAsia"/>
          <w:bCs/>
          <w:szCs w:val="21"/>
        </w:rPr>
        <w:t>Dong Y,</w:t>
      </w:r>
      <w:r>
        <w:rPr>
          <w:rFonts w:ascii="宋体" w:eastAsia="宋体" w:hAnsi="宋体" w:cs="宋体"/>
          <w:bCs/>
          <w:szCs w:val="21"/>
        </w:rPr>
        <w:t xml:space="preserve"> </w:t>
      </w:r>
      <w:r>
        <w:rPr>
          <w:rFonts w:ascii="宋体" w:eastAsia="宋体" w:hAnsi="宋体" w:cs="宋体" w:hint="eastAsia"/>
          <w:bCs/>
          <w:szCs w:val="21"/>
        </w:rPr>
        <w:t>Guo X,</w:t>
      </w:r>
      <w:r>
        <w:rPr>
          <w:rFonts w:ascii="宋体" w:eastAsia="宋体" w:hAnsi="宋体" w:cs="宋体"/>
          <w:bCs/>
          <w:szCs w:val="21"/>
        </w:rPr>
        <w:t xml:space="preserve"> </w:t>
      </w:r>
      <w:r>
        <w:rPr>
          <w:rFonts w:ascii="宋体" w:eastAsia="宋体" w:hAnsi="宋体" w:cs="宋体" w:hint="eastAsia"/>
          <w:bCs/>
          <w:szCs w:val="21"/>
        </w:rPr>
        <w:t>et al. Availability management of hotel rooms under cooperation with online travel agencies[J].International Journal of Hospitality Management,2017</w:t>
      </w:r>
      <w:r>
        <w:rPr>
          <w:rFonts w:ascii="宋体" w:eastAsia="宋体" w:hAnsi="宋体" w:cs="宋体"/>
          <w:bCs/>
          <w:szCs w:val="21"/>
        </w:rPr>
        <w:t>.</w:t>
      </w:r>
    </w:p>
  </w:footnote>
  <w:footnote w:id="14">
    <w:p>
      <w:pPr>
        <w:pStyle w:val="FootnoteText"/>
      </w:pPr>
      <w:r>
        <w:rPr>
          <w:rStyle w:val="FootnoteReference"/>
        </w:rPr>
        <w:footnoteRef/>
      </w:r>
      <w:r>
        <w:t xml:space="preserve"> </w:t>
      </w:r>
      <w:r>
        <w:rPr>
          <w:rFonts w:ascii="宋体" w:eastAsia="宋体" w:hAnsi="宋体" w:cs="宋体" w:hint="eastAsia"/>
          <w:bCs/>
          <w:szCs w:val="21"/>
        </w:rPr>
        <w:t>Sun S，Law R，Tse T. Exploring price fluctuations across different online travel agencies: a case study of room reservations in an upscale hotel in Hong Kong.[J].Journal of Vacation Marketing,2015</w:t>
      </w:r>
      <w:r>
        <w:rPr>
          <w:rFonts w:ascii="宋体" w:eastAsia="宋体" w:hAnsi="宋体" w:cs="宋体"/>
          <w:bCs/>
          <w:szCs w:val="21"/>
        </w:rPr>
        <w:t>.</w:t>
      </w:r>
    </w:p>
  </w:footnote>
  <w:footnote w:id="15">
    <w:p>
      <w:pPr>
        <w:pStyle w:val="FootnoteText"/>
      </w:pPr>
      <w:r>
        <w:rPr>
          <w:rStyle w:val="FootnoteReference"/>
        </w:rPr>
        <w:footnoteRef/>
      </w:r>
      <w:r>
        <w:t xml:space="preserve"> </w:t>
      </w:r>
      <w:r>
        <w:rPr>
          <w:rFonts w:ascii="宋体" w:eastAsia="宋体" w:hAnsi="宋体" w:cs="宋体"/>
          <w:bCs/>
          <w:szCs w:val="21"/>
        </w:rPr>
        <w:t>熊澄宇</w:t>
      </w:r>
      <w:r>
        <w:rPr>
          <w:rFonts w:ascii="宋体" w:eastAsia="宋体" w:hAnsi="宋体" w:cs="宋体" w:hint="eastAsia"/>
          <w:bCs/>
          <w:szCs w:val="21"/>
        </w:rPr>
        <w:t>,</w:t>
      </w:r>
      <w:r>
        <w:rPr>
          <w:rFonts w:ascii="宋体" w:eastAsia="宋体" w:hAnsi="宋体" w:cs="宋体"/>
          <w:bCs/>
          <w:szCs w:val="21"/>
        </w:rPr>
        <w:t>廖奕文</w:t>
      </w:r>
      <w:r>
        <w:rPr>
          <w:rFonts w:ascii="宋体" w:eastAsia="宋体" w:hAnsi="宋体" w:cs="宋体" w:hint="eastAsia"/>
          <w:bCs/>
          <w:szCs w:val="21"/>
        </w:rPr>
        <w:t>.</w:t>
      </w:r>
      <w:r>
        <w:rPr>
          <w:rFonts w:ascii="宋体" w:eastAsia="宋体" w:hAnsi="宋体" w:cs="宋体"/>
          <w:bCs/>
          <w:szCs w:val="21"/>
        </w:rPr>
        <w:t>新媒体——伊拉克战争中的达摩克利斯之剑［J］.中国记者， 2003(5):56-57.</w:t>
      </w:r>
    </w:p>
  </w:footnote>
  <w:footnote w:id="16">
    <w:p>
      <w:pPr>
        <w:pStyle w:val="FootnoteText"/>
      </w:pPr>
      <w:r>
        <w:rPr>
          <w:rStyle w:val="FootnoteReference"/>
        </w:rPr>
        <w:footnoteRef/>
      </w:r>
      <w:r>
        <w:t xml:space="preserve"> </w:t>
      </w:r>
      <w:r>
        <w:rPr>
          <w:rFonts w:ascii="宋体" w:eastAsia="宋体" w:hAnsi="宋体" w:cs="宋体"/>
          <w:bCs/>
          <w:szCs w:val="21"/>
        </w:rPr>
        <w:t>喻国明．解读新媒体的几个关键词［J］．广告大观(媒介版)，2006(5):12-15.</w:t>
      </w:r>
    </w:p>
  </w:footnote>
  <w:footnote w:id="17">
    <w:p>
      <w:pPr>
        <w:pStyle w:val="FootnoteText"/>
      </w:pPr>
      <w:r>
        <w:rPr>
          <w:rStyle w:val="FootnoteReference"/>
        </w:rPr>
        <w:footnoteRef/>
      </w:r>
      <w:r>
        <w:t xml:space="preserve"> </w:t>
      </w:r>
      <w:r>
        <w:rPr>
          <w:rFonts w:ascii="宋体" w:eastAsia="宋体" w:hAnsi="宋体" w:cs="宋体"/>
          <w:bCs/>
          <w:szCs w:val="21"/>
        </w:rPr>
        <w:t>匡文波</w:t>
      </w:r>
      <w:r>
        <w:rPr>
          <w:rFonts w:ascii="宋体" w:eastAsia="宋体" w:hAnsi="宋体" w:cs="宋体" w:hint="eastAsia"/>
          <w:bCs/>
          <w:szCs w:val="21"/>
        </w:rPr>
        <w:t>.</w:t>
      </w:r>
      <w:r>
        <w:rPr>
          <w:rFonts w:ascii="宋体" w:eastAsia="宋体" w:hAnsi="宋体" w:cs="宋体"/>
          <w:bCs/>
          <w:szCs w:val="21"/>
        </w:rPr>
        <w:t>“新媒体”概念辨析［J］．国际新闻界，2008(6):66-69.</w:t>
      </w:r>
    </w:p>
  </w:footnote>
  <w:footnote w:id="18">
    <w:p>
      <w:pPr>
        <w:pStyle w:val="FootnoteText"/>
      </w:pPr>
      <w:r>
        <w:rPr>
          <w:rStyle w:val="FootnoteReference"/>
        </w:rPr>
        <w:footnoteRef/>
      </w:r>
      <w:r>
        <w:t xml:space="preserve"> </w:t>
      </w:r>
      <w:r>
        <w:rPr>
          <w:rFonts w:ascii="宋体" w:eastAsia="宋体" w:hAnsi="宋体" w:cs="宋体" w:hint="eastAsia"/>
          <w:bCs/>
          <w:szCs w:val="21"/>
        </w:rPr>
        <w:t>李瑶.面向新媒体营销的数据分析方法研究[J].中国市场,2020(18):114-116.</w:t>
      </w:r>
    </w:p>
  </w:footnote>
  <w:footnote w:id="19">
    <w:p>
      <w:pPr>
        <w:pStyle w:val="FootnoteText"/>
      </w:pPr>
      <w:r>
        <w:rPr>
          <w:rStyle w:val="FootnoteReference"/>
        </w:rPr>
        <w:footnoteRef/>
      </w:r>
      <w:r>
        <w:t xml:space="preserve"> </w:t>
      </w:r>
      <w:r>
        <w:rPr>
          <w:rFonts w:ascii="宋体" w:eastAsia="宋体" w:hAnsi="宋体" w:cs="宋体" w:hint="eastAsia"/>
          <w:bCs/>
          <w:szCs w:val="21"/>
        </w:rPr>
        <w:t>于曾瑞.新媒体环境下消费意见领袖对品牌营销的价值研究[D].吉林大学,2020.</w:t>
      </w:r>
    </w:p>
  </w:footnote>
  <w:footnote w:id="20">
    <w:p>
      <w:pPr>
        <w:pStyle w:val="FootnoteText"/>
      </w:pPr>
      <w:r>
        <w:rPr>
          <w:rStyle w:val="FootnoteReference"/>
        </w:rPr>
        <w:footnoteRef/>
      </w:r>
      <w:r>
        <w:t xml:space="preserve"> </w:t>
      </w:r>
      <w:r>
        <w:rPr>
          <w:rFonts w:ascii="宋体" w:eastAsia="宋体" w:hAnsi="宋体" w:cs="宋体" w:hint="eastAsia"/>
          <w:bCs/>
          <w:szCs w:val="21"/>
        </w:rPr>
        <w:t>韦乐平.新媒体营销面临的困境及解决对策[J].福建质量管理,2020(14):99.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s>
      <w:jc w:val="both"/>
      <w:rPr>
        <w:rFonts w:ascii="宋体" w:eastAsia="宋体" w:hAnsi="宋体" w:cs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CF0072"/>
    <w:multiLevelType w:val="multilevel"/>
    <w:tmpl w:val="10CF0072"/>
    <w:lvl w:ilvl="0">
      <w:start w:val="3"/>
      <w:numFmt w:val="decimal"/>
      <w:lvlText w:val="%1"/>
      <w:lvlJc w:val="left"/>
      <w:pPr>
        <w:ind w:left="428" w:hanging="42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nsid w:val="1A0D270E"/>
    <w:multiLevelType w:val="multilevel"/>
    <w:tmpl w:val="1A0D270E"/>
    <w:lvl w:ilvl="0">
      <w:start w:val="4"/>
      <w:numFmt w:val="decimal"/>
      <w:lvlText w:val="%1"/>
      <w:lvlJc w:val="left"/>
      <w:pPr>
        <w:ind w:left="428" w:hanging="42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nsid w:val="5EA34CB2"/>
    <w:multiLevelType w:val="multilevel"/>
    <w:tmpl w:val="5EA34CB2"/>
    <w:lvl w:ilvl="0">
      <w:start w:val="1"/>
      <w:numFmt w:val="decimal"/>
      <w:lvlText w:val="%1"/>
      <w:lvlJc w:val="left"/>
      <w:pPr>
        <w:ind w:left="846" w:hanging="563"/>
      </w:pPr>
      <w:rPr>
        <w:rFonts w:hint="default"/>
      </w:rPr>
    </w:lvl>
    <w:lvl w:ilvl="1">
      <w:start w:val="1"/>
      <w:numFmt w:val="decimal"/>
      <w:lvlText w:val="%1.%2"/>
      <w:lvlJc w:val="left"/>
      <w:pPr>
        <w:ind w:left="563" w:hanging="563"/>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numFmt w:val="decimalEnclosedCircleChinese"/>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4B9"/>
    <w:rsid w:val="00003077"/>
    <w:rsid w:val="000062D7"/>
    <w:rsid w:val="00010E4C"/>
    <w:rsid w:val="000129DD"/>
    <w:rsid w:val="000148B2"/>
    <w:rsid w:val="00015B1C"/>
    <w:rsid w:val="00020342"/>
    <w:rsid w:val="00026FFE"/>
    <w:rsid w:val="00027B4E"/>
    <w:rsid w:val="000312B7"/>
    <w:rsid w:val="000336DE"/>
    <w:rsid w:val="00037209"/>
    <w:rsid w:val="000416A1"/>
    <w:rsid w:val="0004664A"/>
    <w:rsid w:val="00047BE0"/>
    <w:rsid w:val="00050957"/>
    <w:rsid w:val="00052E61"/>
    <w:rsid w:val="00055C57"/>
    <w:rsid w:val="000567E1"/>
    <w:rsid w:val="00057292"/>
    <w:rsid w:val="00060AD0"/>
    <w:rsid w:val="000610B9"/>
    <w:rsid w:val="00063EEF"/>
    <w:rsid w:val="00065306"/>
    <w:rsid w:val="00065662"/>
    <w:rsid w:val="00073FF3"/>
    <w:rsid w:val="000802CC"/>
    <w:rsid w:val="00082E12"/>
    <w:rsid w:val="00090B48"/>
    <w:rsid w:val="00090B55"/>
    <w:rsid w:val="00091F7B"/>
    <w:rsid w:val="00096F0D"/>
    <w:rsid w:val="000A331A"/>
    <w:rsid w:val="000A46D5"/>
    <w:rsid w:val="000A497E"/>
    <w:rsid w:val="000C08B0"/>
    <w:rsid w:val="000C2E39"/>
    <w:rsid w:val="000C3A83"/>
    <w:rsid w:val="000C6771"/>
    <w:rsid w:val="000D0CE9"/>
    <w:rsid w:val="000D32C9"/>
    <w:rsid w:val="000D52CD"/>
    <w:rsid w:val="000E0841"/>
    <w:rsid w:val="000E0CCE"/>
    <w:rsid w:val="000E3CD1"/>
    <w:rsid w:val="000F0446"/>
    <w:rsid w:val="00101911"/>
    <w:rsid w:val="00104F43"/>
    <w:rsid w:val="00106135"/>
    <w:rsid w:val="001150C6"/>
    <w:rsid w:val="00125858"/>
    <w:rsid w:val="00130374"/>
    <w:rsid w:val="001346C1"/>
    <w:rsid w:val="00137E4E"/>
    <w:rsid w:val="001402E0"/>
    <w:rsid w:val="00142012"/>
    <w:rsid w:val="00150CCF"/>
    <w:rsid w:val="0015167A"/>
    <w:rsid w:val="00154ACA"/>
    <w:rsid w:val="00157D7E"/>
    <w:rsid w:val="00164C69"/>
    <w:rsid w:val="0016507B"/>
    <w:rsid w:val="00166B2B"/>
    <w:rsid w:val="00182105"/>
    <w:rsid w:val="00183F0E"/>
    <w:rsid w:val="00184799"/>
    <w:rsid w:val="001903F2"/>
    <w:rsid w:val="001910BB"/>
    <w:rsid w:val="00194131"/>
    <w:rsid w:val="00195C7C"/>
    <w:rsid w:val="001A1EB5"/>
    <w:rsid w:val="001A25DF"/>
    <w:rsid w:val="001A5751"/>
    <w:rsid w:val="001A7212"/>
    <w:rsid w:val="001A73F0"/>
    <w:rsid w:val="001B2A6E"/>
    <w:rsid w:val="001B6B50"/>
    <w:rsid w:val="001C0060"/>
    <w:rsid w:val="001D0230"/>
    <w:rsid w:val="001D54B1"/>
    <w:rsid w:val="001E1F8D"/>
    <w:rsid w:val="001E2C88"/>
    <w:rsid w:val="001E2F43"/>
    <w:rsid w:val="001E598A"/>
    <w:rsid w:val="001F0778"/>
    <w:rsid w:val="001F0FF6"/>
    <w:rsid w:val="001F2728"/>
    <w:rsid w:val="001F2EF0"/>
    <w:rsid w:val="001F30E3"/>
    <w:rsid w:val="00203CCF"/>
    <w:rsid w:val="00203EB0"/>
    <w:rsid w:val="002058D1"/>
    <w:rsid w:val="0020600B"/>
    <w:rsid w:val="002076CD"/>
    <w:rsid w:val="0021155D"/>
    <w:rsid w:val="00213864"/>
    <w:rsid w:val="00215F42"/>
    <w:rsid w:val="00220682"/>
    <w:rsid w:val="00222560"/>
    <w:rsid w:val="00230F7A"/>
    <w:rsid w:val="0024095C"/>
    <w:rsid w:val="00240ED4"/>
    <w:rsid w:val="002418BC"/>
    <w:rsid w:val="00245CAC"/>
    <w:rsid w:val="00254834"/>
    <w:rsid w:val="00256D2A"/>
    <w:rsid w:val="00256FE5"/>
    <w:rsid w:val="00263B47"/>
    <w:rsid w:val="002657CA"/>
    <w:rsid w:val="00271B16"/>
    <w:rsid w:val="002763BE"/>
    <w:rsid w:val="002769AB"/>
    <w:rsid w:val="00277CAB"/>
    <w:rsid w:val="00281BBC"/>
    <w:rsid w:val="00284CA5"/>
    <w:rsid w:val="002865C3"/>
    <w:rsid w:val="00286AA3"/>
    <w:rsid w:val="0029113C"/>
    <w:rsid w:val="00294DDC"/>
    <w:rsid w:val="002A22CA"/>
    <w:rsid w:val="002A2EBF"/>
    <w:rsid w:val="002B1E22"/>
    <w:rsid w:val="002B354A"/>
    <w:rsid w:val="002C3D4C"/>
    <w:rsid w:val="002C70CE"/>
    <w:rsid w:val="002D7C9D"/>
    <w:rsid w:val="002E5552"/>
    <w:rsid w:val="002F181A"/>
    <w:rsid w:val="002F38E6"/>
    <w:rsid w:val="002F4CEA"/>
    <w:rsid w:val="002F78C2"/>
    <w:rsid w:val="00302D18"/>
    <w:rsid w:val="00303142"/>
    <w:rsid w:val="0030625A"/>
    <w:rsid w:val="00306F29"/>
    <w:rsid w:val="003078F6"/>
    <w:rsid w:val="00312408"/>
    <w:rsid w:val="003126D6"/>
    <w:rsid w:val="00320956"/>
    <w:rsid w:val="0033653E"/>
    <w:rsid w:val="00336818"/>
    <w:rsid w:val="00341B0C"/>
    <w:rsid w:val="00343FC8"/>
    <w:rsid w:val="003474A2"/>
    <w:rsid w:val="00351F45"/>
    <w:rsid w:val="00355707"/>
    <w:rsid w:val="00355876"/>
    <w:rsid w:val="0036275E"/>
    <w:rsid w:val="0036351F"/>
    <w:rsid w:val="00363EBB"/>
    <w:rsid w:val="00367CB3"/>
    <w:rsid w:val="00367E46"/>
    <w:rsid w:val="0037012A"/>
    <w:rsid w:val="00375B8F"/>
    <w:rsid w:val="00376BC2"/>
    <w:rsid w:val="00380C33"/>
    <w:rsid w:val="003811E1"/>
    <w:rsid w:val="003821CA"/>
    <w:rsid w:val="00382D5F"/>
    <w:rsid w:val="00384887"/>
    <w:rsid w:val="00385594"/>
    <w:rsid w:val="0039557A"/>
    <w:rsid w:val="003A077E"/>
    <w:rsid w:val="003B314D"/>
    <w:rsid w:val="003C1B1F"/>
    <w:rsid w:val="003C1E3F"/>
    <w:rsid w:val="003C36EA"/>
    <w:rsid w:val="003C5B07"/>
    <w:rsid w:val="003D0A91"/>
    <w:rsid w:val="003D1DD6"/>
    <w:rsid w:val="003D5594"/>
    <w:rsid w:val="003E2D8E"/>
    <w:rsid w:val="003E7EE8"/>
    <w:rsid w:val="003F0AD5"/>
    <w:rsid w:val="003F0E28"/>
    <w:rsid w:val="003F240B"/>
    <w:rsid w:val="003F24CD"/>
    <w:rsid w:val="003F5567"/>
    <w:rsid w:val="003F6CC1"/>
    <w:rsid w:val="00413544"/>
    <w:rsid w:val="00414668"/>
    <w:rsid w:val="004271FF"/>
    <w:rsid w:val="00437C10"/>
    <w:rsid w:val="00445F7E"/>
    <w:rsid w:val="00451975"/>
    <w:rsid w:val="00451A15"/>
    <w:rsid w:val="00454B0D"/>
    <w:rsid w:val="004607B8"/>
    <w:rsid w:val="00465843"/>
    <w:rsid w:val="00467210"/>
    <w:rsid w:val="00471AED"/>
    <w:rsid w:val="00475416"/>
    <w:rsid w:val="004779CE"/>
    <w:rsid w:val="00480A73"/>
    <w:rsid w:val="00483A1A"/>
    <w:rsid w:val="00486DDE"/>
    <w:rsid w:val="00487074"/>
    <w:rsid w:val="0049174D"/>
    <w:rsid w:val="00492F64"/>
    <w:rsid w:val="004932D9"/>
    <w:rsid w:val="004944C1"/>
    <w:rsid w:val="00497A5F"/>
    <w:rsid w:val="004A519B"/>
    <w:rsid w:val="004B3323"/>
    <w:rsid w:val="004B34A7"/>
    <w:rsid w:val="004B46E3"/>
    <w:rsid w:val="004B4BF2"/>
    <w:rsid w:val="004B5F0C"/>
    <w:rsid w:val="004C18F1"/>
    <w:rsid w:val="004C223A"/>
    <w:rsid w:val="004C3738"/>
    <w:rsid w:val="004C3AC6"/>
    <w:rsid w:val="004D28A5"/>
    <w:rsid w:val="004D36F9"/>
    <w:rsid w:val="004D44D8"/>
    <w:rsid w:val="004D51D6"/>
    <w:rsid w:val="004D7431"/>
    <w:rsid w:val="004E443D"/>
    <w:rsid w:val="004E66D9"/>
    <w:rsid w:val="004F2D5D"/>
    <w:rsid w:val="004F3036"/>
    <w:rsid w:val="004F4136"/>
    <w:rsid w:val="004F5CD9"/>
    <w:rsid w:val="004F7B69"/>
    <w:rsid w:val="005000CE"/>
    <w:rsid w:val="00512567"/>
    <w:rsid w:val="00513CB7"/>
    <w:rsid w:val="00514020"/>
    <w:rsid w:val="0051602B"/>
    <w:rsid w:val="0051644B"/>
    <w:rsid w:val="005223B6"/>
    <w:rsid w:val="0052524C"/>
    <w:rsid w:val="0053129F"/>
    <w:rsid w:val="00532B1B"/>
    <w:rsid w:val="00540B1E"/>
    <w:rsid w:val="00542B7B"/>
    <w:rsid w:val="005433F1"/>
    <w:rsid w:val="00543A70"/>
    <w:rsid w:val="00546875"/>
    <w:rsid w:val="005520EC"/>
    <w:rsid w:val="0055237C"/>
    <w:rsid w:val="00567990"/>
    <w:rsid w:val="00570A4C"/>
    <w:rsid w:val="0057584F"/>
    <w:rsid w:val="0057767E"/>
    <w:rsid w:val="005853CF"/>
    <w:rsid w:val="00585E03"/>
    <w:rsid w:val="00594DA5"/>
    <w:rsid w:val="005A0F89"/>
    <w:rsid w:val="005A7C9D"/>
    <w:rsid w:val="005B2551"/>
    <w:rsid w:val="005B35F6"/>
    <w:rsid w:val="005B46F1"/>
    <w:rsid w:val="005B5B65"/>
    <w:rsid w:val="005C08D6"/>
    <w:rsid w:val="005C7001"/>
    <w:rsid w:val="005C732C"/>
    <w:rsid w:val="005D0EDF"/>
    <w:rsid w:val="005D3D54"/>
    <w:rsid w:val="005D6435"/>
    <w:rsid w:val="005E19B7"/>
    <w:rsid w:val="005E539C"/>
    <w:rsid w:val="005E765E"/>
    <w:rsid w:val="005F00E2"/>
    <w:rsid w:val="005F3C15"/>
    <w:rsid w:val="005F3C60"/>
    <w:rsid w:val="005F7A29"/>
    <w:rsid w:val="00600E23"/>
    <w:rsid w:val="0060314B"/>
    <w:rsid w:val="00613597"/>
    <w:rsid w:val="00613649"/>
    <w:rsid w:val="00613B42"/>
    <w:rsid w:val="00614287"/>
    <w:rsid w:val="006152E6"/>
    <w:rsid w:val="00622D15"/>
    <w:rsid w:val="0062689A"/>
    <w:rsid w:val="006304B5"/>
    <w:rsid w:val="00630983"/>
    <w:rsid w:val="00630DB0"/>
    <w:rsid w:val="00634DCA"/>
    <w:rsid w:val="00634EE6"/>
    <w:rsid w:val="00643C87"/>
    <w:rsid w:val="00644C99"/>
    <w:rsid w:val="00647635"/>
    <w:rsid w:val="00650C17"/>
    <w:rsid w:val="00651E5B"/>
    <w:rsid w:val="006549E8"/>
    <w:rsid w:val="006558DA"/>
    <w:rsid w:val="00662937"/>
    <w:rsid w:val="00667BE0"/>
    <w:rsid w:val="0067039C"/>
    <w:rsid w:val="006733B0"/>
    <w:rsid w:val="00676C14"/>
    <w:rsid w:val="00680D64"/>
    <w:rsid w:val="0068362C"/>
    <w:rsid w:val="00685B64"/>
    <w:rsid w:val="00690E16"/>
    <w:rsid w:val="00692633"/>
    <w:rsid w:val="00696C10"/>
    <w:rsid w:val="006A1ADD"/>
    <w:rsid w:val="006A295D"/>
    <w:rsid w:val="006B05FD"/>
    <w:rsid w:val="006B4141"/>
    <w:rsid w:val="006B42FC"/>
    <w:rsid w:val="006C04A4"/>
    <w:rsid w:val="006D23E7"/>
    <w:rsid w:val="006D6030"/>
    <w:rsid w:val="006E1210"/>
    <w:rsid w:val="006E6316"/>
    <w:rsid w:val="006F2060"/>
    <w:rsid w:val="006F4AD1"/>
    <w:rsid w:val="00703322"/>
    <w:rsid w:val="00703C8D"/>
    <w:rsid w:val="00704511"/>
    <w:rsid w:val="0070521B"/>
    <w:rsid w:val="00705AEF"/>
    <w:rsid w:val="00707CCA"/>
    <w:rsid w:val="007103D9"/>
    <w:rsid w:val="00710D55"/>
    <w:rsid w:val="00712D3D"/>
    <w:rsid w:val="0071484D"/>
    <w:rsid w:val="007252D4"/>
    <w:rsid w:val="007260D7"/>
    <w:rsid w:val="00730648"/>
    <w:rsid w:val="007312AE"/>
    <w:rsid w:val="00731E28"/>
    <w:rsid w:val="00734499"/>
    <w:rsid w:val="00741279"/>
    <w:rsid w:val="0074409D"/>
    <w:rsid w:val="0074477A"/>
    <w:rsid w:val="00747D39"/>
    <w:rsid w:val="00751428"/>
    <w:rsid w:val="00753F99"/>
    <w:rsid w:val="00765975"/>
    <w:rsid w:val="007769D4"/>
    <w:rsid w:val="0078339C"/>
    <w:rsid w:val="00786A97"/>
    <w:rsid w:val="007921C6"/>
    <w:rsid w:val="00795509"/>
    <w:rsid w:val="007A0D99"/>
    <w:rsid w:val="007A1A2A"/>
    <w:rsid w:val="007A6533"/>
    <w:rsid w:val="007A7885"/>
    <w:rsid w:val="007B4AB5"/>
    <w:rsid w:val="007B7C92"/>
    <w:rsid w:val="007C014D"/>
    <w:rsid w:val="007C6751"/>
    <w:rsid w:val="007D2085"/>
    <w:rsid w:val="007D352E"/>
    <w:rsid w:val="007D50F8"/>
    <w:rsid w:val="007E3953"/>
    <w:rsid w:val="007F088F"/>
    <w:rsid w:val="007F1074"/>
    <w:rsid w:val="007F165D"/>
    <w:rsid w:val="007F3FA0"/>
    <w:rsid w:val="0080068E"/>
    <w:rsid w:val="00800E2B"/>
    <w:rsid w:val="00800FA3"/>
    <w:rsid w:val="00803E8E"/>
    <w:rsid w:val="00810D87"/>
    <w:rsid w:val="0081710F"/>
    <w:rsid w:val="008201AB"/>
    <w:rsid w:val="008209E6"/>
    <w:rsid w:val="00822A81"/>
    <w:rsid w:val="00822DD5"/>
    <w:rsid w:val="008264AD"/>
    <w:rsid w:val="008278CB"/>
    <w:rsid w:val="00832C47"/>
    <w:rsid w:val="008333E5"/>
    <w:rsid w:val="00834421"/>
    <w:rsid w:val="00837D11"/>
    <w:rsid w:val="00853A0E"/>
    <w:rsid w:val="00853CD5"/>
    <w:rsid w:val="008572D8"/>
    <w:rsid w:val="008619C9"/>
    <w:rsid w:val="00861BA5"/>
    <w:rsid w:val="00861E1C"/>
    <w:rsid w:val="008654F0"/>
    <w:rsid w:val="00876488"/>
    <w:rsid w:val="008822E4"/>
    <w:rsid w:val="00883DB9"/>
    <w:rsid w:val="008873F3"/>
    <w:rsid w:val="0089112F"/>
    <w:rsid w:val="00892AF3"/>
    <w:rsid w:val="0089345B"/>
    <w:rsid w:val="008970E5"/>
    <w:rsid w:val="008A0748"/>
    <w:rsid w:val="008A0A8A"/>
    <w:rsid w:val="008A33AB"/>
    <w:rsid w:val="008A58E4"/>
    <w:rsid w:val="008A77CD"/>
    <w:rsid w:val="008A7C29"/>
    <w:rsid w:val="008B26C8"/>
    <w:rsid w:val="008B3462"/>
    <w:rsid w:val="008B3AC7"/>
    <w:rsid w:val="008C2AD1"/>
    <w:rsid w:val="008C7C4C"/>
    <w:rsid w:val="008D0AD8"/>
    <w:rsid w:val="008D11CE"/>
    <w:rsid w:val="008D1E90"/>
    <w:rsid w:val="008D2149"/>
    <w:rsid w:val="008D35F7"/>
    <w:rsid w:val="008D53B5"/>
    <w:rsid w:val="008D61F7"/>
    <w:rsid w:val="008D7368"/>
    <w:rsid w:val="008E4196"/>
    <w:rsid w:val="008E7C62"/>
    <w:rsid w:val="008F0562"/>
    <w:rsid w:val="008F0B2B"/>
    <w:rsid w:val="008F26BF"/>
    <w:rsid w:val="008F2C93"/>
    <w:rsid w:val="008F6AB3"/>
    <w:rsid w:val="00900643"/>
    <w:rsid w:val="00903467"/>
    <w:rsid w:val="009114DE"/>
    <w:rsid w:val="009120AF"/>
    <w:rsid w:val="00912C26"/>
    <w:rsid w:val="009177F9"/>
    <w:rsid w:val="00917BE7"/>
    <w:rsid w:val="009210E4"/>
    <w:rsid w:val="0092487C"/>
    <w:rsid w:val="00930D43"/>
    <w:rsid w:val="00937F56"/>
    <w:rsid w:val="00940936"/>
    <w:rsid w:val="00951648"/>
    <w:rsid w:val="00953C8E"/>
    <w:rsid w:val="00954849"/>
    <w:rsid w:val="009569AE"/>
    <w:rsid w:val="00961FBC"/>
    <w:rsid w:val="00966CA4"/>
    <w:rsid w:val="0097128C"/>
    <w:rsid w:val="00973937"/>
    <w:rsid w:val="00973F0F"/>
    <w:rsid w:val="0097633E"/>
    <w:rsid w:val="00980E3D"/>
    <w:rsid w:val="0098598F"/>
    <w:rsid w:val="00985EA3"/>
    <w:rsid w:val="009879F5"/>
    <w:rsid w:val="00997225"/>
    <w:rsid w:val="009A0701"/>
    <w:rsid w:val="009A3D82"/>
    <w:rsid w:val="009A427D"/>
    <w:rsid w:val="009A49C4"/>
    <w:rsid w:val="009A522C"/>
    <w:rsid w:val="009A64F3"/>
    <w:rsid w:val="009B1AC2"/>
    <w:rsid w:val="009B6C84"/>
    <w:rsid w:val="009C0F53"/>
    <w:rsid w:val="009C1282"/>
    <w:rsid w:val="009C4C01"/>
    <w:rsid w:val="009D1438"/>
    <w:rsid w:val="009D276F"/>
    <w:rsid w:val="009D2EF7"/>
    <w:rsid w:val="009D538D"/>
    <w:rsid w:val="009D5499"/>
    <w:rsid w:val="009D5713"/>
    <w:rsid w:val="009D6708"/>
    <w:rsid w:val="009E41AA"/>
    <w:rsid w:val="009E5611"/>
    <w:rsid w:val="009F2F88"/>
    <w:rsid w:val="009F4C6A"/>
    <w:rsid w:val="009F77D8"/>
    <w:rsid w:val="009F7ECE"/>
    <w:rsid w:val="00A015C6"/>
    <w:rsid w:val="00A0716A"/>
    <w:rsid w:val="00A07F03"/>
    <w:rsid w:val="00A11C44"/>
    <w:rsid w:val="00A122E4"/>
    <w:rsid w:val="00A13A8B"/>
    <w:rsid w:val="00A16A09"/>
    <w:rsid w:val="00A20A75"/>
    <w:rsid w:val="00A243D7"/>
    <w:rsid w:val="00A300ED"/>
    <w:rsid w:val="00A325C5"/>
    <w:rsid w:val="00A32CE1"/>
    <w:rsid w:val="00A35980"/>
    <w:rsid w:val="00A53F7A"/>
    <w:rsid w:val="00A6290B"/>
    <w:rsid w:val="00A653A4"/>
    <w:rsid w:val="00A7244D"/>
    <w:rsid w:val="00A77716"/>
    <w:rsid w:val="00A77DF3"/>
    <w:rsid w:val="00A8111B"/>
    <w:rsid w:val="00A8228B"/>
    <w:rsid w:val="00A82332"/>
    <w:rsid w:val="00A83D34"/>
    <w:rsid w:val="00A84AD0"/>
    <w:rsid w:val="00A85446"/>
    <w:rsid w:val="00A926CD"/>
    <w:rsid w:val="00A92B62"/>
    <w:rsid w:val="00A9510E"/>
    <w:rsid w:val="00A9562E"/>
    <w:rsid w:val="00AA1391"/>
    <w:rsid w:val="00AA5D36"/>
    <w:rsid w:val="00AB3296"/>
    <w:rsid w:val="00AB3705"/>
    <w:rsid w:val="00AB57DE"/>
    <w:rsid w:val="00AC2F79"/>
    <w:rsid w:val="00AC3EB0"/>
    <w:rsid w:val="00AC63F8"/>
    <w:rsid w:val="00AC7115"/>
    <w:rsid w:val="00AC7E0E"/>
    <w:rsid w:val="00AD4AB9"/>
    <w:rsid w:val="00AE6D3C"/>
    <w:rsid w:val="00AE7215"/>
    <w:rsid w:val="00AF60AB"/>
    <w:rsid w:val="00B013AE"/>
    <w:rsid w:val="00B11507"/>
    <w:rsid w:val="00B1176A"/>
    <w:rsid w:val="00B13A49"/>
    <w:rsid w:val="00B23336"/>
    <w:rsid w:val="00B33813"/>
    <w:rsid w:val="00B429A3"/>
    <w:rsid w:val="00B50334"/>
    <w:rsid w:val="00B5205E"/>
    <w:rsid w:val="00B54149"/>
    <w:rsid w:val="00B57783"/>
    <w:rsid w:val="00B61593"/>
    <w:rsid w:val="00B640DB"/>
    <w:rsid w:val="00B6419B"/>
    <w:rsid w:val="00B6520B"/>
    <w:rsid w:val="00B65D82"/>
    <w:rsid w:val="00B667B4"/>
    <w:rsid w:val="00B70F95"/>
    <w:rsid w:val="00B72AFA"/>
    <w:rsid w:val="00B74547"/>
    <w:rsid w:val="00B756B7"/>
    <w:rsid w:val="00B84D4F"/>
    <w:rsid w:val="00B91D2E"/>
    <w:rsid w:val="00B921FA"/>
    <w:rsid w:val="00B93A47"/>
    <w:rsid w:val="00B97AA5"/>
    <w:rsid w:val="00BA15BD"/>
    <w:rsid w:val="00BA6987"/>
    <w:rsid w:val="00BA7E56"/>
    <w:rsid w:val="00BB0C60"/>
    <w:rsid w:val="00BB2C3C"/>
    <w:rsid w:val="00BB4A35"/>
    <w:rsid w:val="00BB5FA9"/>
    <w:rsid w:val="00BC10AF"/>
    <w:rsid w:val="00BC4C69"/>
    <w:rsid w:val="00BD13A6"/>
    <w:rsid w:val="00BD6632"/>
    <w:rsid w:val="00BD7B0C"/>
    <w:rsid w:val="00BE1361"/>
    <w:rsid w:val="00BF05D5"/>
    <w:rsid w:val="00BF257F"/>
    <w:rsid w:val="00BF5369"/>
    <w:rsid w:val="00BF5A9E"/>
    <w:rsid w:val="00BF6280"/>
    <w:rsid w:val="00C006A2"/>
    <w:rsid w:val="00C05EBA"/>
    <w:rsid w:val="00C11D88"/>
    <w:rsid w:val="00C20206"/>
    <w:rsid w:val="00C233B4"/>
    <w:rsid w:val="00C26954"/>
    <w:rsid w:val="00C305C5"/>
    <w:rsid w:val="00C31BE2"/>
    <w:rsid w:val="00C33D6F"/>
    <w:rsid w:val="00C3519F"/>
    <w:rsid w:val="00C444EC"/>
    <w:rsid w:val="00C51CA4"/>
    <w:rsid w:val="00C52174"/>
    <w:rsid w:val="00C52196"/>
    <w:rsid w:val="00C52DEE"/>
    <w:rsid w:val="00C56207"/>
    <w:rsid w:val="00C60524"/>
    <w:rsid w:val="00C63273"/>
    <w:rsid w:val="00C639E2"/>
    <w:rsid w:val="00C71222"/>
    <w:rsid w:val="00C71F8A"/>
    <w:rsid w:val="00C81651"/>
    <w:rsid w:val="00C83FF4"/>
    <w:rsid w:val="00C86EFA"/>
    <w:rsid w:val="00C9055A"/>
    <w:rsid w:val="00C918E0"/>
    <w:rsid w:val="00C91D7E"/>
    <w:rsid w:val="00C95D90"/>
    <w:rsid w:val="00C97DE7"/>
    <w:rsid w:val="00CA1DA5"/>
    <w:rsid w:val="00CA332C"/>
    <w:rsid w:val="00CA4AB2"/>
    <w:rsid w:val="00CA738B"/>
    <w:rsid w:val="00CB5457"/>
    <w:rsid w:val="00CB7518"/>
    <w:rsid w:val="00CC0082"/>
    <w:rsid w:val="00CC0A44"/>
    <w:rsid w:val="00CC31D0"/>
    <w:rsid w:val="00CC466A"/>
    <w:rsid w:val="00CC55D6"/>
    <w:rsid w:val="00CC564C"/>
    <w:rsid w:val="00CC6A36"/>
    <w:rsid w:val="00CD22CF"/>
    <w:rsid w:val="00CD2A3B"/>
    <w:rsid w:val="00CE158C"/>
    <w:rsid w:val="00CE5353"/>
    <w:rsid w:val="00CE57B6"/>
    <w:rsid w:val="00CE7D0E"/>
    <w:rsid w:val="00CE7FC2"/>
    <w:rsid w:val="00CF7844"/>
    <w:rsid w:val="00D01B45"/>
    <w:rsid w:val="00D06B41"/>
    <w:rsid w:val="00D06E28"/>
    <w:rsid w:val="00D10000"/>
    <w:rsid w:val="00D30AE1"/>
    <w:rsid w:val="00D34263"/>
    <w:rsid w:val="00D35C98"/>
    <w:rsid w:val="00D374B9"/>
    <w:rsid w:val="00D4032C"/>
    <w:rsid w:val="00D46152"/>
    <w:rsid w:val="00D4664B"/>
    <w:rsid w:val="00D51B0A"/>
    <w:rsid w:val="00D51BAD"/>
    <w:rsid w:val="00D574E5"/>
    <w:rsid w:val="00D61677"/>
    <w:rsid w:val="00D622B8"/>
    <w:rsid w:val="00D638F0"/>
    <w:rsid w:val="00D63C80"/>
    <w:rsid w:val="00D64744"/>
    <w:rsid w:val="00D66FB8"/>
    <w:rsid w:val="00D830BB"/>
    <w:rsid w:val="00D8419C"/>
    <w:rsid w:val="00D8420F"/>
    <w:rsid w:val="00D84916"/>
    <w:rsid w:val="00D84B8F"/>
    <w:rsid w:val="00D86A9A"/>
    <w:rsid w:val="00D875B2"/>
    <w:rsid w:val="00D87B26"/>
    <w:rsid w:val="00D9147F"/>
    <w:rsid w:val="00D93DB6"/>
    <w:rsid w:val="00D947C0"/>
    <w:rsid w:val="00D96D66"/>
    <w:rsid w:val="00DA2A47"/>
    <w:rsid w:val="00DA4305"/>
    <w:rsid w:val="00DB176C"/>
    <w:rsid w:val="00DB3665"/>
    <w:rsid w:val="00DB3A6A"/>
    <w:rsid w:val="00DB4E3C"/>
    <w:rsid w:val="00DB5143"/>
    <w:rsid w:val="00DC59A1"/>
    <w:rsid w:val="00DD0082"/>
    <w:rsid w:val="00DD0518"/>
    <w:rsid w:val="00DD1DEA"/>
    <w:rsid w:val="00DD1E76"/>
    <w:rsid w:val="00DD3B76"/>
    <w:rsid w:val="00DE3604"/>
    <w:rsid w:val="00DE38DF"/>
    <w:rsid w:val="00DE5D86"/>
    <w:rsid w:val="00DF5FCA"/>
    <w:rsid w:val="00E02A66"/>
    <w:rsid w:val="00E05354"/>
    <w:rsid w:val="00E119A0"/>
    <w:rsid w:val="00E14D02"/>
    <w:rsid w:val="00E21876"/>
    <w:rsid w:val="00E22083"/>
    <w:rsid w:val="00E22E6C"/>
    <w:rsid w:val="00E26FE5"/>
    <w:rsid w:val="00E37B60"/>
    <w:rsid w:val="00E40044"/>
    <w:rsid w:val="00E4421E"/>
    <w:rsid w:val="00E46BBC"/>
    <w:rsid w:val="00E539EC"/>
    <w:rsid w:val="00E64751"/>
    <w:rsid w:val="00E66F12"/>
    <w:rsid w:val="00E67EFF"/>
    <w:rsid w:val="00E73B1F"/>
    <w:rsid w:val="00E77F24"/>
    <w:rsid w:val="00E8177E"/>
    <w:rsid w:val="00E84E6B"/>
    <w:rsid w:val="00E86285"/>
    <w:rsid w:val="00E8712B"/>
    <w:rsid w:val="00E90C03"/>
    <w:rsid w:val="00E923D0"/>
    <w:rsid w:val="00E92651"/>
    <w:rsid w:val="00E93C12"/>
    <w:rsid w:val="00E96030"/>
    <w:rsid w:val="00EA7706"/>
    <w:rsid w:val="00EB25E6"/>
    <w:rsid w:val="00EB5EFD"/>
    <w:rsid w:val="00EC1484"/>
    <w:rsid w:val="00EC1E0F"/>
    <w:rsid w:val="00EC354B"/>
    <w:rsid w:val="00ED07AF"/>
    <w:rsid w:val="00ED31EF"/>
    <w:rsid w:val="00ED45D5"/>
    <w:rsid w:val="00ED68EE"/>
    <w:rsid w:val="00EE178C"/>
    <w:rsid w:val="00EE19CD"/>
    <w:rsid w:val="00EF0E0F"/>
    <w:rsid w:val="00EF17DD"/>
    <w:rsid w:val="00EF208C"/>
    <w:rsid w:val="00EF3FC6"/>
    <w:rsid w:val="00EF52D1"/>
    <w:rsid w:val="00EF7FAF"/>
    <w:rsid w:val="00F06747"/>
    <w:rsid w:val="00F07D39"/>
    <w:rsid w:val="00F07ECD"/>
    <w:rsid w:val="00F12222"/>
    <w:rsid w:val="00F125F3"/>
    <w:rsid w:val="00F1740D"/>
    <w:rsid w:val="00F1777B"/>
    <w:rsid w:val="00F37F57"/>
    <w:rsid w:val="00F413B7"/>
    <w:rsid w:val="00F5187F"/>
    <w:rsid w:val="00F62B81"/>
    <w:rsid w:val="00F632C9"/>
    <w:rsid w:val="00F66254"/>
    <w:rsid w:val="00F701FD"/>
    <w:rsid w:val="00F72F1A"/>
    <w:rsid w:val="00F80E51"/>
    <w:rsid w:val="00F86E7A"/>
    <w:rsid w:val="00F911DC"/>
    <w:rsid w:val="00F941BC"/>
    <w:rsid w:val="00F94CB7"/>
    <w:rsid w:val="00FA0833"/>
    <w:rsid w:val="00FA69D7"/>
    <w:rsid w:val="00FB0911"/>
    <w:rsid w:val="00FB10C3"/>
    <w:rsid w:val="00FB4084"/>
    <w:rsid w:val="00FB40DA"/>
    <w:rsid w:val="00FC2E23"/>
    <w:rsid w:val="00FC323D"/>
    <w:rsid w:val="00FC5073"/>
    <w:rsid w:val="00FD4F5D"/>
    <w:rsid w:val="00FE0CB6"/>
    <w:rsid w:val="00FE24D1"/>
    <w:rsid w:val="00FE394E"/>
    <w:rsid w:val="00FF1E4B"/>
    <w:rsid w:val="00FF2007"/>
    <w:rsid w:val="00FF3A64"/>
    <w:rsid w:val="00FF44CB"/>
    <w:rsid w:val="27725966"/>
    <w:rsid w:val="705136EC"/>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unhideWhenUsed="0" w:qFormat="1"/>
    <w:lsdException w:name="header" w:semiHidden="0" w:uiPriority="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等线" w:eastAsia="等线" w:hAnsi="等线" w:cs="Times New Roman"/>
      <w:kern w:val="2"/>
      <w:sz w:val="21"/>
      <w:szCs w:val="22"/>
      <w:lang w:val="en-US" w:eastAsia="zh-CN" w:bidi="ar-SA"/>
    </w:rPr>
  </w:style>
  <w:style w:type="paragraph" w:styleId="Heading1">
    <w:name w:val="heading 1"/>
    <w:basedOn w:val="Normal"/>
    <w:next w:val="Normal"/>
    <w:link w:val="1"/>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autoRedefine/>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CommentText">
    <w:name w:val="annotation text"/>
    <w:basedOn w:val="Normal"/>
    <w:link w:val="a2"/>
    <w:qFormat/>
    <w:pPr>
      <w:jc w:val="left"/>
    </w:pPr>
    <w:rPr>
      <w:rFonts w:asciiTheme="minorHAnsi" w:eastAsiaTheme="minorEastAsia" w:hAnsiTheme="minorHAnsi" w:cstheme="minorBidi"/>
      <w:szCs w:val="24"/>
    </w:rPr>
  </w:style>
  <w:style w:type="paragraph" w:styleId="TOC3">
    <w:name w:val="toc 3"/>
    <w:basedOn w:val="Normal"/>
    <w:next w:val="Normal"/>
    <w:uiPriority w:val="39"/>
    <w:unhideWhenUsed/>
    <w:pPr>
      <w:ind w:left="840" w:leftChars="400"/>
    </w:pPr>
  </w:style>
  <w:style w:type="paragraph" w:styleId="BalloonText">
    <w:name w:val="Balloon Text"/>
    <w:basedOn w:val="Normal"/>
    <w:link w:val="a1"/>
    <w:uiPriority w:val="99"/>
    <w:semiHidden/>
    <w:unhideWhenUsed/>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Normal"/>
    <w:next w:val="Normal"/>
    <w:uiPriority w:val="39"/>
    <w:unhideWhenUsed/>
  </w:style>
  <w:style w:type="paragraph" w:styleId="FootnoteText">
    <w:name w:val="footnote text"/>
    <w:basedOn w:val="Normal"/>
    <w:link w:val="a3"/>
    <w:uiPriority w:val="99"/>
    <w:semiHidden/>
    <w:unhideWhenUsed/>
    <w:pPr>
      <w:snapToGrid w:val="0"/>
      <w:jc w:val="left"/>
    </w:pPr>
    <w:rPr>
      <w:sz w:val="18"/>
      <w:szCs w:val="18"/>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uiPriority w:val="99"/>
    <w:semiHidden/>
    <w:unhideWhenUsed/>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rPr>
      <w:vertAlign w:val="superscript"/>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uiPriority w:val="9"/>
    <w:qFormat/>
    <w:rPr>
      <w:rFonts w:ascii="等线" w:eastAsia="等线" w:hAnsi="等线" w:cs="Times New Roman"/>
      <w:b/>
      <w:bCs/>
      <w:kern w:val="44"/>
      <w:sz w:val="44"/>
      <w:szCs w:val="44"/>
    </w:rPr>
  </w:style>
  <w:style w:type="paragraph" w:customStyle="1" w:styleId="TOC10">
    <w:name w:val="TOC 标题1"/>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a1">
    <w:name w:val="批注框文本 字符"/>
    <w:basedOn w:val="DefaultParagraphFont"/>
    <w:link w:val="BalloonText"/>
    <w:autoRedefine/>
    <w:uiPriority w:val="99"/>
    <w:semiHidden/>
    <w:qFormat/>
    <w:rPr>
      <w:rFonts w:ascii="等线" w:eastAsia="等线" w:hAnsi="等线" w:cs="Times New Roman"/>
      <w:sz w:val="18"/>
      <w:szCs w:val="18"/>
    </w:rPr>
  </w:style>
  <w:style w:type="character" w:customStyle="1" w:styleId="2">
    <w:name w:val="标题 2 字符"/>
    <w:basedOn w:val="DefaultParagraphFont"/>
    <w:link w:val="Heading2"/>
    <w:autoRedefine/>
    <w:uiPriority w:val="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Pr>
      <w:rFonts w:ascii="等线" w:eastAsia="等线" w:hAnsi="等线" w:cs="Times New Roman"/>
      <w:b/>
      <w:bCs/>
      <w:sz w:val="32"/>
      <w:szCs w:val="32"/>
    </w:rPr>
  </w:style>
  <w:style w:type="paragraph" w:styleId="ListParagraph">
    <w:name w:val="List Paragraph"/>
    <w:basedOn w:val="Normal"/>
    <w:uiPriority w:val="34"/>
    <w:qFormat/>
    <w:pPr>
      <w:ind w:firstLine="420" w:firstLineChars="200"/>
    </w:pPr>
  </w:style>
  <w:style w:type="character" w:customStyle="1" w:styleId="a2">
    <w:name w:val="批注文字 字符"/>
    <w:basedOn w:val="DefaultParagraphFont"/>
    <w:link w:val="CommentText"/>
    <w:qFormat/>
    <w:rPr>
      <w:szCs w:val="24"/>
    </w:rPr>
  </w:style>
  <w:style w:type="table" w:customStyle="1" w:styleId="2-11">
    <w:name w:val="网格表 2 - 着色 11"/>
    <w:basedOn w:val="TableNormal"/>
    <w:autoRedefine/>
    <w:uiPriority w:val="47"/>
    <w:qFormat/>
    <w:tblPr>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1-21">
    <w:name w:val="网格表 1 浅色 - 着色 21"/>
    <w:basedOn w:val="TableNormal"/>
    <w:autoRedefine/>
    <w:uiPriority w:val="46"/>
    <w:qFormat/>
    <w:tblPr>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21">
    <w:name w:val="网格表 21"/>
    <w:basedOn w:val="TableNormal"/>
    <w:autoRedefine/>
    <w:uiPriority w:val="47"/>
    <w:qFormat/>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PlaceholderText">
    <w:name w:val="Placeholder Text"/>
    <w:basedOn w:val="DefaultParagraphFont"/>
    <w:autoRedefine/>
    <w:uiPriority w:val="99"/>
    <w:semiHidden/>
    <w:qFormat/>
    <w:rPr>
      <w:color w:val="808080"/>
    </w:rPr>
  </w:style>
  <w:style w:type="character" w:customStyle="1" w:styleId="a3">
    <w:name w:val="脚注文本 字符"/>
    <w:basedOn w:val="DefaultParagraphFont"/>
    <w:link w:val="FootnoteText"/>
    <w:autoRedefine/>
    <w:uiPriority w:val="99"/>
    <w:semiHidden/>
    <w:qFormat/>
    <w:rPr>
      <w:rFonts w:ascii="等线" w:eastAsia="等线" w:hAnsi="等线" w:cs="Times New Roman"/>
      <w:sz w:val="18"/>
      <w:szCs w:val="18"/>
    </w:rPr>
  </w:style>
  <w:style w:type="table" w:customStyle="1" w:styleId="10">
    <w:name w:val="网格型浅色1"/>
    <w:basedOn w:val="TableNormal"/>
    <w:autoRedefine/>
    <w:uiPriority w:val="40"/>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chart" Target="charts/chart1.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chart" Target="charts/chart2.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settings" Target="settings.xml" /><Relationship Id="rId20" Type="http://schemas.openxmlformats.org/officeDocument/2006/relationships/footer" Target="footer6.xml" /><Relationship Id="rId21" Type="http://schemas.openxmlformats.org/officeDocument/2006/relationships/hyperlink" Target="https://d.book118.com/816132151025010040" TargetMode="Externa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charts/_rels/chart1.xml.rels><?xml version="1.0" encoding="utf-8" standalone="yes"?><Relationships xmlns="http://schemas.openxmlformats.org/package/2006/relationships"><Relationship Id="rId1" Type="http://schemas.openxmlformats.org/officeDocument/2006/relationships/oleObject" Target="file:///C:\Users\Serena\Desktop\&#26032;&#24314;%20Microsoft%20Excel%20&#24037;&#20316;&#34920;.xlsx" TargetMode="External"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_rels/chart2.xml.rels><?xml version="1.0" encoding="utf-8" standalone="yes"?><Relationships xmlns="http://schemas.openxmlformats.org/package/2006/relationships"><Relationship Id="rId1" Type="http://schemas.openxmlformats.org/officeDocument/2006/relationships/oleObject" Target="file:///C:\Users\Serena\Desktop\&#26032;&#24314;%20Microsoft%20Excel%20&#24037;&#20316;&#34920;.xlsx" TargetMode="External" /><Relationship Id="rId2" Type="http://schemas.openxmlformats.org/officeDocument/2006/relationships/themeOverride" Target="../theme/themeOverride2.xml" /><Relationship Id="rId3" Type="http://schemas.microsoft.com/office/2011/relationships/chartColorStyle" Target="chart/colors2.xml" /><Relationship Id="rId4"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dist="0" dir="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dist="0" dir="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chart/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网民规模</c:v>
                </c:pt>
              </c:strCache>
            </c:strRef>
          </c:tx>
          <c:spPr>
            <a:pattFill prst="narHorz">
              <a:fgClr>
                <a:schemeClr val="accent1"/>
              </a:fgClr>
              <a:bgClr>
                <a:schemeClr val="accent1">
                  <a:lumMod val="20000"/>
                  <a:lumOff val="80000"/>
                </a:schemeClr>
              </a:bgClr>
            </a:pattFill>
            <a:ln>
              <a:noFill/>
            </a:ln>
            <a:effectLst>
              <a:innerShdw blurRad="114300" dist="0" dir="0">
                <a:schemeClr val="accent1"/>
              </a:innerShdw>
            </a:effectLst>
          </c:spPr>
          <c:invertIfNegative val="0"/>
          <c:dLbls>
            <c:delete val="1"/>
            <c:showLegendKey val="0"/>
            <c:showVal val="0"/>
            <c:showCatName val="0"/>
            <c:showSerName val="0"/>
            <c:showPercent val="0"/>
            <c:showBubbleSize val="0"/>
          </c:dLbls>
          <c:val>
            <c:numRef>
              <c:f>Sheet1!$B$2:$B$6</c:f>
              <c:numCache>
                <c:formatCode>General</c:formatCode>
                <c:ptCount val="5"/>
                <c:pt idx="0">
                  <c:v>73125</c:v>
                </c:pt>
                <c:pt idx="1">
                  <c:v>77198</c:v>
                </c:pt>
                <c:pt idx="2">
                  <c:v>82851</c:v>
                </c:pt>
                <c:pt idx="3">
                  <c:v>90359</c:v>
                </c:pt>
                <c:pt idx="4">
                  <c:v>98899</c:v>
                </c:pt>
              </c:numCache>
            </c:numRef>
          </c:val>
        </c:ser>
        <c:dLbls>
          <c:showLegendKey val="0"/>
          <c:showVal val="0"/>
          <c:showCatName val="0"/>
          <c:showSerName val="0"/>
          <c:showPercent val="0"/>
          <c:showBubbleSize val="0"/>
        </c:dLbls>
        <c:gapWidth val="219"/>
        <c:overlap val="-27"/>
        <c:axId val="908225912"/>
        <c:axId val="908222960"/>
      </c:barChart>
      <c:lineChart>
        <c:grouping val="standard"/>
        <c:varyColors val="0"/>
        <c:ser>
          <c:idx val="1"/>
          <c:order val="1"/>
          <c:tx>
            <c:strRef>
              <c:f>Sheet1!$C$1</c:f>
              <c:strCache>
                <c:ptCount val="1"/>
                <c:pt idx="0">
                  <c:v>互联网普及</c:v>
                </c:pt>
              </c:strCache>
            </c:strRef>
          </c:tx>
          <c:spPr>
            <a:ln w="28575" cap="rnd">
              <a:solidFill>
                <a:schemeClr val="accent2"/>
              </a:solidFill>
              <a:round/>
            </a:ln>
            <a:effectLst/>
          </c:spPr>
          <c:marker>
            <c:symbol val="circle"/>
            <c:size val="6"/>
            <c:spPr>
              <a:solidFill>
                <a:schemeClr val="accent2"/>
              </a:solidFill>
              <a:ln w="6350">
                <a:noFill/>
              </a:ln>
              <a:effectLst/>
            </c:spPr>
          </c:marker>
          <c:dLbls>
            <c:delete val="1"/>
            <c:showLegendKey val="0"/>
            <c:showVal val="0"/>
            <c:showCatName val="0"/>
            <c:showSerName val="0"/>
            <c:showPercent val="0"/>
            <c:showBubbleSize val="0"/>
          </c:dLbls>
          <c:val>
            <c:numRef>
              <c:f>Sheet1!$C$2:$C$6</c:f>
              <c:numCache>
                <c:formatCode>General</c:formatCode>
                <c:ptCount val="5"/>
                <c:pt idx="0">
                  <c:v>38903</c:v>
                </c:pt>
                <c:pt idx="1">
                  <c:v>43076</c:v>
                </c:pt>
                <c:pt idx="2">
                  <c:v>49379</c:v>
                </c:pt>
                <c:pt idx="3">
                  <c:v>58643</c:v>
                </c:pt>
                <c:pt idx="4">
                  <c:v>69625</c:v>
                </c:pt>
              </c:numCache>
            </c:numRef>
          </c:val>
          <c:smooth val="0"/>
        </c:ser>
        <c:dLbls>
          <c:showLegendKey val="0"/>
          <c:showVal val="0"/>
          <c:showCatName val="0"/>
          <c:showSerName val="0"/>
          <c:showPercent val="0"/>
          <c:showBubbleSize val="0"/>
        </c:dLbls>
        <c:marker val="1"/>
        <c:smooth val="0"/>
        <c:axId val="908225912"/>
        <c:axId val="908222960"/>
      </c:lineChart>
      <c:catAx>
        <c:axId val="908225912"/>
        <c:scaling>
          <c:orientation val="minMax"/>
        </c:scaling>
        <c:delete val="0"/>
        <c:axPos val="b"/>
        <c:numFmt formatCode="General" sourceLinked="1"/>
        <c:majorTickMark val="none"/>
        <c:minorTickMark val="none"/>
        <c:tickLblPos val="nextTo"/>
        <c:spPr>
          <a:noFill/>
          <a:ln w="19050">
            <a:solidFill>
              <a:schemeClr val="tx1">
                <a:lumMod val="25000"/>
                <a:lumOff val="7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08222960"/>
        <c:crosses val="autoZero"/>
        <c:auto val="1"/>
        <c:lblAlgn val="ctr"/>
        <c:lblOffset val="100"/>
        <c:noMultiLvlLbl val="0"/>
      </c:catAx>
      <c:valAx>
        <c:axId val="908222960"/>
        <c:scaling>
          <c:orientation val="minMax"/>
        </c:scaling>
        <c:delete val="0"/>
        <c:axPos val="l"/>
        <c:majorGridlines>
          <c:spPr>
            <a:ln w="6350">
              <a:solidFill>
                <a:schemeClr val="tx1">
                  <a:lumMod val="15000"/>
                  <a:lumOff val="85000"/>
                </a:schemeClr>
              </a:solidFill>
            </a:ln>
            <a:effectLst/>
          </c:spPr>
        </c:majorGridlines>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08225912"/>
        <c:crosses val="autoZero"/>
        <c:crossBetween val="between"/>
      </c:valAx>
      <c:spPr>
        <a:noFill/>
        <a:ln>
          <a:noFill/>
        </a:ln>
        <a:effectLst/>
      </c:spPr>
    </c:plotArea>
    <c:legend>
      <c:legendPos val="b"/>
      <c:layout>
        <c:manualLayout>
          <c:xMode val="edge"/>
          <c:yMode val="edge"/>
          <c:x val="0.304444444444444"/>
          <c:y val="0.915364902303879"/>
          <c:w val="0.43"/>
          <c:h val="0.0707462088072324"/>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clip"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a:latin typeface="宋体" panose="02010600030101010101" charset="-122"/>
                <a:ea typeface="宋体" panose="02010600030101010101" charset="-122"/>
              </a:rPr>
              <a:t>2017—2019</a:t>
            </a:r>
            <a:r>
              <a:rPr lang="zh-CN" altLang="en-US" sz="1200">
                <a:latin typeface="宋体" panose="02010600030101010101" charset="-122"/>
                <a:ea typeface="宋体" panose="02010600030101010101" charset="-122"/>
              </a:rPr>
              <a:t>中国新媒体行业不同领域用户规模及预测（单位：亿）</a:t>
            </a:r>
            <a:endParaRPr lang="zh-CN" altLang="en-US" sz="1200">
              <a:latin typeface="宋体" panose="02010600030101010101" charset="-122"/>
              <a:ea typeface="宋体" panose="02010600030101010101" charset="-122"/>
            </a:endParaRP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Sheet1!$A$1:$D$1</c:f>
              <c:numCache>
                <c:formatCode>General</c:formatCode>
                <c:ptCount val="4"/>
                <c:pt idx="0">
                  <c:v>2017</c:v>
                </c:pt>
                <c:pt idx="1">
                  <c:v>2018</c:v>
                </c:pt>
                <c:pt idx="2">
                  <c:v>2019</c:v>
                </c:pt>
              </c:numCache>
            </c:numRef>
          </c:cat>
          <c:val>
            <c:numRef>
              <c:f>Sheet1!$A$2:$D$2</c:f>
              <c:numCache>
                <c:formatCode>General</c:formatCode>
                <c:ptCount val="4"/>
                <c:pt idx="0">
                  <c:v>4</c:v>
                </c:pt>
                <c:pt idx="1">
                  <c:v>2.4</c:v>
                </c:pt>
                <c:pt idx="2">
                  <c:v>7</c:v>
                </c:pt>
              </c:numCache>
            </c:numRef>
          </c:val>
        </c:ser>
        <c: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Sheet1!$A$1:$D$1</c:f>
              <c:numCache>
                <c:formatCode>General</c:formatCode>
                <c:ptCount val="4"/>
                <c:pt idx="0">
                  <c:v>2017</c:v>
                </c:pt>
                <c:pt idx="1">
                  <c:v>2018</c:v>
                </c:pt>
                <c:pt idx="2">
                  <c:v>2019</c:v>
                </c:pt>
              </c:numCache>
            </c:numRef>
          </c:cat>
          <c:val>
            <c:numRef>
              <c:f>Sheet1!$A$3:$D$3</c:f>
              <c:numCache>
                <c:formatCode>General</c:formatCode>
                <c:ptCount val="4"/>
                <c:pt idx="0">
                  <c:v>4.6</c:v>
                </c:pt>
                <c:pt idx="1">
                  <c:v>5</c:v>
                </c:pt>
                <c:pt idx="2">
                  <c:v>7.4</c:v>
                </c:pt>
              </c:numCache>
            </c:numRef>
          </c:val>
        </c:ser>
        <c: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Sheet1!$A$1:$D$1</c:f>
              <c:numCache>
                <c:formatCode>General</c:formatCode>
                <c:ptCount val="4"/>
                <c:pt idx="0">
                  <c:v>2017</c:v>
                </c:pt>
                <c:pt idx="1">
                  <c:v>2018</c:v>
                </c:pt>
                <c:pt idx="2">
                  <c:v>2019</c:v>
                </c:pt>
              </c:numCache>
            </c:numRef>
          </c:cat>
          <c:val>
            <c:numRef>
              <c:f>Sheet1!$A$4:$D$4</c:f>
              <c:numCache>
                <c:formatCode>General</c:formatCode>
                <c:ptCount val="4"/>
                <c:pt idx="0">
                  <c:v>5</c:v>
                </c:pt>
                <c:pt idx="1">
                  <c:v>6.3</c:v>
                </c:pt>
                <c:pt idx="2">
                  <c:v>7.8</c:v>
                </c:pt>
              </c:numCache>
            </c:numRef>
          </c:val>
        </c:ser>
        <c:dLbls>
          <c:showLegendKey val="0"/>
          <c:showVal val="1"/>
          <c:showCatName val="0"/>
          <c:showSerName val="0"/>
          <c:showPercent val="0"/>
          <c:showBubbleSize val="0"/>
        </c:dLbls>
        <c:gapWidth val="219"/>
        <c:overlap val="-27"/>
        <c:axId val="721708440"/>
        <c:axId val="721710080"/>
      </c:barChart>
      <c:catAx>
        <c:axId val="721708440"/>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1710080"/>
        <c:crosses val="autoZero"/>
        <c:auto val="1"/>
        <c:lblAlgn val="ctr"/>
        <c:lblOffset val="100"/>
        <c:noMultiLvlLbl val="0"/>
      </c:catAx>
      <c:valAx>
        <c:axId val="721710080"/>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1708440"/>
        <c:crosses val="autoZero"/>
        <c:crossBetween val="between"/>
      </c:valAx>
      <c:spPr>
        <a:noFill/>
        <a:ln>
          <a:noFill/>
        </a:ln>
        <a:effectLst/>
      </c:spPr>
    </c:plotArea>
    <c:legend>
      <c:legendPos val="b"/>
      <c:layout>
        <c:manualLayout>
          <c:xMode val="edge"/>
          <c:yMode val="edge"/>
          <c:x val="0.0961006124234471"/>
          <c:y val="0.880207786526684"/>
          <c:w val="0.710576334208224"/>
          <c:h val="0.078125546806649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xmlns:a="http://schemas.openxmlformats.org/drawingml/2006/main"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Office">
    <a:dk1>
      <a:sysClr lastClr="000000" val="windowText"/>
    </a:dk1>
    <a:lt1>
      <a:sysClr lastClr="FFFFFF" val="window"/>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xmlns:a="http://schemas.openxmlformats.org/drawingml/2006/main"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173119-E82E-4FF4-B3CD-1EC0F19E3AD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3249</Words>
  <Characters>18522</Characters>
  <Application>Microsoft Office Word</Application>
  <DocSecurity>0</DocSecurity>
  <Lines>154</Lines>
  <Paragraphs>43</Paragraphs>
  <ScaleCrop>false</ScaleCrop>
  <Company/>
  <LinksUpToDate>false</LinksUpToDate>
  <CharactersWithSpaces>21728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薄 文忻</dc:creator>
  <cp:lastModifiedBy>ABEEL</cp:lastModifiedBy>
  <cp:revision>3</cp:revision>
  <cp:lastPrinted>2021-05-10T16:06:00Z</cp:lastPrinted>
  <dcterms:created xsi:type="dcterms:W3CDTF">2021-05-11T01:34:00Z</dcterms:created>
  <dcterms:modified xsi:type="dcterms:W3CDTF">2024-01-21T12:50:28Z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7488F03399824E31B31EF91DEDB47113_13</vt:lpwstr>
  </property>
  <property fmtid="{D5CDD505-2E9C-101B-9397-08002B2CF9AE}" pid="3" name="KSOProductBuildVer">
    <vt:lpwstr>2052-12.1.0.16120</vt:lpwstr>
  </property>
</Properties>
</file>