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pPr>
        <w:pStyle w:val="BodyTextIndent"/>
        <w:spacing w:after="0"/>
        <w:ind w:left="0" w:firstLine="560" w:leftChars="0" w:firstLineChars="200"/>
        <w:rPr>
          <w:rFonts w:ascii="宋体" w:eastAsia="宋体"/>
          <w:color w:val="auto"/>
          <w:spacing w:val="12"/>
          <w:sz w:val="28"/>
          <w:lang w:val="en-US" w:eastAsia="zh-CN"/>
        </w:rPr>
      </w:pPr>
      <w:r>
        <w:rPr>
          <w:rFonts w:ascii="宋体" w:hAnsi="宋体" w:hint="eastAsia"/>
          <w:color w:val="auto"/>
          <w:spacing w:val="12"/>
          <w:sz w:val="28"/>
        </w:rPr>
        <w:t>本</w:t>
      </w:r>
      <w:r>
        <w:rPr>
          <w:rFonts w:ascii="宋体" w:hAnsi="宋体" w:hint="eastAsia"/>
          <w:color w:val="auto"/>
          <w:spacing w:val="12"/>
          <w:sz w:val="28"/>
          <w:lang w:eastAsia="zh-CN"/>
        </w:rPr>
        <w:t>发明</w:t>
      </w:r>
      <w:r>
        <w:rPr>
          <w:rFonts w:ascii="宋体" w:hAnsi="宋体" w:hint="eastAsia"/>
          <w:color w:val="auto"/>
          <w:spacing w:val="12"/>
          <w:sz w:val="28"/>
          <w:lang w:val="en-US" w:eastAsia="zh-CN"/>
        </w:rPr>
        <w:t>公开了一种快速测定偏移方向的装置，包括</w:t>
      </w:r>
      <w:r>
        <w:rPr>
          <w:rFonts w:ascii="宋体" w:hAnsi="宋体" w:hint="eastAsia"/>
          <w:color w:val="auto"/>
          <w:spacing w:val="12"/>
          <w:sz w:val="28"/>
          <w:lang w:eastAsia="zh-CN"/>
        </w:rPr>
        <w:t>支撑固定组件、搭接传递组件和偏移方位测试组件</w:t>
      </w:r>
      <w:r>
        <w:rPr>
          <w:rFonts w:ascii="宋体" w:hAnsi="宋体" w:hint="eastAsia"/>
          <w:color w:val="auto"/>
          <w:spacing w:val="12"/>
          <w:sz w:val="28"/>
        </w:rPr>
        <w:t>，</w:t>
      </w:r>
      <w:r>
        <w:rPr>
          <w:rFonts w:ascii="宋体" w:hAnsi="宋体" w:hint="eastAsia"/>
          <w:color w:val="auto"/>
          <w:spacing w:val="12"/>
          <w:sz w:val="28"/>
          <w:lang w:eastAsia="zh-CN"/>
        </w:rPr>
        <w:t>支撑固定组件包括测试探头和可控支撑臂</w:t>
      </w:r>
      <w:bookmarkStart w:id="0" w:name="_GoBack"/>
      <w:bookmarkEnd w:id="0"/>
      <w:r>
        <w:rPr>
          <w:rFonts w:ascii="宋体" w:hAnsi="宋体" w:hint="eastAsia"/>
          <w:color w:val="auto"/>
          <w:spacing w:val="12"/>
          <w:sz w:val="28"/>
          <w:lang w:eastAsia="zh-CN"/>
        </w:rPr>
        <w:t>，测试探头的正下方设置有可控支撑臂，测试探头的正上方设置有偏移方位测试组件，搭接传递组件竖直贯穿测试探头设置，搭接传递组件的底端与可控支撑臂连接，搭接传递组件的顶端与偏移方位测试组件可拆卸连接</w:t>
      </w:r>
      <w:r>
        <w:rPr>
          <w:rFonts w:ascii="宋体" w:hAnsi="宋体" w:hint="eastAsia"/>
          <w:color w:val="auto"/>
          <w:spacing w:val="12"/>
          <w:sz w:val="28"/>
          <w:lang w:val="en-US" w:eastAsia="zh-CN"/>
        </w:rPr>
        <w:t>。本发明</w:t>
      </w:r>
      <w:r>
        <w:rPr>
          <w:rFonts w:ascii="宋体" w:hAnsi="宋体" w:hint="eastAsia"/>
          <w:color w:val="auto"/>
          <w:spacing w:val="12"/>
          <w:sz w:val="28"/>
          <w:szCs w:val="22"/>
          <w:lang w:eastAsia="zh-CN"/>
        </w:rPr>
        <w:t>能够</w:t>
      </w:r>
      <w:r>
        <w:rPr>
          <w:rFonts w:ascii="宋体" w:hAnsi="宋体" w:hint="eastAsia"/>
          <w:color w:val="auto"/>
          <w:spacing w:val="12"/>
          <w:sz w:val="28"/>
          <w:szCs w:val="22"/>
        </w:rPr>
        <w:t>现场快速判定开孔偏移的方向，便于第二孔位置的调整，在检测过程中也可以及时的测定，发现偏移及时的调整，节省人力时间成本</w:t>
      </w:r>
      <w:r>
        <w:rPr>
          <w:rFonts w:ascii="宋体" w:hAnsi="宋体" w:hint="eastAsia"/>
          <w:color w:val="auto"/>
          <w:spacing w:val="12"/>
          <w:sz w:val="28"/>
        </w:rPr>
        <w:t>。</w:t>
      </w:r>
    </w:p>
    <w:p>
      <w:pPr>
        <w:tabs>
          <w:tab w:val="center" w:pos="0"/>
        </w:tabs>
        <w:ind w:firstLine="419" w:firstLineChars="131"/>
        <w:rPr>
          <w:rFonts w:eastAsia="Times New Roman" w:hint="default"/>
          <w:color w:val="auto"/>
          <w:sz w:val="32"/>
        </w:rPr>
      </w:pPr>
    </w:p>
    <w:p>
      <w:pPr>
        <w:tabs>
          <w:tab w:val="center" w:pos="4153"/>
        </w:tabs>
        <w:rPr>
          <w:rFonts w:eastAsia="Times New Roman" w:hint="default"/>
          <w:color w:val="auto"/>
        </w:rPr>
        <w:sectPr>
          <w:headerReference w:type="default" r:id="rId5"/>
          <w:footerReference w:type="default" r:id="rId6"/>
          <w:pgSz w:w="11906" w:h="16838"/>
          <w:pgMar w:top="1440" w:right="1800" w:bottom="1440" w:left="1800" w:header="851" w:footer="992" w:gutter="0"/>
          <w:lnNumType w:distance="360"/>
          <w:cols w:num="1" w:space="720"/>
          <w:docGrid w:type="lines" w:linePitch="312" w:charSpace="0"/>
        </w:sectPr>
      </w:pPr>
      <w:r>
        <w:rPr>
          <w:rFonts w:eastAsia="Times New Roman" w:hint="default"/>
          <w:color w:val="auto"/>
          <w:sz w:val="21"/>
        </w:rPr>
        <w:tab/>
      </w:r>
    </w:p>
    <w:p>
      <w:pPr>
        <w:ind w:firstLine="420" w:firstLineChars="200"/>
        <w:jc w:val="center"/>
        <w:rPr>
          <w:rFonts w:eastAsia="Times New Roman" w:hint="default"/>
          <w:color w:val="auto"/>
        </w:rPr>
      </w:pPr>
    </w:p>
    <w:p>
      <w:pPr>
        <w:ind w:firstLine="420" w:firstLineChars="200"/>
        <w:jc w:val="center"/>
        <w:rPr>
          <w:rFonts w:eastAsia="Times New Roman" w:hint="default"/>
          <w:color w:val="auto"/>
        </w:rPr>
      </w:pPr>
    </w:p>
    <w:p>
      <w:pPr>
        <w:jc w:val="center"/>
        <w:rPr>
          <w:color w:val="auto"/>
        </w:rPr>
      </w:pPr>
    </w:p>
    <w:p>
      <w:pPr>
        <w:ind w:firstLine="420" w:firstLineChars="200"/>
        <w:jc w:val="center"/>
        <w:rPr>
          <w:rFonts w:eastAsia="Times New Roman" w:hint="default"/>
          <w:color w:val="auto"/>
        </w:rPr>
      </w:pPr>
    </w:p>
    <w:p>
      <w:pPr>
        <w:ind w:firstLine="420" w:firstLineChars="200"/>
        <w:jc w:val="center"/>
        <w:rPr>
          <w:rFonts w:eastAsia="Times New Roman" w:hint="default"/>
          <w:color w:val="auto"/>
        </w:rPr>
      </w:pPr>
    </w:p>
    <w:p>
      <w:pPr>
        <w:jc w:val="center"/>
        <w:rPr>
          <w:rFonts w:eastAsia="Times New Roman" w:hint="default"/>
          <w:color w:val="auto"/>
        </w:rPr>
        <w:sectPr>
          <w:headerReference w:type="default" r:id="rId7"/>
          <w:footerReference w:type="default" r:id="rId8"/>
          <w:pgSz w:w="11906" w:h="16838"/>
          <w:pgMar w:top="1440" w:right="1800" w:bottom="1440" w:left="1800" w:header="851" w:footer="992" w:gutter="0"/>
          <w:lnNumType w:distance="360"/>
          <w:pgNumType w:fmt="decimal" w:start="1"/>
          <w:cols w:num="1" w:space="720"/>
          <w:docGrid w:type="lines" w:linePitch="312" w:charSpace="0"/>
        </w:sectPr>
      </w:pPr>
      <w:r>
        <w:drawing>
          <wp:inline distT="0" distB="0" distL="114300" distR="114300">
            <wp:extent cx="3543300" cy="5076825"/>
            <wp:effectExtent l="0" t="0" r="0"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xmlns:r="http://schemas.openxmlformats.org/officeDocument/2006/relationships" r:embed="rId9"/>
                    <a:stretch>
                      <a:fillRect/>
                    </a:stretch>
                  </pic:blipFill>
                  <pic:spPr>
                    <a:xfrm>
                      <a:off x="0" y="0"/>
                      <a:ext cx="3543300" cy="5076825"/>
                    </a:xfrm>
                    <a:prstGeom prst="rect">
                      <a:avLst/>
                    </a:prstGeom>
                    <a:noFill/>
                    <a:ln>
                      <a:noFill/>
                    </a:ln>
                  </pic:spPr>
                </pic:pic>
              </a:graphicData>
            </a:graphic>
          </wp:inline>
        </w:drawing>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olor w:val="auto"/>
          <w:spacing w:val="12"/>
          <w:sz w:val="28"/>
        </w:rPr>
      </w:pPr>
      <w:r>
        <w:rPr>
          <w:rFonts w:ascii="宋体" w:hAnsi="宋体" w:hint="eastAsia"/>
          <w:color w:val="auto"/>
          <w:spacing w:val="12"/>
          <w:sz w:val="28"/>
          <w:lang w:eastAsia="zh-CN"/>
        </w:rPr>
        <w:t>一种快速测定偏移方向的装置</w:t>
      </w:r>
      <w:r>
        <w:rPr>
          <w:rFonts w:ascii="宋体" w:hAnsi="宋体" w:hint="eastAsia"/>
          <w:color w:val="auto"/>
          <w:spacing w:val="12"/>
          <w:sz w:val="28"/>
        </w:rPr>
        <w:t>，其特征在于：包括</w:t>
      </w:r>
      <w:r>
        <w:rPr>
          <w:rFonts w:ascii="宋体" w:hAnsi="宋体" w:hint="eastAsia"/>
          <w:color w:val="auto"/>
          <w:spacing w:val="12"/>
          <w:sz w:val="28"/>
          <w:lang w:eastAsia="zh-CN"/>
        </w:rPr>
        <w:t>支撑固定组件（</w:t>
      </w:r>
      <w:r>
        <w:rPr>
          <w:rFonts w:ascii="宋体" w:hAnsi="宋体" w:hint="eastAsia"/>
          <w:color w:val="auto"/>
          <w:spacing w:val="12"/>
          <w:sz w:val="28"/>
          <w:lang w:val="en-US" w:eastAsia="zh-CN"/>
        </w:rPr>
        <w:t>1</w:t>
      </w:r>
      <w:r>
        <w:rPr>
          <w:rFonts w:ascii="宋体" w:hAnsi="宋体" w:hint="eastAsia"/>
          <w:color w:val="auto"/>
          <w:spacing w:val="12"/>
          <w:sz w:val="28"/>
          <w:lang w:eastAsia="zh-CN"/>
        </w:rPr>
        <w:t>）、搭接传递组件（</w:t>
      </w:r>
      <w:r>
        <w:rPr>
          <w:rFonts w:ascii="宋体" w:hAnsi="宋体" w:hint="eastAsia"/>
          <w:color w:val="auto"/>
          <w:spacing w:val="12"/>
          <w:sz w:val="28"/>
          <w:lang w:val="en-US" w:eastAsia="zh-CN"/>
        </w:rPr>
        <w:t>2</w:t>
      </w:r>
      <w:r>
        <w:rPr>
          <w:rFonts w:ascii="宋体" w:hAnsi="宋体" w:hint="eastAsia"/>
          <w:color w:val="auto"/>
          <w:spacing w:val="12"/>
          <w:sz w:val="28"/>
          <w:lang w:eastAsia="zh-CN"/>
        </w:rPr>
        <w:t>）和偏移方位测试组件（</w:t>
      </w:r>
      <w:r>
        <w:rPr>
          <w:rFonts w:ascii="宋体" w:hAnsi="宋体" w:hint="eastAsia"/>
          <w:color w:val="auto"/>
          <w:spacing w:val="12"/>
          <w:sz w:val="28"/>
          <w:lang w:val="en-US" w:eastAsia="zh-CN"/>
        </w:rPr>
        <w:t>3</w:t>
      </w:r>
      <w:r>
        <w:rPr>
          <w:rFonts w:ascii="宋体" w:hAnsi="宋体" w:hint="eastAsia"/>
          <w:color w:val="auto"/>
          <w:spacing w:val="12"/>
          <w:sz w:val="28"/>
          <w:lang w:eastAsia="zh-CN"/>
        </w:rPr>
        <w:t>）</w:t>
      </w:r>
      <w:r>
        <w:rPr>
          <w:rFonts w:ascii="宋体" w:hAnsi="宋体" w:hint="eastAsia"/>
          <w:color w:val="auto"/>
          <w:spacing w:val="12"/>
          <w:sz w:val="28"/>
        </w:rPr>
        <w:t>，</w:t>
      </w:r>
      <w:r>
        <w:rPr>
          <w:rFonts w:ascii="宋体" w:hAnsi="宋体" w:hint="eastAsia"/>
          <w:color w:val="auto"/>
          <w:spacing w:val="12"/>
          <w:sz w:val="28"/>
          <w:lang w:eastAsia="zh-CN"/>
        </w:rPr>
        <w:t>所述支撑固定组件（</w:t>
      </w:r>
      <w:r>
        <w:rPr>
          <w:rFonts w:ascii="宋体" w:hAnsi="宋体" w:hint="eastAsia"/>
          <w:color w:val="auto"/>
          <w:spacing w:val="12"/>
          <w:sz w:val="28"/>
          <w:lang w:val="en-US" w:eastAsia="zh-CN"/>
        </w:rPr>
        <w:t>1</w:t>
      </w:r>
      <w:r>
        <w:rPr>
          <w:rFonts w:ascii="宋体" w:hAnsi="宋体" w:hint="eastAsia"/>
          <w:color w:val="auto"/>
          <w:spacing w:val="12"/>
          <w:sz w:val="28"/>
          <w:lang w:eastAsia="zh-CN"/>
        </w:rPr>
        <w:t>）包括测试探头（</w:t>
      </w:r>
      <w:r>
        <w:rPr>
          <w:rFonts w:ascii="宋体" w:hAnsi="宋体" w:hint="eastAsia"/>
          <w:color w:val="auto"/>
          <w:spacing w:val="12"/>
          <w:sz w:val="28"/>
          <w:lang w:val="en-US" w:eastAsia="zh-CN"/>
        </w:rPr>
        <w:t>11</w:t>
      </w:r>
      <w:r>
        <w:rPr>
          <w:rFonts w:ascii="宋体" w:hAnsi="宋体" w:hint="eastAsia"/>
          <w:color w:val="auto"/>
          <w:spacing w:val="12"/>
          <w:sz w:val="28"/>
          <w:lang w:eastAsia="zh-CN"/>
        </w:rPr>
        <w:t>）和可控支撑臂（</w:t>
      </w:r>
      <w:r>
        <w:rPr>
          <w:rFonts w:ascii="宋体" w:hAnsi="宋体" w:hint="eastAsia"/>
          <w:color w:val="auto"/>
          <w:spacing w:val="12"/>
          <w:sz w:val="28"/>
          <w:lang w:val="en-US" w:eastAsia="zh-CN"/>
        </w:rPr>
        <w:t>12</w:t>
      </w:r>
      <w:r>
        <w:rPr>
          <w:rFonts w:ascii="宋体" w:hAnsi="宋体" w:hint="eastAsia"/>
          <w:color w:val="auto"/>
          <w:spacing w:val="12"/>
          <w:sz w:val="28"/>
          <w:lang w:eastAsia="zh-CN"/>
        </w:rPr>
        <w:t>），所述测试探头（</w:t>
      </w:r>
      <w:r>
        <w:rPr>
          <w:rFonts w:ascii="宋体" w:hAnsi="宋体" w:hint="eastAsia"/>
          <w:color w:val="auto"/>
          <w:spacing w:val="12"/>
          <w:sz w:val="28"/>
          <w:lang w:val="en-US" w:eastAsia="zh-CN"/>
        </w:rPr>
        <w:t>11</w:t>
      </w:r>
      <w:r>
        <w:rPr>
          <w:rFonts w:ascii="宋体" w:hAnsi="宋体" w:hint="eastAsia"/>
          <w:color w:val="auto"/>
          <w:spacing w:val="12"/>
          <w:sz w:val="28"/>
          <w:lang w:eastAsia="zh-CN"/>
        </w:rPr>
        <w:t>）的正下方设置有所述可控支撑臂（</w:t>
      </w:r>
      <w:r>
        <w:rPr>
          <w:rFonts w:ascii="宋体" w:hAnsi="宋体" w:hint="eastAsia"/>
          <w:color w:val="auto"/>
          <w:spacing w:val="12"/>
          <w:sz w:val="28"/>
          <w:lang w:val="en-US" w:eastAsia="zh-CN"/>
        </w:rPr>
        <w:t>12</w:t>
      </w:r>
      <w:r>
        <w:rPr>
          <w:rFonts w:ascii="宋体" w:hAnsi="宋体" w:hint="eastAsia"/>
          <w:color w:val="auto"/>
          <w:spacing w:val="12"/>
          <w:sz w:val="28"/>
          <w:lang w:eastAsia="zh-CN"/>
        </w:rPr>
        <w:t>），所述测试探头（</w:t>
      </w:r>
      <w:r>
        <w:rPr>
          <w:rFonts w:ascii="宋体" w:hAnsi="宋体" w:hint="eastAsia"/>
          <w:color w:val="auto"/>
          <w:spacing w:val="12"/>
          <w:sz w:val="28"/>
          <w:lang w:val="en-US" w:eastAsia="zh-CN"/>
        </w:rPr>
        <w:t>11</w:t>
      </w:r>
      <w:r>
        <w:rPr>
          <w:rFonts w:ascii="宋体" w:hAnsi="宋体" w:hint="eastAsia"/>
          <w:color w:val="auto"/>
          <w:spacing w:val="12"/>
          <w:sz w:val="28"/>
          <w:lang w:eastAsia="zh-CN"/>
        </w:rPr>
        <w:t>）的正上方设置有所述偏移方位测试组件（</w:t>
      </w:r>
      <w:r>
        <w:rPr>
          <w:rFonts w:ascii="宋体" w:hAnsi="宋体" w:hint="eastAsia"/>
          <w:color w:val="auto"/>
          <w:spacing w:val="12"/>
          <w:sz w:val="28"/>
          <w:lang w:val="en-US" w:eastAsia="zh-CN"/>
        </w:rPr>
        <w:t>3</w:t>
      </w:r>
      <w:r>
        <w:rPr>
          <w:rFonts w:ascii="宋体" w:hAnsi="宋体" w:hint="eastAsia"/>
          <w:color w:val="auto"/>
          <w:spacing w:val="12"/>
          <w:sz w:val="28"/>
          <w:lang w:eastAsia="zh-CN"/>
        </w:rPr>
        <w:t>），所述搭接传递组件（</w:t>
      </w:r>
      <w:r>
        <w:rPr>
          <w:rFonts w:ascii="宋体" w:hAnsi="宋体" w:hint="eastAsia"/>
          <w:color w:val="auto"/>
          <w:spacing w:val="12"/>
          <w:sz w:val="28"/>
          <w:lang w:val="en-US" w:eastAsia="zh-CN"/>
        </w:rPr>
        <w:t>2</w:t>
      </w:r>
      <w:r>
        <w:rPr>
          <w:rFonts w:ascii="宋体" w:hAnsi="宋体" w:hint="eastAsia"/>
          <w:color w:val="auto"/>
          <w:spacing w:val="12"/>
          <w:sz w:val="28"/>
          <w:lang w:eastAsia="zh-CN"/>
        </w:rPr>
        <w:t>）竖直贯穿所述测试探头（</w:t>
      </w:r>
      <w:r>
        <w:rPr>
          <w:rFonts w:ascii="宋体" w:hAnsi="宋体" w:hint="eastAsia"/>
          <w:color w:val="auto"/>
          <w:spacing w:val="12"/>
          <w:sz w:val="28"/>
          <w:lang w:val="en-US" w:eastAsia="zh-CN"/>
        </w:rPr>
        <w:t>11</w:t>
      </w:r>
      <w:r>
        <w:rPr>
          <w:rFonts w:ascii="宋体" w:hAnsi="宋体" w:hint="eastAsia"/>
          <w:color w:val="auto"/>
          <w:spacing w:val="12"/>
          <w:sz w:val="28"/>
          <w:lang w:eastAsia="zh-CN"/>
        </w:rPr>
        <w:t>）设置，所述搭接传递组件（</w:t>
      </w:r>
      <w:r>
        <w:rPr>
          <w:rFonts w:ascii="宋体" w:hAnsi="宋体" w:hint="eastAsia"/>
          <w:color w:val="auto"/>
          <w:spacing w:val="12"/>
          <w:sz w:val="28"/>
          <w:lang w:val="en-US" w:eastAsia="zh-CN"/>
        </w:rPr>
        <w:t>2</w:t>
      </w:r>
      <w:r>
        <w:rPr>
          <w:rFonts w:ascii="宋体" w:hAnsi="宋体" w:hint="eastAsia"/>
          <w:color w:val="auto"/>
          <w:spacing w:val="12"/>
          <w:sz w:val="28"/>
          <w:lang w:eastAsia="zh-CN"/>
        </w:rPr>
        <w:t>）的底端与所述可控支撑臂（</w:t>
      </w:r>
      <w:r>
        <w:rPr>
          <w:rFonts w:ascii="宋体" w:hAnsi="宋体" w:hint="eastAsia"/>
          <w:color w:val="auto"/>
          <w:spacing w:val="12"/>
          <w:sz w:val="28"/>
          <w:lang w:val="en-US" w:eastAsia="zh-CN"/>
        </w:rPr>
        <w:t>12</w:t>
      </w:r>
      <w:r>
        <w:rPr>
          <w:rFonts w:ascii="宋体" w:hAnsi="宋体" w:hint="eastAsia"/>
          <w:color w:val="auto"/>
          <w:spacing w:val="12"/>
          <w:sz w:val="28"/>
          <w:lang w:eastAsia="zh-CN"/>
        </w:rPr>
        <w:t>）连接，所述搭接传递组件（</w:t>
      </w:r>
      <w:r>
        <w:rPr>
          <w:rFonts w:ascii="宋体" w:hAnsi="宋体" w:hint="eastAsia"/>
          <w:color w:val="auto"/>
          <w:spacing w:val="12"/>
          <w:sz w:val="28"/>
          <w:lang w:val="en-US" w:eastAsia="zh-CN"/>
        </w:rPr>
        <w:t>2</w:t>
      </w:r>
      <w:r>
        <w:rPr>
          <w:rFonts w:ascii="宋体" w:hAnsi="宋体" w:hint="eastAsia"/>
          <w:color w:val="auto"/>
          <w:spacing w:val="12"/>
          <w:sz w:val="28"/>
          <w:lang w:eastAsia="zh-CN"/>
        </w:rPr>
        <w:t>）的顶端与所述偏移方位测试组件（</w:t>
      </w:r>
      <w:r>
        <w:rPr>
          <w:rFonts w:ascii="宋体" w:hAnsi="宋体" w:hint="eastAsia"/>
          <w:color w:val="auto"/>
          <w:spacing w:val="12"/>
          <w:sz w:val="28"/>
          <w:lang w:val="en-US" w:eastAsia="zh-CN"/>
        </w:rPr>
        <w:t>3</w:t>
      </w:r>
      <w:r>
        <w:rPr>
          <w:rFonts w:ascii="宋体" w:hAnsi="宋体" w:hint="eastAsia"/>
          <w:color w:val="auto"/>
          <w:spacing w:val="12"/>
          <w:sz w:val="28"/>
          <w:lang w:eastAsia="zh-CN"/>
        </w:rPr>
        <w:t>）可拆卸连接</w:t>
      </w:r>
      <w:r>
        <w:rPr>
          <w:rFonts w:ascii="宋体" w:hAnsi="宋体" w:hint="eastAsia"/>
          <w:color w:val="auto"/>
          <w:spacing w:val="12"/>
          <w:sz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1</w:t>
      </w:r>
      <w:r>
        <w:rPr>
          <w:rFonts w:ascii="宋体" w:hAnsi="宋体" w:hint="eastAsia"/>
          <w:color w:val="auto"/>
          <w:spacing w:val="12"/>
          <w:sz w:val="28"/>
        </w:rPr>
        <w:t>所述的</w:t>
      </w:r>
      <w:r>
        <w:rPr>
          <w:rFonts w:ascii="宋体" w:hAnsi="宋体" w:hint="eastAsia"/>
          <w:color w:val="auto"/>
          <w:spacing w:val="12"/>
          <w:sz w:val="28"/>
          <w:lang w:eastAsia="zh-CN"/>
        </w:rPr>
        <w:t>一种快速测定偏移方向的装置</w:t>
      </w:r>
      <w:r>
        <w:rPr>
          <w:rFonts w:ascii="宋体" w:hAnsi="宋体" w:hint="eastAsia"/>
          <w:color w:val="auto"/>
          <w:spacing w:val="12"/>
          <w:sz w:val="28"/>
        </w:rPr>
        <w:t>，其特征在于，</w:t>
      </w:r>
      <w:r>
        <w:rPr>
          <w:rFonts w:ascii="宋体" w:hAnsi="宋体" w:hint="eastAsia"/>
          <w:color w:val="auto"/>
          <w:spacing w:val="12"/>
          <w:sz w:val="28"/>
          <w:lang w:eastAsia="zh-CN"/>
        </w:rPr>
        <w:t>所述测试探头（</w:t>
      </w:r>
      <w:r>
        <w:rPr>
          <w:rFonts w:ascii="宋体" w:hAnsi="宋体" w:hint="eastAsia"/>
          <w:color w:val="auto"/>
          <w:spacing w:val="12"/>
          <w:sz w:val="28"/>
          <w:lang w:val="en-US" w:eastAsia="zh-CN"/>
        </w:rPr>
        <w:t>11</w:t>
      </w:r>
      <w:r>
        <w:rPr>
          <w:rFonts w:ascii="宋体" w:hAnsi="宋体" w:hint="eastAsia"/>
          <w:color w:val="auto"/>
          <w:spacing w:val="12"/>
          <w:sz w:val="28"/>
          <w:lang w:eastAsia="zh-CN"/>
        </w:rPr>
        <w:t>）的中心处竖直贯穿开设有通孔（</w:t>
      </w:r>
      <w:r>
        <w:rPr>
          <w:rFonts w:ascii="宋体" w:hAnsi="宋体" w:hint="eastAsia"/>
          <w:color w:val="auto"/>
          <w:spacing w:val="12"/>
          <w:sz w:val="28"/>
          <w:lang w:val="en-US" w:eastAsia="zh-CN"/>
        </w:rPr>
        <w:t>111</w:t>
      </w:r>
      <w:r>
        <w:rPr>
          <w:rFonts w:ascii="宋体" w:hAnsi="宋体" w:hint="eastAsia"/>
          <w:color w:val="auto"/>
          <w:spacing w:val="12"/>
          <w:sz w:val="28"/>
          <w:lang w:eastAsia="zh-CN"/>
        </w:rPr>
        <w:t>），所述测试探头（</w:t>
      </w:r>
      <w:r>
        <w:rPr>
          <w:rFonts w:ascii="宋体" w:hAnsi="宋体" w:hint="eastAsia"/>
          <w:color w:val="auto"/>
          <w:spacing w:val="12"/>
          <w:sz w:val="28"/>
          <w:lang w:val="en-US" w:eastAsia="zh-CN"/>
        </w:rPr>
        <w:t>11</w:t>
      </w:r>
      <w:r>
        <w:rPr>
          <w:rFonts w:ascii="宋体" w:hAnsi="宋体" w:hint="eastAsia"/>
          <w:color w:val="auto"/>
          <w:spacing w:val="12"/>
          <w:sz w:val="28"/>
          <w:lang w:eastAsia="zh-CN"/>
        </w:rPr>
        <w:t>）的外圆周上均匀水平开设有多个螺槽（</w:t>
      </w:r>
      <w:r>
        <w:rPr>
          <w:rFonts w:ascii="宋体" w:hAnsi="宋体" w:hint="eastAsia"/>
          <w:color w:val="auto"/>
          <w:spacing w:val="12"/>
          <w:sz w:val="28"/>
          <w:lang w:val="en-US" w:eastAsia="zh-CN"/>
        </w:rPr>
        <w:t>112</w:t>
      </w:r>
      <w:r>
        <w:rPr>
          <w:rFonts w:ascii="宋体" w:hAnsi="宋体" w:hint="eastAsia"/>
          <w:color w:val="auto"/>
          <w:spacing w:val="12"/>
          <w:sz w:val="28"/>
          <w:lang w:eastAsia="zh-CN"/>
        </w:rPr>
        <w:t>），所述测试探头（</w:t>
      </w:r>
      <w:r>
        <w:rPr>
          <w:rFonts w:ascii="宋体" w:hAnsi="宋体" w:hint="eastAsia"/>
          <w:color w:val="auto"/>
          <w:spacing w:val="12"/>
          <w:sz w:val="28"/>
          <w:lang w:val="en-US" w:eastAsia="zh-CN"/>
        </w:rPr>
        <w:t>11</w:t>
      </w:r>
      <w:r>
        <w:rPr>
          <w:rFonts w:ascii="宋体" w:hAnsi="宋体" w:hint="eastAsia"/>
          <w:color w:val="auto"/>
          <w:spacing w:val="12"/>
          <w:sz w:val="28"/>
          <w:lang w:eastAsia="zh-CN"/>
        </w:rPr>
        <w:t>）的外部套设有限位组件（</w:t>
      </w:r>
      <w:r>
        <w:rPr>
          <w:rFonts w:ascii="宋体" w:hAnsi="宋体" w:hint="eastAsia"/>
          <w:color w:val="auto"/>
          <w:spacing w:val="12"/>
          <w:sz w:val="28"/>
          <w:lang w:val="en-US" w:eastAsia="zh-CN"/>
        </w:rPr>
        <w:t>13</w:t>
      </w:r>
      <w:r>
        <w:rPr>
          <w:rFonts w:ascii="宋体" w:hAnsi="宋体" w:hint="eastAsia"/>
          <w:color w:val="auto"/>
          <w:spacing w:val="12"/>
          <w:sz w:val="28"/>
          <w:lang w:eastAsia="zh-CN"/>
        </w:rPr>
        <w:t>），所述测试探头（</w:t>
      </w:r>
      <w:r>
        <w:rPr>
          <w:rFonts w:ascii="宋体" w:hAnsi="宋体" w:hint="eastAsia"/>
          <w:color w:val="auto"/>
          <w:spacing w:val="12"/>
          <w:sz w:val="28"/>
          <w:lang w:val="en-US" w:eastAsia="zh-CN"/>
        </w:rPr>
        <w:t>11</w:t>
      </w:r>
      <w:r>
        <w:rPr>
          <w:rFonts w:ascii="宋体" w:hAnsi="宋体" w:hint="eastAsia"/>
          <w:color w:val="auto"/>
          <w:spacing w:val="12"/>
          <w:sz w:val="28"/>
          <w:lang w:eastAsia="zh-CN"/>
        </w:rPr>
        <w:t>）与所述限位组件（</w:t>
      </w:r>
      <w:r>
        <w:rPr>
          <w:rFonts w:ascii="宋体" w:hAnsi="宋体" w:hint="eastAsia"/>
          <w:color w:val="auto"/>
          <w:spacing w:val="12"/>
          <w:sz w:val="28"/>
          <w:lang w:val="en-US" w:eastAsia="zh-CN"/>
        </w:rPr>
        <w:t>13</w:t>
      </w:r>
      <w:r>
        <w:rPr>
          <w:rFonts w:ascii="宋体" w:hAnsi="宋体" w:hint="eastAsia"/>
          <w:color w:val="auto"/>
          <w:spacing w:val="12"/>
          <w:sz w:val="28"/>
          <w:lang w:eastAsia="zh-CN"/>
        </w:rPr>
        <w:t>）可拆卸组装连接</w:t>
      </w:r>
      <w:r>
        <w:rPr>
          <w:rFonts w:ascii="宋体" w:hAnsi="宋体" w:hint="eastAsia"/>
          <w:color w:val="auto"/>
          <w:spacing w:val="12"/>
          <w:sz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olor w:val="auto"/>
          <w:spacing w:val="12"/>
          <w:sz w:val="28"/>
        </w:rPr>
        <w:sectPr>
          <w:headerReference w:type="default" r:id="rId10"/>
          <w:footerReference w:type="default" r:id="rId11"/>
          <w:pgSz w:w="11906" w:h="16838"/>
          <w:pgMar w:top="1440" w:right="1800" w:bottom="1440" w:left="1800" w:header="851" w:footer="992" w:gutter="0"/>
          <w:lnNumType w:distance="360"/>
          <w:pgNumType w:fmt="decimal" w:start="1"/>
          <w:cols w:num="1" w:space="720"/>
          <w:docGrid w:type="lines" w:linePitch="312" w:charSpace="0"/>
        </w:sectPr>
      </w:pPr>
      <w:r>
        <w:rPr>
          <w:rFonts w:ascii="宋体" w:hAnsi="宋体" w:hint="eastAsia"/>
          <w:color w:val="auto"/>
          <w:spacing w:val="12"/>
          <w:sz w:val="28"/>
        </w:rPr>
        <w:t>根据权利要求</w:t>
      </w:r>
      <w:r>
        <w:rPr>
          <w:rFonts w:ascii="宋体" w:hAnsi="宋体" w:hint="eastAsia"/>
          <w:color w:val="auto"/>
          <w:spacing w:val="12"/>
          <w:sz w:val="28"/>
          <w:lang w:val="en-US" w:eastAsia="zh-CN"/>
        </w:rPr>
        <w:t>1</w:t>
      </w:r>
      <w:r>
        <w:rPr>
          <w:rFonts w:ascii="宋体" w:hAnsi="宋体" w:hint="eastAsia"/>
          <w:color w:val="auto"/>
          <w:spacing w:val="12"/>
          <w:sz w:val="28"/>
        </w:rPr>
        <w:t>所述的</w:t>
      </w:r>
      <w:r>
        <w:rPr>
          <w:rFonts w:ascii="宋体" w:hAnsi="宋体" w:hint="eastAsia"/>
          <w:color w:val="auto"/>
          <w:spacing w:val="12"/>
          <w:sz w:val="28"/>
          <w:lang w:eastAsia="zh-CN"/>
        </w:rPr>
        <w:t>一种快速测定偏移方向的装置</w:t>
      </w:r>
      <w:r>
        <w:rPr>
          <w:rFonts w:ascii="宋体" w:hAnsi="宋体" w:hint="eastAsia"/>
          <w:color w:val="auto"/>
          <w:spacing w:val="12"/>
          <w:sz w:val="28"/>
        </w:rPr>
        <w:t>，其特征在于，</w:t>
      </w:r>
      <w:r>
        <w:rPr>
          <w:rFonts w:ascii="宋体" w:hAnsi="宋体" w:hint="eastAsia"/>
          <w:color w:val="auto"/>
          <w:spacing w:val="12"/>
          <w:sz w:val="28"/>
          <w:lang w:eastAsia="zh-CN"/>
        </w:rPr>
        <w:t>所述可控支撑臂（</w:t>
      </w:r>
      <w:r>
        <w:rPr>
          <w:rFonts w:ascii="宋体" w:hAnsi="宋体" w:hint="eastAsia"/>
          <w:color w:val="auto"/>
          <w:spacing w:val="12"/>
          <w:sz w:val="28"/>
          <w:lang w:val="en-US" w:eastAsia="zh-CN"/>
        </w:rPr>
        <w:t>12</w:t>
      </w:r>
      <w:r>
        <w:rPr>
          <w:rFonts w:ascii="宋体" w:hAnsi="宋体" w:hint="eastAsia"/>
          <w:color w:val="auto"/>
          <w:spacing w:val="12"/>
          <w:sz w:val="28"/>
          <w:lang w:eastAsia="zh-CN"/>
        </w:rPr>
        <w:t>）包括第一圆筒（</w:t>
      </w:r>
      <w:r>
        <w:rPr>
          <w:rFonts w:ascii="宋体" w:hAnsi="宋体" w:hint="eastAsia"/>
          <w:color w:val="auto"/>
          <w:spacing w:val="12"/>
          <w:sz w:val="28"/>
          <w:lang w:val="en-US" w:eastAsia="zh-CN"/>
        </w:rPr>
        <w:t>121</w:t>
      </w:r>
      <w:r>
        <w:rPr>
          <w:rFonts w:ascii="宋体" w:hAnsi="宋体" w:hint="eastAsia"/>
          <w:color w:val="auto"/>
          <w:spacing w:val="12"/>
          <w:sz w:val="28"/>
          <w:lang w:eastAsia="zh-CN"/>
        </w:rPr>
        <w:t>）、第二圆筒（</w:t>
      </w:r>
      <w:r>
        <w:rPr>
          <w:rFonts w:ascii="宋体" w:hAnsi="宋体" w:hint="eastAsia"/>
          <w:color w:val="auto"/>
          <w:spacing w:val="12"/>
          <w:sz w:val="28"/>
          <w:lang w:val="en-US" w:eastAsia="zh-CN"/>
        </w:rPr>
        <w:t>122</w:t>
      </w:r>
      <w:r>
        <w:rPr>
          <w:rFonts w:ascii="宋体" w:hAnsi="宋体" w:hint="eastAsia"/>
          <w:color w:val="auto"/>
          <w:spacing w:val="12"/>
          <w:sz w:val="28"/>
          <w:lang w:eastAsia="zh-CN"/>
        </w:rPr>
        <w:t>）、拉臂（</w:t>
      </w:r>
      <w:r>
        <w:rPr>
          <w:rFonts w:ascii="宋体" w:hAnsi="宋体" w:hint="eastAsia"/>
          <w:color w:val="auto"/>
          <w:spacing w:val="12"/>
          <w:sz w:val="28"/>
          <w:lang w:val="en-US" w:eastAsia="zh-CN"/>
        </w:rPr>
        <w:t>123</w:t>
      </w:r>
      <w:r>
        <w:rPr>
          <w:rFonts w:ascii="宋体" w:hAnsi="宋体" w:hint="eastAsia"/>
          <w:color w:val="auto"/>
          <w:spacing w:val="12"/>
          <w:sz w:val="28"/>
          <w:lang w:eastAsia="zh-CN"/>
        </w:rPr>
        <w:t>）和支撑臂（</w:t>
      </w:r>
      <w:r>
        <w:rPr>
          <w:rFonts w:ascii="宋体" w:hAnsi="宋体" w:hint="eastAsia"/>
          <w:color w:val="auto"/>
          <w:spacing w:val="12"/>
          <w:sz w:val="28"/>
          <w:lang w:val="en-US" w:eastAsia="zh-CN"/>
        </w:rPr>
        <w:t>124</w:t>
      </w:r>
      <w:r>
        <w:rPr>
          <w:rFonts w:ascii="宋体" w:hAnsi="宋体" w:hint="eastAsia"/>
          <w:color w:val="auto"/>
          <w:spacing w:val="12"/>
          <w:sz w:val="28"/>
          <w:lang w:eastAsia="zh-CN"/>
        </w:rPr>
        <w:t>），所述第一圆筒（</w:t>
      </w:r>
      <w:r>
        <w:rPr>
          <w:rFonts w:ascii="宋体" w:hAnsi="宋体" w:hint="eastAsia"/>
          <w:color w:val="auto"/>
          <w:spacing w:val="12"/>
          <w:sz w:val="28"/>
          <w:lang w:val="en-US" w:eastAsia="zh-CN"/>
        </w:rPr>
        <w:t>121</w:t>
      </w:r>
      <w:r>
        <w:rPr>
          <w:rFonts w:ascii="宋体" w:hAnsi="宋体" w:hint="eastAsia"/>
          <w:color w:val="auto"/>
          <w:spacing w:val="12"/>
          <w:sz w:val="28"/>
          <w:lang w:eastAsia="zh-CN"/>
        </w:rPr>
        <w:t>）水平设置在所述测试探头（</w:t>
      </w:r>
      <w:r>
        <w:rPr>
          <w:rFonts w:ascii="宋体" w:hAnsi="宋体" w:hint="eastAsia"/>
          <w:color w:val="auto"/>
          <w:spacing w:val="12"/>
          <w:sz w:val="28"/>
          <w:lang w:val="en-US" w:eastAsia="zh-CN"/>
        </w:rPr>
        <w:t>11</w:t>
      </w:r>
      <w:r>
        <w:rPr>
          <w:rFonts w:ascii="宋体" w:hAnsi="宋体" w:hint="eastAsia"/>
          <w:color w:val="auto"/>
          <w:spacing w:val="12"/>
          <w:sz w:val="28"/>
          <w:lang w:eastAsia="zh-CN"/>
        </w:rPr>
        <w:t>）的正下方，所述第一圆筒（</w:t>
      </w:r>
      <w:r>
        <w:rPr>
          <w:rFonts w:ascii="宋体" w:hAnsi="宋体" w:hint="eastAsia"/>
          <w:color w:val="auto"/>
          <w:spacing w:val="12"/>
          <w:sz w:val="28"/>
          <w:lang w:val="en-US" w:eastAsia="zh-CN"/>
        </w:rPr>
        <w:t>121</w:t>
      </w:r>
      <w:r>
        <w:rPr>
          <w:rFonts w:ascii="宋体" w:hAnsi="宋体" w:hint="eastAsia"/>
          <w:color w:val="auto"/>
          <w:spacing w:val="12"/>
          <w:sz w:val="28"/>
          <w:lang w:eastAsia="zh-CN"/>
        </w:rPr>
        <w:t>）的正下方水平设置有所述第二圆筒（</w:t>
      </w:r>
      <w:r>
        <w:rPr>
          <w:rFonts w:ascii="宋体" w:hAnsi="宋体" w:hint="eastAsia"/>
          <w:color w:val="auto"/>
          <w:spacing w:val="12"/>
          <w:sz w:val="28"/>
          <w:lang w:val="en-US" w:eastAsia="zh-CN"/>
        </w:rPr>
        <w:t>122</w:t>
      </w:r>
      <w:r>
        <w:rPr>
          <w:rFonts w:ascii="宋体" w:hAnsi="宋体" w:hint="eastAsia"/>
          <w:color w:val="auto"/>
          <w:spacing w:val="12"/>
          <w:sz w:val="28"/>
          <w:lang w:eastAsia="zh-CN"/>
        </w:rPr>
        <w:t>），所述第一圆筒（</w:t>
      </w:r>
      <w:r>
        <w:rPr>
          <w:rFonts w:ascii="宋体" w:hAnsi="宋体" w:hint="eastAsia"/>
          <w:color w:val="auto"/>
          <w:spacing w:val="12"/>
          <w:sz w:val="28"/>
          <w:lang w:val="en-US" w:eastAsia="zh-CN"/>
        </w:rPr>
        <w:t>121</w:t>
      </w:r>
      <w:r>
        <w:rPr>
          <w:rFonts w:ascii="宋体" w:hAnsi="宋体" w:hint="eastAsia"/>
          <w:color w:val="auto"/>
          <w:spacing w:val="12"/>
          <w:sz w:val="28"/>
          <w:lang w:eastAsia="zh-CN"/>
        </w:rPr>
        <w:t>）和第二圆筒（</w:t>
      </w:r>
      <w:r>
        <w:rPr>
          <w:rFonts w:ascii="宋体" w:hAnsi="宋体" w:hint="eastAsia"/>
          <w:color w:val="auto"/>
          <w:spacing w:val="12"/>
          <w:sz w:val="28"/>
          <w:lang w:val="en-US" w:eastAsia="zh-CN"/>
        </w:rPr>
        <w:t>122</w:t>
      </w:r>
      <w:r>
        <w:rPr>
          <w:rFonts w:ascii="宋体" w:hAnsi="宋体" w:hint="eastAsia"/>
          <w:color w:val="auto"/>
          <w:spacing w:val="12"/>
          <w:sz w:val="28"/>
          <w:lang w:eastAsia="zh-CN"/>
        </w:rPr>
        <w:t>）之间均匀设置有多块拉臂（</w:t>
      </w:r>
      <w:r>
        <w:rPr>
          <w:rFonts w:ascii="宋体" w:hAnsi="宋体" w:hint="eastAsia"/>
          <w:color w:val="auto"/>
          <w:spacing w:val="12"/>
          <w:sz w:val="28"/>
          <w:lang w:val="en-US" w:eastAsia="zh-CN"/>
        </w:rPr>
        <w:t>123</w:t>
      </w:r>
      <w:r>
        <w:rPr>
          <w:rFonts w:ascii="宋体" w:hAnsi="宋体" w:hint="eastAsia"/>
          <w:color w:val="auto"/>
          <w:spacing w:val="12"/>
          <w:sz w:val="28"/>
          <w:lang w:eastAsia="zh-CN"/>
        </w:rPr>
        <w:t>），所述多块拉臂（</w:t>
      </w:r>
      <w:r>
        <w:rPr>
          <w:rFonts w:ascii="宋体" w:hAnsi="宋体" w:hint="eastAsia"/>
          <w:color w:val="auto"/>
          <w:spacing w:val="12"/>
          <w:sz w:val="28"/>
          <w:lang w:val="en-US" w:eastAsia="zh-CN"/>
        </w:rPr>
        <w:t>123</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560" w:rightChars="0" w:firstLineChars="200"/>
        <w:jc w:val="both"/>
        <w:textAlignment w:val="auto"/>
        <w:outlineLvl w:val="9"/>
        <w:rPr>
          <w:rFonts w:ascii="宋体" w:hAnsi="宋体"/>
          <w:color w:val="auto"/>
          <w:spacing w:val="12"/>
          <w:sz w:val="28"/>
        </w:rPr>
      </w:pPr>
      <w:r>
        <w:rPr>
          <w:rFonts w:ascii="宋体" w:hAnsi="宋体" w:hint="eastAsia"/>
          <w:color w:val="auto"/>
          <w:spacing w:val="12"/>
          <w:sz w:val="28"/>
          <w:lang w:eastAsia="zh-CN"/>
        </w:rPr>
        <w:t>）的顶端转动连接在所述第一圆筒（</w:t>
      </w:r>
      <w:r>
        <w:rPr>
          <w:rFonts w:ascii="宋体" w:hAnsi="宋体" w:hint="eastAsia"/>
          <w:color w:val="auto"/>
          <w:spacing w:val="12"/>
          <w:sz w:val="28"/>
          <w:lang w:val="en-US" w:eastAsia="zh-CN"/>
        </w:rPr>
        <w:t>121</w:t>
      </w:r>
      <w:r>
        <w:rPr>
          <w:rFonts w:ascii="宋体" w:hAnsi="宋体" w:hint="eastAsia"/>
          <w:color w:val="auto"/>
          <w:spacing w:val="12"/>
          <w:sz w:val="28"/>
          <w:lang w:eastAsia="zh-CN"/>
        </w:rPr>
        <w:t>）上，所述第二圆筒（</w:t>
      </w:r>
      <w:r>
        <w:rPr>
          <w:rFonts w:ascii="宋体" w:hAnsi="宋体" w:hint="eastAsia"/>
          <w:color w:val="auto"/>
          <w:spacing w:val="12"/>
          <w:sz w:val="28"/>
          <w:lang w:val="en-US" w:eastAsia="zh-CN"/>
        </w:rPr>
        <w:t>122</w:t>
      </w:r>
      <w:r>
        <w:rPr>
          <w:rFonts w:ascii="宋体" w:hAnsi="宋体" w:hint="eastAsia"/>
          <w:color w:val="auto"/>
          <w:spacing w:val="12"/>
          <w:sz w:val="28"/>
          <w:lang w:eastAsia="zh-CN"/>
        </w:rPr>
        <w:t>）的外部均匀转动连接有多块支撑臂（</w:t>
      </w:r>
      <w:r>
        <w:rPr>
          <w:rFonts w:ascii="宋体" w:hAnsi="宋体" w:hint="eastAsia"/>
          <w:color w:val="auto"/>
          <w:spacing w:val="12"/>
          <w:sz w:val="28"/>
          <w:lang w:val="en-US" w:eastAsia="zh-CN"/>
        </w:rPr>
        <w:t>124</w:t>
      </w:r>
      <w:r>
        <w:rPr>
          <w:rFonts w:ascii="宋体" w:hAnsi="宋体" w:hint="eastAsia"/>
          <w:color w:val="auto"/>
          <w:spacing w:val="12"/>
          <w:sz w:val="28"/>
          <w:lang w:eastAsia="zh-CN"/>
        </w:rPr>
        <w:t>），所述支撑臂（</w:t>
      </w:r>
      <w:r>
        <w:rPr>
          <w:rFonts w:ascii="宋体" w:hAnsi="宋体" w:hint="eastAsia"/>
          <w:color w:val="auto"/>
          <w:spacing w:val="12"/>
          <w:sz w:val="28"/>
          <w:lang w:val="en-US" w:eastAsia="zh-CN"/>
        </w:rPr>
        <w:t>124</w:t>
      </w:r>
      <w:r>
        <w:rPr>
          <w:rFonts w:ascii="宋体" w:hAnsi="宋体" w:hint="eastAsia"/>
          <w:color w:val="auto"/>
          <w:spacing w:val="12"/>
          <w:sz w:val="28"/>
          <w:lang w:eastAsia="zh-CN"/>
        </w:rPr>
        <w:t>）与所述拉臂（</w:t>
      </w:r>
      <w:r>
        <w:rPr>
          <w:rFonts w:ascii="宋体" w:hAnsi="宋体" w:hint="eastAsia"/>
          <w:color w:val="auto"/>
          <w:spacing w:val="12"/>
          <w:sz w:val="28"/>
          <w:lang w:val="en-US" w:eastAsia="zh-CN"/>
        </w:rPr>
        <w:t>123</w:t>
      </w:r>
      <w:r>
        <w:rPr>
          <w:rFonts w:ascii="宋体" w:hAnsi="宋体" w:hint="eastAsia"/>
          <w:color w:val="auto"/>
          <w:spacing w:val="12"/>
          <w:sz w:val="28"/>
          <w:lang w:eastAsia="zh-CN"/>
        </w:rPr>
        <w:t>）的底端转动连接</w:t>
      </w:r>
      <w:r>
        <w:rPr>
          <w:rFonts w:ascii="宋体" w:hAnsi="宋体" w:hint="eastAsia"/>
          <w:color w:val="auto"/>
          <w:spacing w:val="12"/>
          <w:sz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3</w:t>
      </w:r>
      <w:r>
        <w:rPr>
          <w:rFonts w:ascii="宋体" w:hAnsi="宋体" w:hint="eastAsia"/>
          <w:color w:val="auto"/>
          <w:spacing w:val="12"/>
          <w:sz w:val="28"/>
        </w:rPr>
        <w:t>所述的</w:t>
      </w:r>
      <w:r>
        <w:rPr>
          <w:rFonts w:ascii="宋体" w:hAnsi="宋体" w:hint="eastAsia"/>
          <w:color w:val="auto"/>
          <w:spacing w:val="12"/>
          <w:sz w:val="28"/>
          <w:lang w:eastAsia="zh-CN"/>
        </w:rPr>
        <w:t>一种快速测定偏移方向的装置</w:t>
      </w:r>
      <w:r>
        <w:rPr>
          <w:rFonts w:ascii="宋体" w:hAnsi="宋体" w:hint="eastAsia"/>
          <w:color w:val="auto"/>
          <w:spacing w:val="12"/>
          <w:sz w:val="28"/>
        </w:rPr>
        <w:t>，其特征在于，</w:t>
      </w:r>
      <w:r>
        <w:rPr>
          <w:rFonts w:ascii="宋体" w:hAnsi="宋体" w:hint="eastAsia"/>
          <w:color w:val="auto"/>
          <w:spacing w:val="12"/>
          <w:sz w:val="28"/>
          <w:lang w:eastAsia="zh-CN"/>
        </w:rPr>
        <w:t>所述第一圆筒（</w:t>
      </w:r>
      <w:r>
        <w:rPr>
          <w:rFonts w:ascii="宋体" w:hAnsi="宋体" w:hint="eastAsia"/>
          <w:color w:val="auto"/>
          <w:spacing w:val="12"/>
          <w:sz w:val="28"/>
          <w:lang w:val="en-US" w:eastAsia="zh-CN"/>
        </w:rPr>
        <w:t>121</w:t>
      </w:r>
      <w:r>
        <w:rPr>
          <w:rFonts w:ascii="宋体" w:hAnsi="宋体" w:hint="eastAsia"/>
          <w:color w:val="auto"/>
          <w:spacing w:val="12"/>
          <w:sz w:val="28"/>
          <w:lang w:eastAsia="zh-CN"/>
        </w:rPr>
        <w:t>）的顶面与所述搭接传递组件（</w:t>
      </w:r>
      <w:r>
        <w:rPr>
          <w:rFonts w:ascii="宋体" w:hAnsi="宋体" w:hint="eastAsia"/>
          <w:color w:val="auto"/>
          <w:spacing w:val="12"/>
          <w:sz w:val="28"/>
          <w:lang w:val="en-US" w:eastAsia="zh-CN"/>
        </w:rPr>
        <w:t>2</w:t>
      </w:r>
      <w:r>
        <w:rPr>
          <w:rFonts w:ascii="宋体" w:hAnsi="宋体" w:hint="eastAsia"/>
          <w:color w:val="auto"/>
          <w:spacing w:val="12"/>
          <w:sz w:val="28"/>
          <w:lang w:eastAsia="zh-CN"/>
        </w:rPr>
        <w:t>）的顶端固定连接，所述第一圆筒（</w:t>
      </w:r>
      <w:r>
        <w:rPr>
          <w:rFonts w:ascii="宋体" w:hAnsi="宋体" w:hint="eastAsia"/>
          <w:color w:val="auto"/>
          <w:spacing w:val="12"/>
          <w:sz w:val="28"/>
          <w:lang w:val="en-US" w:eastAsia="zh-CN"/>
        </w:rPr>
        <w:t>121</w:t>
      </w:r>
      <w:r>
        <w:rPr>
          <w:rFonts w:ascii="宋体" w:hAnsi="宋体" w:hint="eastAsia"/>
          <w:color w:val="auto"/>
          <w:spacing w:val="12"/>
          <w:sz w:val="28"/>
          <w:lang w:eastAsia="zh-CN"/>
        </w:rPr>
        <w:t>）和第二圆筒（</w:t>
      </w:r>
      <w:r>
        <w:rPr>
          <w:rFonts w:ascii="宋体" w:hAnsi="宋体" w:hint="eastAsia"/>
          <w:color w:val="auto"/>
          <w:spacing w:val="12"/>
          <w:sz w:val="28"/>
          <w:lang w:val="en-US" w:eastAsia="zh-CN"/>
        </w:rPr>
        <w:t>122</w:t>
      </w:r>
      <w:r>
        <w:rPr>
          <w:rFonts w:ascii="宋体" w:hAnsi="宋体" w:hint="eastAsia"/>
          <w:color w:val="auto"/>
          <w:spacing w:val="12"/>
          <w:sz w:val="28"/>
          <w:lang w:eastAsia="zh-CN"/>
        </w:rPr>
        <w:t>）的外圆周上均匀贯穿开设有多个转槽，所述第一圆筒（</w:t>
      </w:r>
      <w:r>
        <w:rPr>
          <w:rFonts w:ascii="宋体" w:hAnsi="宋体" w:hint="eastAsia"/>
          <w:color w:val="auto"/>
          <w:spacing w:val="12"/>
          <w:sz w:val="28"/>
          <w:lang w:val="en-US" w:eastAsia="zh-CN"/>
        </w:rPr>
        <w:t>121</w:t>
      </w:r>
      <w:r>
        <w:rPr>
          <w:rFonts w:ascii="宋体" w:hAnsi="宋体" w:hint="eastAsia"/>
          <w:color w:val="auto"/>
          <w:spacing w:val="12"/>
          <w:sz w:val="28"/>
          <w:lang w:eastAsia="zh-CN"/>
        </w:rPr>
        <w:t>）和第二圆筒（</w:t>
      </w:r>
      <w:r>
        <w:rPr>
          <w:rFonts w:ascii="宋体" w:hAnsi="宋体" w:hint="eastAsia"/>
          <w:color w:val="auto"/>
          <w:spacing w:val="12"/>
          <w:sz w:val="28"/>
          <w:lang w:val="en-US" w:eastAsia="zh-CN"/>
        </w:rPr>
        <w:t>122</w:t>
      </w:r>
      <w:r>
        <w:rPr>
          <w:rFonts w:ascii="宋体" w:hAnsi="宋体" w:hint="eastAsia"/>
          <w:color w:val="auto"/>
          <w:spacing w:val="12"/>
          <w:sz w:val="28"/>
          <w:lang w:eastAsia="zh-CN"/>
        </w:rPr>
        <w:t>）的转槽中均水平固定有转条（</w:t>
      </w:r>
      <w:r>
        <w:rPr>
          <w:rFonts w:ascii="宋体" w:hAnsi="宋体" w:hint="eastAsia"/>
          <w:color w:val="auto"/>
          <w:spacing w:val="12"/>
          <w:sz w:val="28"/>
          <w:lang w:val="en-US" w:eastAsia="zh-CN"/>
        </w:rPr>
        <w:t>125</w:t>
      </w:r>
      <w:r>
        <w:rPr>
          <w:rFonts w:ascii="宋体" w:hAnsi="宋体" w:hint="eastAsia"/>
          <w:color w:val="auto"/>
          <w:spacing w:val="12"/>
          <w:sz w:val="28"/>
          <w:lang w:eastAsia="zh-CN"/>
        </w:rPr>
        <w:t>）</w:t>
      </w:r>
      <w:r>
        <w:rPr>
          <w:rFonts w:ascii="宋体" w:hAnsi="宋体" w:hint="eastAsia"/>
          <w:color w:val="auto"/>
          <w:spacing w:val="12"/>
          <w:sz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4</w:t>
      </w:r>
      <w:r>
        <w:rPr>
          <w:rFonts w:ascii="宋体" w:hAnsi="宋体" w:hint="eastAsia"/>
          <w:color w:val="auto"/>
          <w:spacing w:val="12"/>
          <w:sz w:val="28"/>
        </w:rPr>
        <w:t>所述的</w:t>
      </w:r>
      <w:r>
        <w:rPr>
          <w:rFonts w:ascii="宋体" w:hAnsi="宋体" w:hint="eastAsia"/>
          <w:color w:val="auto"/>
          <w:spacing w:val="12"/>
          <w:sz w:val="28"/>
          <w:lang w:eastAsia="zh-CN"/>
        </w:rPr>
        <w:t>一种快速测定偏移方向的装置</w:t>
      </w:r>
      <w:r>
        <w:rPr>
          <w:rFonts w:ascii="宋体" w:hAnsi="宋体" w:hint="eastAsia"/>
          <w:color w:val="auto"/>
          <w:spacing w:val="12"/>
          <w:sz w:val="28"/>
        </w:rPr>
        <w:t>，其特征在于，</w:t>
      </w:r>
      <w:r>
        <w:rPr>
          <w:rFonts w:ascii="宋体" w:hAnsi="宋体" w:hint="eastAsia"/>
          <w:color w:val="auto"/>
          <w:spacing w:val="12"/>
          <w:sz w:val="28"/>
          <w:lang w:eastAsia="zh-CN"/>
        </w:rPr>
        <w:t>所述拉臂（</w:t>
      </w:r>
      <w:r>
        <w:rPr>
          <w:rFonts w:ascii="宋体" w:hAnsi="宋体" w:hint="eastAsia"/>
          <w:color w:val="auto"/>
          <w:spacing w:val="12"/>
          <w:sz w:val="28"/>
          <w:lang w:val="en-US" w:eastAsia="zh-CN"/>
        </w:rPr>
        <w:t>123</w:t>
      </w:r>
      <w:r>
        <w:rPr>
          <w:rFonts w:ascii="宋体" w:hAnsi="宋体" w:hint="eastAsia"/>
          <w:color w:val="auto"/>
          <w:spacing w:val="12"/>
          <w:sz w:val="28"/>
          <w:lang w:eastAsia="zh-CN"/>
        </w:rPr>
        <w:t>）的两端均水平固定有套筒（</w:t>
      </w:r>
      <w:r>
        <w:rPr>
          <w:rFonts w:ascii="宋体" w:hAnsi="宋体" w:hint="eastAsia"/>
          <w:color w:val="auto"/>
          <w:spacing w:val="12"/>
          <w:sz w:val="28"/>
          <w:lang w:val="en-US" w:eastAsia="zh-CN"/>
        </w:rPr>
        <w:t>126</w:t>
      </w:r>
      <w:r>
        <w:rPr>
          <w:rFonts w:ascii="宋体" w:hAnsi="宋体" w:hint="eastAsia"/>
          <w:color w:val="auto"/>
          <w:spacing w:val="12"/>
          <w:sz w:val="28"/>
          <w:lang w:eastAsia="zh-CN"/>
        </w:rPr>
        <w:t>），所述支撑臂（</w:t>
      </w:r>
      <w:r>
        <w:rPr>
          <w:rFonts w:ascii="宋体" w:hAnsi="宋体" w:hint="eastAsia"/>
          <w:color w:val="auto"/>
          <w:spacing w:val="12"/>
          <w:sz w:val="28"/>
          <w:lang w:val="en-US" w:eastAsia="zh-CN"/>
        </w:rPr>
        <w:t>124</w:t>
      </w:r>
      <w:r>
        <w:rPr>
          <w:rFonts w:ascii="宋体" w:hAnsi="宋体" w:hint="eastAsia"/>
          <w:color w:val="auto"/>
          <w:spacing w:val="12"/>
          <w:sz w:val="28"/>
          <w:lang w:eastAsia="zh-CN"/>
        </w:rPr>
        <w:t>）的一端水平固定有转筒（</w:t>
      </w:r>
      <w:r>
        <w:rPr>
          <w:rFonts w:ascii="宋体" w:hAnsi="宋体" w:hint="eastAsia"/>
          <w:color w:val="auto"/>
          <w:spacing w:val="12"/>
          <w:sz w:val="28"/>
          <w:lang w:val="en-US" w:eastAsia="zh-CN"/>
        </w:rPr>
        <w:t>1241</w:t>
      </w:r>
      <w:r>
        <w:rPr>
          <w:rFonts w:ascii="宋体" w:hAnsi="宋体" w:hint="eastAsia"/>
          <w:color w:val="auto"/>
          <w:spacing w:val="12"/>
          <w:sz w:val="28"/>
          <w:lang w:eastAsia="zh-CN"/>
        </w:rPr>
        <w:t>），所述支撑臂（</w:t>
      </w:r>
      <w:r>
        <w:rPr>
          <w:rFonts w:ascii="宋体" w:hAnsi="宋体" w:hint="eastAsia"/>
          <w:color w:val="auto"/>
          <w:spacing w:val="12"/>
          <w:sz w:val="28"/>
          <w:lang w:val="en-US" w:eastAsia="zh-CN"/>
        </w:rPr>
        <w:t>124</w:t>
      </w:r>
      <w:r>
        <w:rPr>
          <w:rFonts w:ascii="宋体" w:hAnsi="宋体" w:hint="eastAsia"/>
          <w:color w:val="auto"/>
          <w:spacing w:val="12"/>
          <w:sz w:val="28"/>
          <w:lang w:eastAsia="zh-CN"/>
        </w:rPr>
        <w:t>）的顶面中部竖直固定有转架（</w:t>
      </w:r>
      <w:r>
        <w:rPr>
          <w:rFonts w:ascii="宋体" w:hAnsi="宋体" w:hint="eastAsia"/>
          <w:color w:val="auto"/>
          <w:spacing w:val="12"/>
          <w:sz w:val="28"/>
          <w:lang w:val="en-US" w:eastAsia="zh-CN"/>
        </w:rPr>
        <w:t>1242</w:t>
      </w:r>
      <w:r>
        <w:rPr>
          <w:rFonts w:ascii="宋体" w:hAnsi="宋体" w:hint="eastAsia"/>
          <w:color w:val="auto"/>
          <w:spacing w:val="12"/>
          <w:sz w:val="28"/>
          <w:lang w:eastAsia="zh-CN"/>
        </w:rPr>
        <w:t>），所述拉臂（</w:t>
      </w:r>
      <w:r>
        <w:rPr>
          <w:rFonts w:ascii="宋体" w:hAnsi="宋体" w:hint="eastAsia"/>
          <w:color w:val="auto"/>
          <w:spacing w:val="12"/>
          <w:sz w:val="28"/>
          <w:lang w:val="en-US" w:eastAsia="zh-CN"/>
        </w:rPr>
        <w:t>123</w:t>
      </w:r>
      <w:r>
        <w:rPr>
          <w:rFonts w:ascii="宋体" w:hAnsi="宋体" w:hint="eastAsia"/>
          <w:color w:val="auto"/>
          <w:spacing w:val="12"/>
          <w:sz w:val="28"/>
          <w:lang w:eastAsia="zh-CN"/>
        </w:rPr>
        <w:t>）一端的套筒（</w:t>
      </w:r>
      <w:r>
        <w:rPr>
          <w:rFonts w:ascii="宋体" w:hAnsi="宋体" w:hint="eastAsia"/>
          <w:color w:val="auto"/>
          <w:spacing w:val="12"/>
          <w:sz w:val="28"/>
          <w:lang w:val="en-US" w:eastAsia="zh-CN"/>
        </w:rPr>
        <w:t>126</w:t>
      </w:r>
      <w:r>
        <w:rPr>
          <w:rFonts w:ascii="宋体" w:hAnsi="宋体" w:hint="eastAsia"/>
          <w:color w:val="auto"/>
          <w:spacing w:val="12"/>
          <w:sz w:val="28"/>
          <w:lang w:eastAsia="zh-CN"/>
        </w:rPr>
        <w:t>）与所述第一圆筒（</w:t>
      </w:r>
      <w:r>
        <w:rPr>
          <w:rFonts w:ascii="宋体" w:hAnsi="宋体" w:hint="eastAsia"/>
          <w:color w:val="auto"/>
          <w:spacing w:val="12"/>
          <w:sz w:val="28"/>
          <w:lang w:val="en-US" w:eastAsia="zh-CN"/>
        </w:rPr>
        <w:t>121</w:t>
      </w:r>
      <w:r>
        <w:rPr>
          <w:rFonts w:ascii="宋体" w:hAnsi="宋体" w:hint="eastAsia"/>
          <w:color w:val="auto"/>
          <w:spacing w:val="12"/>
          <w:sz w:val="28"/>
          <w:lang w:eastAsia="zh-CN"/>
        </w:rPr>
        <w:t>）上的转条（</w:t>
      </w:r>
      <w:r>
        <w:rPr>
          <w:rFonts w:ascii="宋体" w:hAnsi="宋体" w:hint="eastAsia"/>
          <w:color w:val="auto"/>
          <w:spacing w:val="12"/>
          <w:sz w:val="28"/>
          <w:lang w:val="en-US" w:eastAsia="zh-CN"/>
        </w:rPr>
        <w:t>125</w:t>
      </w:r>
      <w:r>
        <w:rPr>
          <w:rFonts w:ascii="宋体" w:hAnsi="宋体" w:hint="eastAsia"/>
          <w:color w:val="auto"/>
          <w:spacing w:val="12"/>
          <w:sz w:val="28"/>
          <w:lang w:eastAsia="zh-CN"/>
        </w:rPr>
        <w:t>）转动连接，所述拉臂（</w:t>
      </w:r>
      <w:r>
        <w:rPr>
          <w:rFonts w:ascii="宋体" w:hAnsi="宋体" w:hint="eastAsia"/>
          <w:color w:val="auto"/>
          <w:spacing w:val="12"/>
          <w:sz w:val="28"/>
          <w:lang w:val="en-US" w:eastAsia="zh-CN"/>
        </w:rPr>
        <w:t>123</w:t>
      </w:r>
      <w:r>
        <w:rPr>
          <w:rFonts w:ascii="宋体" w:hAnsi="宋体" w:hint="eastAsia"/>
          <w:color w:val="auto"/>
          <w:spacing w:val="12"/>
          <w:sz w:val="28"/>
          <w:lang w:eastAsia="zh-CN"/>
        </w:rPr>
        <w:t>）另一端的套筒（</w:t>
      </w:r>
      <w:r>
        <w:rPr>
          <w:rFonts w:ascii="宋体" w:hAnsi="宋体" w:hint="eastAsia"/>
          <w:color w:val="auto"/>
          <w:spacing w:val="12"/>
          <w:sz w:val="28"/>
          <w:lang w:val="en-US" w:eastAsia="zh-CN"/>
        </w:rPr>
        <w:t>126</w:t>
      </w:r>
      <w:r>
        <w:rPr>
          <w:rFonts w:ascii="宋体" w:hAnsi="宋体" w:hint="eastAsia"/>
          <w:color w:val="auto"/>
          <w:spacing w:val="12"/>
          <w:sz w:val="28"/>
          <w:lang w:eastAsia="zh-CN"/>
        </w:rPr>
        <w:t>）与所述转架（</w:t>
      </w:r>
      <w:r>
        <w:rPr>
          <w:rFonts w:ascii="宋体" w:hAnsi="宋体" w:hint="eastAsia"/>
          <w:color w:val="auto"/>
          <w:spacing w:val="12"/>
          <w:sz w:val="28"/>
          <w:lang w:val="en-US" w:eastAsia="zh-CN"/>
        </w:rPr>
        <w:t>1242</w:t>
      </w:r>
      <w:r>
        <w:rPr>
          <w:rFonts w:ascii="宋体" w:hAnsi="宋体" w:hint="eastAsia"/>
          <w:color w:val="auto"/>
          <w:spacing w:val="12"/>
          <w:sz w:val="28"/>
          <w:lang w:eastAsia="zh-CN"/>
        </w:rPr>
        <w:t>）转动连接，所述支撑臂（</w:t>
      </w:r>
      <w:r>
        <w:rPr>
          <w:rFonts w:ascii="宋体" w:hAnsi="宋体" w:hint="eastAsia"/>
          <w:color w:val="auto"/>
          <w:spacing w:val="12"/>
          <w:sz w:val="28"/>
          <w:lang w:val="en-US" w:eastAsia="zh-CN"/>
        </w:rPr>
        <w:t>124</w:t>
      </w:r>
      <w:r>
        <w:rPr>
          <w:rFonts w:ascii="宋体" w:hAnsi="宋体" w:hint="eastAsia"/>
          <w:color w:val="auto"/>
          <w:spacing w:val="12"/>
          <w:sz w:val="28"/>
          <w:lang w:eastAsia="zh-CN"/>
        </w:rPr>
        <w:t>）上的转筒（</w:t>
      </w:r>
      <w:r>
        <w:rPr>
          <w:rFonts w:ascii="宋体" w:hAnsi="宋体" w:hint="eastAsia"/>
          <w:color w:val="auto"/>
          <w:spacing w:val="12"/>
          <w:sz w:val="28"/>
          <w:lang w:val="en-US" w:eastAsia="zh-CN"/>
        </w:rPr>
        <w:t>1241</w:t>
      </w:r>
      <w:r>
        <w:rPr>
          <w:rFonts w:ascii="宋体" w:hAnsi="宋体" w:hint="eastAsia"/>
          <w:color w:val="auto"/>
          <w:spacing w:val="12"/>
          <w:sz w:val="28"/>
          <w:lang w:eastAsia="zh-CN"/>
        </w:rPr>
        <w:t>）与所述第二圆筒（</w:t>
      </w:r>
      <w:r>
        <w:rPr>
          <w:rFonts w:ascii="宋体" w:hAnsi="宋体" w:hint="eastAsia"/>
          <w:color w:val="auto"/>
          <w:spacing w:val="12"/>
          <w:sz w:val="28"/>
          <w:lang w:val="en-US" w:eastAsia="zh-CN"/>
        </w:rPr>
        <w:t>122</w:t>
      </w:r>
      <w:r>
        <w:rPr>
          <w:rFonts w:ascii="宋体" w:hAnsi="宋体" w:hint="eastAsia"/>
          <w:color w:val="auto"/>
          <w:spacing w:val="12"/>
          <w:sz w:val="28"/>
          <w:lang w:eastAsia="zh-CN"/>
        </w:rPr>
        <w:t>）上的转条（</w:t>
      </w:r>
      <w:r>
        <w:rPr>
          <w:rFonts w:ascii="宋体" w:hAnsi="宋体" w:hint="eastAsia"/>
          <w:color w:val="auto"/>
          <w:spacing w:val="12"/>
          <w:sz w:val="28"/>
          <w:lang w:val="en-US" w:eastAsia="zh-CN"/>
        </w:rPr>
        <w:t>125</w:t>
      </w:r>
      <w:r>
        <w:rPr>
          <w:rFonts w:ascii="宋体" w:hAnsi="宋体" w:hint="eastAsia"/>
          <w:color w:val="auto"/>
          <w:spacing w:val="12"/>
          <w:sz w:val="28"/>
          <w:lang w:eastAsia="zh-CN"/>
        </w:rPr>
        <w:t>）转动连接。</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sectPr>
          <w:headerReference w:type="default" r:id="rId12"/>
          <w:footerReference w:type="default" r:id="rId13"/>
          <w:type w:val="nextPage"/>
          <w:pgSz w:w="11906" w:h="16838"/>
          <w:pgMar w:top="1440" w:right="1800" w:bottom="1440" w:left="1800" w:header="851" w:footer="992" w:gutter="0"/>
          <w:lnNumType w:distance="360"/>
          <w:pgNumType w:fmt="decimal" w:start="2"/>
          <w:cols w:num="1" w:space="720"/>
          <w:titlePg w:val="0"/>
          <w:docGrid w:type="lines" w:linePitch="312" w:charSpace="0"/>
        </w:sectPr>
      </w:pPr>
      <w:r>
        <w:rPr>
          <w:rFonts w:ascii="宋体" w:hAnsi="宋体" w:hint="eastAsia"/>
          <w:color w:val="auto"/>
          <w:spacing w:val="12"/>
          <w:sz w:val="28"/>
        </w:rPr>
        <w:t>根据权利要求</w:t>
      </w:r>
      <w:r>
        <w:rPr>
          <w:rFonts w:ascii="宋体" w:hAnsi="宋体" w:hint="eastAsia"/>
          <w:color w:val="auto"/>
          <w:spacing w:val="12"/>
          <w:sz w:val="28"/>
          <w:lang w:val="en-US" w:eastAsia="zh-CN"/>
        </w:rPr>
        <w:t>5</w:t>
      </w:r>
      <w:r>
        <w:rPr>
          <w:rFonts w:ascii="宋体" w:hAnsi="宋体" w:hint="eastAsia"/>
          <w:color w:val="auto"/>
          <w:spacing w:val="12"/>
          <w:sz w:val="28"/>
        </w:rPr>
        <w:t>所述的</w:t>
      </w:r>
      <w:r>
        <w:rPr>
          <w:rFonts w:ascii="宋体" w:hAnsi="宋体" w:hint="eastAsia"/>
          <w:color w:val="auto"/>
          <w:spacing w:val="12"/>
          <w:sz w:val="28"/>
          <w:lang w:eastAsia="zh-CN"/>
        </w:rPr>
        <w:t>一种快速测定偏移方向的装置</w:t>
      </w:r>
      <w:r>
        <w:rPr>
          <w:rFonts w:ascii="宋体" w:hAnsi="宋体" w:hint="eastAsia"/>
          <w:color w:val="auto"/>
          <w:spacing w:val="12"/>
          <w:sz w:val="28"/>
        </w:rPr>
        <w:t>，其特征在于，</w:t>
      </w:r>
      <w:r>
        <w:rPr>
          <w:rFonts w:ascii="宋体" w:hAnsi="宋体" w:hint="eastAsia"/>
          <w:color w:val="auto"/>
          <w:spacing w:val="12"/>
          <w:sz w:val="28"/>
          <w:lang w:eastAsia="zh-CN"/>
        </w:rPr>
        <w:t>所述第一圆筒（</w:t>
      </w:r>
      <w:r>
        <w:rPr>
          <w:rFonts w:ascii="宋体" w:hAnsi="宋体" w:hint="eastAsia"/>
          <w:color w:val="auto"/>
          <w:spacing w:val="12"/>
          <w:sz w:val="28"/>
          <w:lang w:val="en-US" w:eastAsia="zh-CN"/>
        </w:rPr>
        <w:t>121</w:t>
      </w:r>
      <w:r>
        <w:rPr>
          <w:rFonts w:ascii="宋体" w:hAnsi="宋体" w:hint="eastAsia"/>
          <w:color w:val="auto"/>
          <w:spacing w:val="12"/>
          <w:sz w:val="28"/>
          <w:lang w:eastAsia="zh-CN"/>
        </w:rPr>
        <w:t>）的底面上竖直固定有插柱（</w:t>
      </w:r>
      <w:r>
        <w:rPr>
          <w:rFonts w:ascii="宋体" w:hAnsi="宋体" w:hint="eastAsia"/>
          <w:color w:val="auto"/>
          <w:spacing w:val="12"/>
          <w:sz w:val="28"/>
          <w:lang w:val="en-US" w:eastAsia="zh-CN"/>
        </w:rPr>
        <w:t>127</w:t>
      </w:r>
      <w:r>
        <w:rPr>
          <w:rFonts w:ascii="宋体" w:hAnsi="宋体" w:hint="eastAsia"/>
          <w:color w:val="auto"/>
          <w:spacing w:val="12"/>
          <w:sz w:val="28"/>
          <w:lang w:eastAsia="zh-CN"/>
        </w:rPr>
        <w:t>），所述第二圆筒（</w:t>
      </w:r>
      <w:r>
        <w:rPr>
          <w:rFonts w:ascii="宋体" w:hAnsi="宋体" w:hint="eastAsia"/>
          <w:color w:val="auto"/>
          <w:spacing w:val="12"/>
          <w:sz w:val="28"/>
          <w:lang w:val="en-US" w:eastAsia="zh-CN"/>
        </w:rPr>
        <w:t>122</w:t>
      </w:r>
      <w:r>
        <w:rPr>
          <w:rFonts w:ascii="宋体" w:hAnsi="宋体" w:hint="eastAsia"/>
          <w:color w:val="auto"/>
          <w:spacing w:val="12"/>
          <w:sz w:val="28"/>
          <w:lang w:eastAsia="zh-CN"/>
        </w:rPr>
        <w:t>）的顶面竖直固定有插筒（</w:t>
      </w:r>
      <w:r>
        <w:rPr>
          <w:rFonts w:ascii="宋体" w:hAnsi="宋体" w:hint="eastAsia"/>
          <w:color w:val="auto"/>
          <w:spacing w:val="12"/>
          <w:sz w:val="28"/>
          <w:lang w:val="en-US" w:eastAsia="zh-CN"/>
        </w:rPr>
        <w:t>129</w:t>
      </w:r>
      <w:r>
        <w:rPr>
          <w:rFonts w:ascii="宋体" w:hAnsi="宋体" w:hint="eastAsia"/>
          <w:color w:val="auto"/>
          <w:spacing w:val="12"/>
          <w:sz w:val="28"/>
          <w:lang w:eastAsia="zh-CN"/>
        </w:rPr>
        <w:t>），所述插柱（</w:t>
      </w:r>
      <w:r>
        <w:rPr>
          <w:rFonts w:ascii="宋体" w:hAnsi="宋体" w:hint="eastAsia"/>
          <w:color w:val="auto"/>
          <w:spacing w:val="12"/>
          <w:sz w:val="28"/>
          <w:lang w:val="en-US" w:eastAsia="zh-CN"/>
        </w:rPr>
        <w:t>127</w:t>
      </w:r>
      <w:r>
        <w:rPr>
          <w:rFonts w:ascii="宋体" w:hAnsi="宋体" w:hint="eastAsia"/>
          <w:color w:val="auto"/>
          <w:spacing w:val="12"/>
          <w:sz w:val="28"/>
          <w:lang w:eastAsia="zh-CN"/>
        </w:rPr>
        <w:t>）竖直插接在所述插筒（</w:t>
      </w:r>
      <w:r>
        <w:rPr>
          <w:rFonts w:ascii="宋体" w:hAnsi="宋体" w:hint="eastAsia"/>
          <w:color w:val="auto"/>
          <w:spacing w:val="12"/>
          <w:sz w:val="28"/>
          <w:lang w:val="en-US" w:eastAsia="zh-CN"/>
        </w:rPr>
        <w:t>129</w:t>
      </w:r>
      <w:r>
        <w:rPr>
          <w:rFonts w:ascii="宋体" w:hAnsi="宋体" w:hint="eastAsia"/>
          <w:color w:val="auto"/>
          <w:spacing w:val="12"/>
          <w:sz w:val="28"/>
          <w:lang w:eastAsia="zh-CN"/>
        </w:rPr>
        <w:t>）中，所述插筒（</w:t>
      </w:r>
      <w:r>
        <w:rPr>
          <w:rFonts w:ascii="宋体" w:hAnsi="宋体" w:hint="eastAsia"/>
          <w:color w:val="auto"/>
          <w:spacing w:val="12"/>
          <w:sz w:val="28"/>
          <w:lang w:val="en-US" w:eastAsia="zh-CN"/>
        </w:rPr>
        <w:t>129</w:t>
      </w:r>
      <w:r>
        <w:rPr>
          <w:rFonts w:ascii="宋体" w:hAnsi="宋体" w:hint="eastAsia"/>
          <w:color w:val="auto"/>
          <w:spacing w:val="12"/>
          <w:sz w:val="28"/>
          <w:lang w:eastAsia="zh-CN"/>
        </w:rPr>
        <w:t>）的内部竖直固定有拉持弹簧（</w:t>
      </w:r>
      <w:r>
        <w:rPr>
          <w:rFonts w:ascii="宋体" w:hAnsi="宋体" w:hint="eastAsia"/>
          <w:color w:val="auto"/>
          <w:spacing w:val="12"/>
          <w:sz w:val="28"/>
          <w:lang w:val="en-US" w:eastAsia="zh-CN"/>
        </w:rPr>
        <w:t>128</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560" w:rightChars="0" w:firstLineChars="200"/>
        <w:jc w:val="both"/>
        <w:textAlignment w:val="auto"/>
        <w:outlineLvl w:val="9"/>
        <w:rPr>
          <w:rFonts w:ascii="宋体"/>
          <w:color w:val="auto"/>
          <w:spacing w:val="12"/>
          <w:sz w:val="28"/>
        </w:rPr>
      </w:pPr>
      <w:r>
        <w:rPr>
          <w:rFonts w:ascii="宋体" w:hAnsi="宋体" w:hint="eastAsia"/>
          <w:color w:val="auto"/>
          <w:spacing w:val="12"/>
          <w:sz w:val="28"/>
          <w:lang w:eastAsia="zh-CN"/>
        </w:rPr>
        <w:t>），所述拉持弹簧（</w:t>
      </w:r>
      <w:r>
        <w:rPr>
          <w:rFonts w:ascii="宋体" w:hAnsi="宋体" w:hint="eastAsia"/>
          <w:color w:val="auto"/>
          <w:spacing w:val="12"/>
          <w:sz w:val="28"/>
          <w:lang w:val="en-US" w:eastAsia="zh-CN"/>
        </w:rPr>
        <w:t>128</w:t>
      </w:r>
      <w:r>
        <w:rPr>
          <w:rFonts w:ascii="宋体" w:hAnsi="宋体" w:hint="eastAsia"/>
          <w:color w:val="auto"/>
          <w:spacing w:val="12"/>
          <w:sz w:val="28"/>
          <w:lang w:eastAsia="zh-CN"/>
        </w:rPr>
        <w:t>）的两端分别固定在所述插柱（</w:t>
      </w:r>
      <w:r>
        <w:rPr>
          <w:rFonts w:ascii="宋体" w:hAnsi="宋体" w:hint="eastAsia"/>
          <w:color w:val="auto"/>
          <w:spacing w:val="12"/>
          <w:sz w:val="28"/>
          <w:lang w:val="en-US" w:eastAsia="zh-CN"/>
        </w:rPr>
        <w:t>127</w:t>
      </w:r>
      <w:r>
        <w:rPr>
          <w:rFonts w:ascii="宋体" w:hAnsi="宋体" w:hint="eastAsia"/>
          <w:color w:val="auto"/>
          <w:spacing w:val="12"/>
          <w:sz w:val="28"/>
          <w:lang w:eastAsia="zh-CN"/>
        </w:rPr>
        <w:t>）的底端和插筒（</w:t>
      </w:r>
      <w:r>
        <w:rPr>
          <w:rFonts w:ascii="宋体" w:hAnsi="宋体" w:hint="eastAsia"/>
          <w:color w:val="auto"/>
          <w:spacing w:val="12"/>
          <w:sz w:val="28"/>
          <w:lang w:val="en-US" w:eastAsia="zh-CN"/>
        </w:rPr>
        <w:t>129</w:t>
      </w:r>
      <w:r>
        <w:rPr>
          <w:rFonts w:ascii="宋体" w:hAnsi="宋体" w:hint="eastAsia"/>
          <w:color w:val="auto"/>
          <w:spacing w:val="12"/>
          <w:sz w:val="28"/>
          <w:lang w:eastAsia="zh-CN"/>
        </w:rPr>
        <w:t>）的内部底端。</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1</w:t>
      </w:r>
      <w:r>
        <w:rPr>
          <w:rFonts w:ascii="宋体" w:hAnsi="宋体" w:hint="eastAsia"/>
          <w:color w:val="auto"/>
          <w:spacing w:val="12"/>
          <w:sz w:val="28"/>
        </w:rPr>
        <w:t>所述的</w:t>
      </w:r>
      <w:r>
        <w:rPr>
          <w:rFonts w:ascii="宋体" w:hAnsi="宋体" w:hint="eastAsia"/>
          <w:color w:val="auto"/>
          <w:spacing w:val="12"/>
          <w:sz w:val="28"/>
          <w:lang w:eastAsia="zh-CN"/>
        </w:rPr>
        <w:t>一种快速测定偏移方向的装置</w:t>
      </w:r>
      <w:r>
        <w:rPr>
          <w:rFonts w:ascii="宋体" w:hAnsi="宋体" w:hint="eastAsia"/>
          <w:color w:val="auto"/>
          <w:spacing w:val="12"/>
          <w:sz w:val="28"/>
        </w:rPr>
        <w:t>，其特征在于，</w:t>
      </w:r>
      <w:r>
        <w:rPr>
          <w:rFonts w:ascii="宋体" w:hAnsi="宋体" w:hint="eastAsia"/>
          <w:color w:val="auto"/>
          <w:spacing w:val="12"/>
          <w:sz w:val="28"/>
          <w:lang w:eastAsia="zh-CN"/>
        </w:rPr>
        <w:t>所述搭接传递组件（</w:t>
      </w:r>
      <w:r>
        <w:rPr>
          <w:rFonts w:ascii="宋体" w:hAnsi="宋体" w:hint="eastAsia"/>
          <w:color w:val="auto"/>
          <w:spacing w:val="12"/>
          <w:sz w:val="28"/>
          <w:lang w:val="en-US" w:eastAsia="zh-CN"/>
        </w:rPr>
        <w:t>2</w:t>
      </w:r>
      <w:r>
        <w:rPr>
          <w:rFonts w:ascii="宋体" w:hAnsi="宋体" w:hint="eastAsia"/>
          <w:color w:val="auto"/>
          <w:spacing w:val="12"/>
          <w:sz w:val="28"/>
          <w:lang w:eastAsia="zh-CN"/>
        </w:rPr>
        <w:t>）包括钢缆（</w:t>
      </w:r>
      <w:r>
        <w:rPr>
          <w:rFonts w:ascii="宋体" w:hAnsi="宋体" w:hint="eastAsia"/>
          <w:color w:val="auto"/>
          <w:spacing w:val="12"/>
          <w:sz w:val="28"/>
          <w:lang w:val="en-US" w:eastAsia="zh-CN"/>
        </w:rPr>
        <w:t>21</w:t>
      </w:r>
      <w:r>
        <w:rPr>
          <w:rFonts w:ascii="宋体" w:hAnsi="宋体" w:hint="eastAsia"/>
          <w:color w:val="auto"/>
          <w:spacing w:val="12"/>
          <w:sz w:val="28"/>
          <w:lang w:eastAsia="zh-CN"/>
        </w:rPr>
        <w:t>）、固定筒（</w:t>
      </w:r>
      <w:r>
        <w:rPr>
          <w:rFonts w:ascii="宋体" w:hAnsi="宋体" w:hint="eastAsia"/>
          <w:color w:val="auto"/>
          <w:spacing w:val="12"/>
          <w:sz w:val="28"/>
          <w:lang w:val="en-US" w:eastAsia="zh-CN"/>
        </w:rPr>
        <w:t>22</w:t>
      </w:r>
      <w:r>
        <w:rPr>
          <w:rFonts w:ascii="宋体" w:hAnsi="宋体" w:hint="eastAsia"/>
          <w:color w:val="auto"/>
          <w:spacing w:val="12"/>
          <w:sz w:val="28"/>
          <w:lang w:eastAsia="zh-CN"/>
        </w:rPr>
        <w:t>）和固定</w:t>
      </w:r>
      <w:r>
        <w:rPr>
          <w:rFonts w:ascii="宋体" w:hAnsi="宋体" w:hint="eastAsia"/>
          <w:color w:val="auto"/>
          <w:spacing w:val="12"/>
          <w:sz w:val="28"/>
          <w:lang w:val="en-US" w:eastAsia="zh-CN"/>
        </w:rPr>
        <w:t>接</w:t>
      </w:r>
      <w:r>
        <w:rPr>
          <w:rFonts w:ascii="宋体" w:hAnsi="宋体" w:hint="eastAsia"/>
          <w:color w:val="auto"/>
          <w:spacing w:val="12"/>
          <w:sz w:val="28"/>
          <w:lang w:eastAsia="zh-CN"/>
        </w:rPr>
        <w:t>筒（</w:t>
      </w:r>
      <w:r>
        <w:rPr>
          <w:rFonts w:ascii="宋体" w:hAnsi="宋体" w:hint="eastAsia"/>
          <w:color w:val="auto"/>
          <w:spacing w:val="12"/>
          <w:sz w:val="28"/>
          <w:lang w:val="en-US" w:eastAsia="zh-CN"/>
        </w:rPr>
        <w:t>23</w:t>
      </w:r>
      <w:r>
        <w:rPr>
          <w:rFonts w:ascii="宋体" w:hAnsi="宋体" w:hint="eastAsia"/>
          <w:color w:val="auto"/>
          <w:spacing w:val="12"/>
          <w:sz w:val="28"/>
          <w:lang w:eastAsia="zh-CN"/>
        </w:rPr>
        <w:t>），所述钢缆（</w:t>
      </w:r>
      <w:r>
        <w:rPr>
          <w:rFonts w:ascii="宋体" w:hAnsi="宋体" w:hint="eastAsia"/>
          <w:color w:val="auto"/>
          <w:spacing w:val="12"/>
          <w:sz w:val="28"/>
          <w:lang w:val="en-US" w:eastAsia="zh-CN"/>
        </w:rPr>
        <w:t>21</w:t>
      </w:r>
      <w:r>
        <w:rPr>
          <w:rFonts w:ascii="宋体" w:hAnsi="宋体" w:hint="eastAsia"/>
          <w:color w:val="auto"/>
          <w:spacing w:val="12"/>
          <w:sz w:val="28"/>
          <w:lang w:eastAsia="zh-CN"/>
        </w:rPr>
        <w:t>）上套设有两个固定筒（</w:t>
      </w:r>
      <w:r>
        <w:rPr>
          <w:rFonts w:ascii="宋体" w:hAnsi="宋体" w:hint="eastAsia"/>
          <w:color w:val="auto"/>
          <w:spacing w:val="12"/>
          <w:sz w:val="28"/>
          <w:lang w:val="en-US" w:eastAsia="zh-CN"/>
        </w:rPr>
        <w:t>22</w:t>
      </w:r>
      <w:r>
        <w:rPr>
          <w:rFonts w:ascii="宋体" w:hAnsi="宋体" w:hint="eastAsia"/>
          <w:color w:val="auto"/>
          <w:spacing w:val="12"/>
          <w:sz w:val="28"/>
          <w:lang w:eastAsia="zh-CN"/>
        </w:rPr>
        <w:t>）和一个固定</w:t>
      </w:r>
      <w:r>
        <w:rPr>
          <w:rFonts w:ascii="宋体" w:hAnsi="宋体" w:hint="eastAsia"/>
          <w:color w:val="auto"/>
          <w:spacing w:val="12"/>
          <w:sz w:val="28"/>
          <w:lang w:val="en-US" w:eastAsia="zh-CN"/>
        </w:rPr>
        <w:t>接</w:t>
      </w:r>
      <w:r>
        <w:rPr>
          <w:rFonts w:ascii="宋体" w:hAnsi="宋体" w:hint="eastAsia"/>
          <w:color w:val="auto"/>
          <w:spacing w:val="12"/>
          <w:sz w:val="28"/>
          <w:lang w:eastAsia="zh-CN"/>
        </w:rPr>
        <w:t>筒（</w:t>
      </w:r>
      <w:r>
        <w:rPr>
          <w:rFonts w:ascii="宋体" w:hAnsi="宋体" w:hint="eastAsia"/>
          <w:color w:val="auto"/>
          <w:spacing w:val="12"/>
          <w:sz w:val="28"/>
          <w:lang w:val="en-US" w:eastAsia="zh-CN"/>
        </w:rPr>
        <w:t>23</w:t>
      </w:r>
      <w:r>
        <w:rPr>
          <w:rFonts w:ascii="宋体" w:hAnsi="宋体" w:hint="eastAsia"/>
          <w:color w:val="auto"/>
          <w:spacing w:val="12"/>
          <w:sz w:val="28"/>
          <w:lang w:eastAsia="zh-CN"/>
        </w:rPr>
        <w:t>），所述固定</w:t>
      </w:r>
      <w:r>
        <w:rPr>
          <w:rFonts w:ascii="宋体" w:hAnsi="宋体" w:hint="eastAsia"/>
          <w:color w:val="auto"/>
          <w:spacing w:val="12"/>
          <w:sz w:val="28"/>
          <w:lang w:val="en-US" w:eastAsia="zh-CN"/>
        </w:rPr>
        <w:t>接</w:t>
      </w:r>
      <w:r>
        <w:rPr>
          <w:rFonts w:ascii="宋体" w:hAnsi="宋体" w:hint="eastAsia"/>
          <w:color w:val="auto"/>
          <w:spacing w:val="12"/>
          <w:sz w:val="28"/>
          <w:lang w:eastAsia="zh-CN"/>
        </w:rPr>
        <w:t>筒（</w:t>
      </w:r>
      <w:r>
        <w:rPr>
          <w:rFonts w:ascii="宋体" w:hAnsi="宋体" w:hint="eastAsia"/>
          <w:color w:val="auto"/>
          <w:spacing w:val="12"/>
          <w:sz w:val="28"/>
          <w:lang w:val="en-US" w:eastAsia="zh-CN"/>
        </w:rPr>
        <w:t>23</w:t>
      </w:r>
      <w:r>
        <w:rPr>
          <w:rFonts w:ascii="宋体" w:hAnsi="宋体" w:hint="eastAsia"/>
          <w:color w:val="auto"/>
          <w:spacing w:val="12"/>
          <w:sz w:val="28"/>
          <w:lang w:eastAsia="zh-CN"/>
        </w:rPr>
        <w:t>）设置在所述两个固定筒（</w:t>
      </w:r>
      <w:r>
        <w:rPr>
          <w:rFonts w:ascii="宋体" w:hAnsi="宋体" w:hint="eastAsia"/>
          <w:color w:val="auto"/>
          <w:spacing w:val="12"/>
          <w:sz w:val="28"/>
          <w:lang w:val="en-US" w:eastAsia="zh-CN"/>
        </w:rPr>
        <w:t>22</w:t>
      </w:r>
      <w:r>
        <w:rPr>
          <w:rFonts w:ascii="宋体" w:hAnsi="宋体" w:hint="eastAsia"/>
          <w:color w:val="auto"/>
          <w:spacing w:val="12"/>
          <w:sz w:val="28"/>
          <w:lang w:eastAsia="zh-CN"/>
        </w:rPr>
        <w:t>）之间，所述两个固定筒（</w:t>
      </w:r>
      <w:r>
        <w:rPr>
          <w:rFonts w:ascii="宋体" w:hAnsi="宋体" w:hint="eastAsia"/>
          <w:color w:val="auto"/>
          <w:spacing w:val="12"/>
          <w:sz w:val="28"/>
          <w:lang w:val="en-US" w:eastAsia="zh-CN"/>
        </w:rPr>
        <w:t>22</w:t>
      </w:r>
      <w:r>
        <w:rPr>
          <w:rFonts w:ascii="宋体" w:hAnsi="宋体" w:hint="eastAsia"/>
          <w:color w:val="auto"/>
          <w:spacing w:val="12"/>
          <w:sz w:val="28"/>
          <w:lang w:eastAsia="zh-CN"/>
        </w:rPr>
        <w:t>）固定在所述钢缆（</w:t>
      </w:r>
      <w:r>
        <w:rPr>
          <w:rFonts w:ascii="宋体" w:hAnsi="宋体" w:hint="eastAsia"/>
          <w:color w:val="auto"/>
          <w:spacing w:val="12"/>
          <w:sz w:val="28"/>
          <w:lang w:val="en-US" w:eastAsia="zh-CN"/>
        </w:rPr>
        <w:t>21</w:t>
      </w:r>
      <w:r>
        <w:rPr>
          <w:rFonts w:ascii="宋体" w:hAnsi="宋体" w:hint="eastAsia"/>
          <w:color w:val="auto"/>
          <w:spacing w:val="12"/>
          <w:sz w:val="28"/>
          <w:lang w:eastAsia="zh-CN"/>
        </w:rPr>
        <w:t>），所述两个固定筒（</w:t>
      </w:r>
      <w:r>
        <w:rPr>
          <w:rFonts w:ascii="宋体" w:hAnsi="宋体" w:hint="eastAsia"/>
          <w:color w:val="auto"/>
          <w:spacing w:val="12"/>
          <w:sz w:val="28"/>
          <w:lang w:val="en-US" w:eastAsia="zh-CN"/>
        </w:rPr>
        <w:t>22</w:t>
      </w:r>
      <w:r>
        <w:rPr>
          <w:rFonts w:ascii="宋体" w:hAnsi="宋体" w:hint="eastAsia"/>
          <w:color w:val="auto"/>
          <w:spacing w:val="12"/>
          <w:sz w:val="28"/>
          <w:lang w:eastAsia="zh-CN"/>
        </w:rPr>
        <w:t>）朝向所述固定</w:t>
      </w:r>
      <w:r>
        <w:rPr>
          <w:rFonts w:ascii="宋体" w:hAnsi="宋体" w:hint="eastAsia"/>
          <w:color w:val="auto"/>
          <w:spacing w:val="12"/>
          <w:sz w:val="28"/>
          <w:lang w:val="en-US" w:eastAsia="zh-CN"/>
        </w:rPr>
        <w:t>接</w:t>
      </w:r>
      <w:r>
        <w:rPr>
          <w:rFonts w:ascii="宋体" w:hAnsi="宋体" w:hint="eastAsia"/>
          <w:color w:val="auto"/>
          <w:spacing w:val="12"/>
          <w:sz w:val="28"/>
          <w:lang w:eastAsia="zh-CN"/>
        </w:rPr>
        <w:t>筒（</w:t>
      </w:r>
      <w:r>
        <w:rPr>
          <w:rFonts w:ascii="宋体" w:hAnsi="宋体" w:hint="eastAsia"/>
          <w:color w:val="auto"/>
          <w:spacing w:val="12"/>
          <w:sz w:val="28"/>
          <w:lang w:val="en-US" w:eastAsia="zh-CN"/>
        </w:rPr>
        <w:t>23</w:t>
      </w:r>
      <w:r>
        <w:rPr>
          <w:rFonts w:ascii="宋体" w:hAnsi="宋体" w:hint="eastAsia"/>
          <w:color w:val="auto"/>
          <w:spacing w:val="12"/>
          <w:sz w:val="28"/>
          <w:lang w:eastAsia="zh-CN"/>
        </w:rPr>
        <w:t>）的端部均固定有连接螺筒（</w:t>
      </w:r>
      <w:r>
        <w:rPr>
          <w:rFonts w:ascii="宋体" w:hAnsi="宋体" w:hint="eastAsia"/>
          <w:color w:val="auto"/>
          <w:spacing w:val="12"/>
          <w:sz w:val="28"/>
          <w:lang w:val="en-US" w:eastAsia="zh-CN"/>
        </w:rPr>
        <w:t>221</w:t>
      </w:r>
      <w:r>
        <w:rPr>
          <w:rFonts w:ascii="宋体" w:hAnsi="宋体" w:hint="eastAsia"/>
          <w:color w:val="auto"/>
          <w:spacing w:val="12"/>
          <w:sz w:val="28"/>
          <w:lang w:eastAsia="zh-CN"/>
        </w:rPr>
        <w:t>），所述固定</w:t>
      </w:r>
      <w:r>
        <w:rPr>
          <w:rFonts w:ascii="宋体" w:hAnsi="宋体" w:hint="eastAsia"/>
          <w:color w:val="auto"/>
          <w:spacing w:val="12"/>
          <w:sz w:val="28"/>
          <w:lang w:val="en-US" w:eastAsia="zh-CN"/>
        </w:rPr>
        <w:t>接</w:t>
      </w:r>
      <w:r>
        <w:rPr>
          <w:rFonts w:ascii="宋体" w:hAnsi="宋体" w:hint="eastAsia"/>
          <w:color w:val="auto"/>
          <w:spacing w:val="12"/>
          <w:sz w:val="28"/>
          <w:lang w:eastAsia="zh-CN"/>
        </w:rPr>
        <w:t>筒（</w:t>
      </w:r>
      <w:r>
        <w:rPr>
          <w:rFonts w:ascii="宋体" w:hAnsi="宋体" w:hint="eastAsia"/>
          <w:color w:val="auto"/>
          <w:spacing w:val="12"/>
          <w:sz w:val="28"/>
          <w:lang w:val="en-US" w:eastAsia="zh-CN"/>
        </w:rPr>
        <w:t>23</w:t>
      </w:r>
      <w:r>
        <w:rPr>
          <w:rFonts w:ascii="宋体" w:hAnsi="宋体" w:hint="eastAsia"/>
          <w:color w:val="auto"/>
          <w:spacing w:val="12"/>
          <w:sz w:val="28"/>
          <w:lang w:eastAsia="zh-CN"/>
        </w:rPr>
        <w:t>）的两端均固定有固定螺筒（</w:t>
      </w:r>
      <w:r>
        <w:rPr>
          <w:rFonts w:ascii="宋体" w:hAnsi="宋体" w:hint="eastAsia"/>
          <w:color w:val="auto"/>
          <w:spacing w:val="12"/>
          <w:sz w:val="28"/>
          <w:lang w:val="en-US" w:eastAsia="zh-CN"/>
        </w:rPr>
        <w:t>231</w:t>
      </w:r>
      <w:r>
        <w:rPr>
          <w:rFonts w:ascii="宋体" w:hAnsi="宋体" w:hint="eastAsia"/>
          <w:color w:val="auto"/>
          <w:spacing w:val="12"/>
          <w:sz w:val="28"/>
          <w:lang w:eastAsia="zh-CN"/>
        </w:rPr>
        <w:t>），所述固定螺筒（</w:t>
      </w:r>
      <w:r>
        <w:rPr>
          <w:rFonts w:ascii="宋体" w:hAnsi="宋体" w:hint="eastAsia"/>
          <w:color w:val="auto"/>
          <w:spacing w:val="12"/>
          <w:sz w:val="28"/>
          <w:lang w:val="en-US" w:eastAsia="zh-CN"/>
        </w:rPr>
        <w:t>231</w:t>
      </w:r>
      <w:r>
        <w:rPr>
          <w:rFonts w:ascii="宋体" w:hAnsi="宋体" w:hint="eastAsia"/>
          <w:color w:val="auto"/>
          <w:spacing w:val="12"/>
          <w:sz w:val="28"/>
          <w:lang w:eastAsia="zh-CN"/>
        </w:rPr>
        <w:t>）与所述连接螺筒（</w:t>
      </w:r>
      <w:r>
        <w:rPr>
          <w:rFonts w:ascii="宋体" w:hAnsi="宋体" w:hint="eastAsia"/>
          <w:color w:val="auto"/>
          <w:spacing w:val="12"/>
          <w:sz w:val="28"/>
          <w:lang w:val="en-US" w:eastAsia="zh-CN"/>
        </w:rPr>
        <w:t>221</w:t>
      </w:r>
      <w:r>
        <w:rPr>
          <w:rFonts w:ascii="宋体" w:hAnsi="宋体" w:hint="eastAsia"/>
          <w:color w:val="auto"/>
          <w:spacing w:val="12"/>
          <w:sz w:val="28"/>
          <w:lang w:eastAsia="zh-CN"/>
        </w:rPr>
        <w:t>）螺纹组装连接，所述钢缆（</w:t>
      </w:r>
      <w:r>
        <w:rPr>
          <w:rFonts w:ascii="宋体" w:hAnsi="宋体" w:hint="eastAsia"/>
          <w:color w:val="auto"/>
          <w:spacing w:val="12"/>
          <w:sz w:val="28"/>
          <w:lang w:val="en-US" w:eastAsia="zh-CN"/>
        </w:rPr>
        <w:t>21</w:t>
      </w:r>
      <w:r>
        <w:rPr>
          <w:rFonts w:ascii="宋体" w:hAnsi="宋体" w:hint="eastAsia"/>
          <w:color w:val="auto"/>
          <w:spacing w:val="12"/>
          <w:sz w:val="28"/>
          <w:lang w:eastAsia="zh-CN"/>
        </w:rPr>
        <w:t>）的顶端竖直固定有装配螺柱（</w:t>
      </w:r>
      <w:r>
        <w:rPr>
          <w:rFonts w:ascii="宋体" w:hAnsi="宋体" w:hint="eastAsia"/>
          <w:color w:val="auto"/>
          <w:spacing w:val="12"/>
          <w:sz w:val="28"/>
          <w:lang w:val="en-US" w:eastAsia="zh-CN"/>
        </w:rPr>
        <w:t>24</w:t>
      </w:r>
      <w:r>
        <w:rPr>
          <w:rFonts w:ascii="宋体" w:hAnsi="宋体" w:hint="eastAsia"/>
          <w:color w:val="auto"/>
          <w:spacing w:val="12"/>
          <w:sz w:val="28"/>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7</w:t>
      </w:r>
      <w:r>
        <w:rPr>
          <w:rFonts w:ascii="宋体" w:hAnsi="宋体" w:hint="eastAsia"/>
          <w:color w:val="auto"/>
          <w:spacing w:val="12"/>
          <w:sz w:val="28"/>
        </w:rPr>
        <w:t>所述的</w:t>
      </w:r>
      <w:r>
        <w:rPr>
          <w:rFonts w:ascii="宋体" w:hAnsi="宋体" w:hint="eastAsia"/>
          <w:color w:val="auto"/>
          <w:spacing w:val="12"/>
          <w:sz w:val="28"/>
          <w:lang w:eastAsia="zh-CN"/>
        </w:rPr>
        <w:t>一种快速测定偏移方向的装置</w:t>
      </w:r>
      <w:r>
        <w:rPr>
          <w:rFonts w:ascii="宋体" w:hAnsi="宋体" w:hint="eastAsia"/>
          <w:color w:val="auto"/>
          <w:spacing w:val="12"/>
          <w:sz w:val="28"/>
        </w:rPr>
        <w:t>，其特征在于，</w:t>
      </w:r>
      <w:r>
        <w:rPr>
          <w:rFonts w:ascii="宋体" w:hAnsi="宋体" w:hint="eastAsia"/>
          <w:color w:val="auto"/>
          <w:spacing w:val="12"/>
          <w:sz w:val="28"/>
          <w:lang w:eastAsia="zh-CN"/>
        </w:rPr>
        <w:t>所述偏移方位测试组件（</w:t>
      </w:r>
      <w:r>
        <w:rPr>
          <w:rFonts w:ascii="宋体" w:hAnsi="宋体" w:hint="eastAsia"/>
          <w:color w:val="auto"/>
          <w:spacing w:val="12"/>
          <w:sz w:val="28"/>
          <w:lang w:val="en-US" w:eastAsia="zh-CN"/>
        </w:rPr>
        <w:t>3</w:t>
      </w:r>
      <w:r>
        <w:rPr>
          <w:rFonts w:ascii="宋体" w:hAnsi="宋体" w:hint="eastAsia"/>
          <w:color w:val="auto"/>
          <w:spacing w:val="12"/>
          <w:sz w:val="28"/>
          <w:lang w:eastAsia="zh-CN"/>
        </w:rPr>
        <w:t>）包括</w:t>
      </w:r>
      <w:r>
        <w:rPr>
          <w:rFonts w:ascii="宋体" w:hAnsi="宋体" w:hint="eastAsia"/>
          <w:color w:val="auto"/>
          <w:spacing w:val="12"/>
          <w:sz w:val="28"/>
          <w:lang w:val="en-US" w:eastAsia="zh-CN"/>
        </w:rPr>
        <w:t>方位角传导固定块（31），所述方位角传导固定块（31）的底面上竖直固定有配合所述</w:t>
      </w:r>
      <w:r>
        <w:rPr>
          <w:rFonts w:ascii="宋体" w:hAnsi="宋体" w:hint="eastAsia"/>
          <w:color w:val="auto"/>
          <w:spacing w:val="12"/>
          <w:sz w:val="28"/>
          <w:lang w:eastAsia="zh-CN"/>
        </w:rPr>
        <w:t>装配螺柱（</w:t>
      </w:r>
      <w:r>
        <w:rPr>
          <w:rFonts w:ascii="宋体" w:hAnsi="宋体" w:hint="eastAsia"/>
          <w:color w:val="auto"/>
          <w:spacing w:val="12"/>
          <w:sz w:val="28"/>
          <w:lang w:val="en-US" w:eastAsia="zh-CN"/>
        </w:rPr>
        <w:t>24</w:t>
      </w:r>
      <w:r>
        <w:rPr>
          <w:rFonts w:ascii="宋体" w:hAnsi="宋体" w:hint="eastAsia"/>
          <w:color w:val="auto"/>
          <w:spacing w:val="12"/>
          <w:sz w:val="28"/>
          <w:lang w:eastAsia="zh-CN"/>
        </w:rPr>
        <w:t>）的装配螺筒（</w:t>
      </w:r>
      <w:r>
        <w:rPr>
          <w:rFonts w:ascii="宋体" w:hAnsi="宋体" w:hint="eastAsia"/>
          <w:color w:val="auto"/>
          <w:spacing w:val="12"/>
          <w:sz w:val="28"/>
          <w:lang w:val="en-US" w:eastAsia="zh-CN"/>
        </w:rPr>
        <w:t>32</w:t>
      </w:r>
      <w:r>
        <w:rPr>
          <w:rFonts w:ascii="宋体" w:hAnsi="宋体" w:hint="eastAsia"/>
          <w:color w:val="auto"/>
          <w:spacing w:val="12"/>
          <w:sz w:val="28"/>
          <w:lang w:eastAsia="zh-CN"/>
        </w:rPr>
        <w:t>），所述</w:t>
      </w:r>
      <w:r>
        <w:rPr>
          <w:rFonts w:ascii="宋体" w:hAnsi="宋体" w:hint="eastAsia"/>
          <w:color w:val="auto"/>
          <w:spacing w:val="12"/>
          <w:sz w:val="28"/>
          <w:lang w:val="en-US" w:eastAsia="zh-CN"/>
        </w:rPr>
        <w:t>方位角传导固定块（31）的竖直端面上竖直固定有竖直气泡（33），所述方位角传导固定块（31）的水平端面上水平固定有水平气泡（34）</w:t>
      </w:r>
      <w:r>
        <w:rPr>
          <w:rFonts w:ascii="宋体" w:hAnsi="宋体" w:hint="eastAsia"/>
          <w:color w:val="auto"/>
          <w:spacing w:val="12"/>
          <w:sz w:val="28"/>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sectPr>
          <w:headerReference w:type="default" r:id="rId14"/>
          <w:footerReference w:type="default" r:id="rId15"/>
          <w:type w:val="nextPage"/>
          <w:pgSz w:w="11906" w:h="16838"/>
          <w:pgMar w:top="1440" w:right="1800" w:bottom="1440" w:left="1800" w:header="851" w:footer="992" w:gutter="0"/>
          <w:lnNumType w:distance="360"/>
          <w:pgNumType w:fmt="decimal" w:start="3"/>
          <w:cols w:num="1" w:space="720"/>
          <w:titlePg w:val="0"/>
          <w:docGrid w:type="lines" w:linePitch="312" w:charSpace="0"/>
        </w:sectPr>
      </w:pPr>
      <w:r>
        <w:rPr>
          <w:rFonts w:ascii="宋体" w:hAnsi="宋体" w:hint="eastAsia"/>
          <w:color w:val="auto"/>
          <w:spacing w:val="12"/>
          <w:sz w:val="28"/>
        </w:rPr>
        <w:t>根据权利要求</w:t>
      </w:r>
      <w:r>
        <w:rPr>
          <w:rFonts w:ascii="宋体" w:hAnsi="宋体" w:hint="eastAsia"/>
          <w:color w:val="auto"/>
          <w:spacing w:val="12"/>
          <w:sz w:val="28"/>
          <w:lang w:val="en-US" w:eastAsia="zh-CN"/>
        </w:rPr>
        <w:t>2</w:t>
      </w:r>
      <w:r>
        <w:rPr>
          <w:rFonts w:ascii="宋体" w:hAnsi="宋体" w:hint="eastAsia"/>
          <w:color w:val="auto"/>
          <w:spacing w:val="12"/>
          <w:sz w:val="28"/>
        </w:rPr>
        <w:t>所述的</w:t>
      </w:r>
      <w:r>
        <w:rPr>
          <w:rFonts w:ascii="宋体" w:hAnsi="宋体" w:hint="eastAsia"/>
          <w:color w:val="auto"/>
          <w:spacing w:val="12"/>
          <w:sz w:val="28"/>
          <w:lang w:eastAsia="zh-CN"/>
        </w:rPr>
        <w:t>一种快速测定偏移方向的装置</w:t>
      </w:r>
      <w:r>
        <w:rPr>
          <w:rFonts w:ascii="宋体" w:hAnsi="宋体" w:hint="eastAsia"/>
          <w:color w:val="auto"/>
          <w:spacing w:val="12"/>
          <w:sz w:val="28"/>
        </w:rPr>
        <w:t>，其特征在于，</w:t>
      </w:r>
      <w:r>
        <w:rPr>
          <w:rFonts w:ascii="宋体" w:hAnsi="宋体" w:hint="eastAsia"/>
          <w:color w:val="auto"/>
          <w:spacing w:val="12"/>
          <w:sz w:val="28"/>
          <w:lang w:eastAsia="zh-CN"/>
        </w:rPr>
        <w:t>所述限位组件（</w:t>
      </w:r>
      <w:r>
        <w:rPr>
          <w:rFonts w:ascii="宋体" w:hAnsi="宋体" w:hint="eastAsia"/>
          <w:color w:val="auto"/>
          <w:spacing w:val="12"/>
          <w:sz w:val="28"/>
          <w:lang w:val="en-US" w:eastAsia="zh-CN"/>
        </w:rPr>
        <w:t>13</w:t>
      </w:r>
      <w:r>
        <w:rPr>
          <w:rFonts w:ascii="宋体" w:hAnsi="宋体" w:hint="eastAsia"/>
          <w:color w:val="auto"/>
          <w:spacing w:val="12"/>
          <w:sz w:val="28"/>
          <w:lang w:eastAsia="zh-CN"/>
        </w:rPr>
        <w:t>）包括两个套环（</w:t>
      </w:r>
      <w:r>
        <w:rPr>
          <w:rFonts w:ascii="宋体" w:hAnsi="宋体" w:hint="eastAsia"/>
          <w:color w:val="auto"/>
          <w:spacing w:val="12"/>
          <w:sz w:val="28"/>
          <w:lang w:val="en-US" w:eastAsia="zh-CN"/>
        </w:rPr>
        <w:t>131</w:t>
      </w:r>
      <w:r>
        <w:rPr>
          <w:rFonts w:ascii="宋体" w:hAnsi="宋体" w:hint="eastAsia"/>
          <w:color w:val="auto"/>
          <w:spacing w:val="12"/>
          <w:sz w:val="28"/>
          <w:lang w:eastAsia="zh-CN"/>
        </w:rPr>
        <w:t>）、限位条板（</w:t>
      </w:r>
      <w:r>
        <w:rPr>
          <w:rFonts w:ascii="宋体" w:hAnsi="宋体" w:hint="eastAsia"/>
          <w:color w:val="auto"/>
          <w:spacing w:val="12"/>
          <w:sz w:val="28"/>
          <w:lang w:val="en-US" w:eastAsia="zh-CN"/>
        </w:rPr>
        <w:t>134</w:t>
      </w:r>
      <w:r>
        <w:rPr>
          <w:rFonts w:ascii="宋体" w:hAnsi="宋体" w:hint="eastAsia"/>
          <w:color w:val="auto"/>
          <w:spacing w:val="12"/>
          <w:sz w:val="28"/>
          <w:lang w:eastAsia="zh-CN"/>
        </w:rPr>
        <w:t>）和限位轮（</w:t>
      </w:r>
      <w:r>
        <w:rPr>
          <w:rFonts w:ascii="宋体" w:hAnsi="宋体" w:hint="eastAsia"/>
          <w:color w:val="auto"/>
          <w:spacing w:val="12"/>
          <w:sz w:val="28"/>
          <w:lang w:val="en-US" w:eastAsia="zh-CN"/>
        </w:rPr>
        <w:t>135</w:t>
      </w:r>
      <w:r>
        <w:rPr>
          <w:rFonts w:ascii="宋体" w:hAnsi="宋体" w:hint="eastAsia"/>
          <w:color w:val="auto"/>
          <w:spacing w:val="12"/>
          <w:sz w:val="28"/>
          <w:lang w:eastAsia="zh-CN"/>
        </w:rPr>
        <w:t>），所述两个套环（</w:t>
      </w:r>
      <w:r>
        <w:rPr>
          <w:rFonts w:ascii="宋体" w:hAnsi="宋体" w:hint="eastAsia"/>
          <w:color w:val="auto"/>
          <w:spacing w:val="12"/>
          <w:sz w:val="28"/>
          <w:lang w:val="en-US" w:eastAsia="zh-CN"/>
        </w:rPr>
        <w:t>131</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560" w:rightChars="0" w:firstLineChars="200"/>
        <w:jc w:val="both"/>
        <w:textAlignment w:val="auto"/>
        <w:outlineLvl w:val="9"/>
        <w:rPr>
          <w:rFonts w:ascii="宋体"/>
          <w:color w:val="auto"/>
          <w:spacing w:val="12"/>
          <w:sz w:val="28"/>
        </w:rPr>
      </w:pPr>
      <w:r>
        <w:rPr>
          <w:rFonts w:ascii="宋体" w:hAnsi="宋体" w:hint="eastAsia"/>
          <w:color w:val="auto"/>
          <w:spacing w:val="12"/>
          <w:sz w:val="28"/>
          <w:lang w:eastAsia="zh-CN"/>
        </w:rPr>
        <w:t>）上水平螺纹贯穿安装有配合所述螺槽（</w:t>
      </w:r>
      <w:r>
        <w:rPr>
          <w:rFonts w:ascii="宋体" w:hAnsi="宋体" w:hint="eastAsia"/>
          <w:color w:val="auto"/>
          <w:spacing w:val="12"/>
          <w:sz w:val="28"/>
          <w:lang w:val="en-US" w:eastAsia="zh-CN"/>
        </w:rPr>
        <w:t>112</w:t>
      </w:r>
      <w:r>
        <w:rPr>
          <w:rFonts w:ascii="宋体" w:hAnsi="宋体" w:hint="eastAsia"/>
          <w:color w:val="auto"/>
          <w:spacing w:val="12"/>
          <w:sz w:val="28"/>
          <w:lang w:eastAsia="zh-CN"/>
        </w:rPr>
        <w:t>）的连接螺栓（</w:t>
      </w:r>
      <w:r>
        <w:rPr>
          <w:rFonts w:ascii="宋体" w:hAnsi="宋体" w:hint="eastAsia"/>
          <w:color w:val="auto"/>
          <w:spacing w:val="12"/>
          <w:sz w:val="28"/>
          <w:lang w:val="en-US" w:eastAsia="zh-CN"/>
        </w:rPr>
        <w:t>132</w:t>
      </w:r>
      <w:r>
        <w:rPr>
          <w:rFonts w:ascii="宋体" w:hAnsi="宋体" w:hint="eastAsia"/>
          <w:color w:val="auto"/>
          <w:spacing w:val="12"/>
          <w:sz w:val="28"/>
          <w:lang w:eastAsia="zh-CN"/>
        </w:rPr>
        <w:t>），所述两个套环（</w:t>
      </w:r>
      <w:r>
        <w:rPr>
          <w:rFonts w:ascii="宋体" w:hAnsi="宋体" w:hint="eastAsia"/>
          <w:color w:val="auto"/>
          <w:spacing w:val="12"/>
          <w:sz w:val="28"/>
          <w:lang w:val="en-US" w:eastAsia="zh-CN"/>
        </w:rPr>
        <w:t>131</w:t>
      </w:r>
      <w:r>
        <w:rPr>
          <w:rFonts w:ascii="宋体" w:hAnsi="宋体" w:hint="eastAsia"/>
          <w:color w:val="auto"/>
          <w:spacing w:val="12"/>
          <w:sz w:val="28"/>
          <w:lang w:eastAsia="zh-CN"/>
        </w:rPr>
        <w:t>）的外圆周面上均匀竖直设置有多根导柱（</w:t>
      </w:r>
      <w:r>
        <w:rPr>
          <w:rFonts w:ascii="宋体" w:hAnsi="宋体" w:hint="eastAsia"/>
          <w:color w:val="auto"/>
          <w:spacing w:val="12"/>
          <w:sz w:val="28"/>
          <w:lang w:val="en-US" w:eastAsia="zh-CN"/>
        </w:rPr>
        <w:t>133</w:t>
      </w:r>
      <w:r>
        <w:rPr>
          <w:rFonts w:ascii="宋体" w:hAnsi="宋体" w:hint="eastAsia"/>
          <w:color w:val="auto"/>
          <w:spacing w:val="12"/>
          <w:sz w:val="28"/>
          <w:lang w:eastAsia="zh-CN"/>
        </w:rPr>
        <w:t>），所述两个套环（</w:t>
      </w:r>
      <w:r>
        <w:rPr>
          <w:rFonts w:ascii="宋体" w:hAnsi="宋体" w:hint="eastAsia"/>
          <w:color w:val="auto"/>
          <w:spacing w:val="12"/>
          <w:sz w:val="28"/>
          <w:lang w:val="en-US" w:eastAsia="zh-CN"/>
        </w:rPr>
        <w:t>131</w:t>
      </w:r>
      <w:r>
        <w:rPr>
          <w:rFonts w:ascii="宋体" w:hAnsi="宋体" w:hint="eastAsia"/>
          <w:color w:val="auto"/>
          <w:spacing w:val="12"/>
          <w:sz w:val="28"/>
          <w:lang w:eastAsia="zh-CN"/>
        </w:rPr>
        <w:t>）之间的导柱（</w:t>
      </w:r>
      <w:r>
        <w:rPr>
          <w:rFonts w:ascii="宋体" w:hAnsi="宋体" w:hint="eastAsia"/>
          <w:color w:val="auto"/>
          <w:spacing w:val="12"/>
          <w:sz w:val="28"/>
          <w:lang w:val="en-US" w:eastAsia="zh-CN"/>
        </w:rPr>
        <w:t>133</w:t>
      </w:r>
      <w:r>
        <w:rPr>
          <w:rFonts w:ascii="宋体" w:hAnsi="宋体" w:hint="eastAsia"/>
          <w:color w:val="auto"/>
          <w:spacing w:val="12"/>
          <w:sz w:val="28"/>
          <w:lang w:eastAsia="zh-CN"/>
        </w:rPr>
        <w:t>）上滑动套设有限位条板（</w:t>
      </w:r>
      <w:r>
        <w:rPr>
          <w:rFonts w:ascii="宋体" w:hAnsi="宋体" w:hint="eastAsia"/>
          <w:color w:val="auto"/>
          <w:spacing w:val="12"/>
          <w:sz w:val="28"/>
          <w:lang w:val="en-US" w:eastAsia="zh-CN"/>
        </w:rPr>
        <w:t>134</w:t>
      </w:r>
      <w:r>
        <w:rPr>
          <w:rFonts w:ascii="宋体" w:hAnsi="宋体" w:hint="eastAsia"/>
          <w:color w:val="auto"/>
          <w:spacing w:val="12"/>
          <w:sz w:val="28"/>
          <w:lang w:eastAsia="zh-CN"/>
        </w:rPr>
        <w:t>），所述限位条板（</w:t>
      </w:r>
      <w:r>
        <w:rPr>
          <w:rFonts w:ascii="宋体" w:hAnsi="宋体" w:hint="eastAsia"/>
          <w:color w:val="auto"/>
          <w:spacing w:val="12"/>
          <w:sz w:val="28"/>
          <w:lang w:val="en-US" w:eastAsia="zh-CN"/>
        </w:rPr>
        <w:t>134</w:t>
      </w:r>
      <w:r>
        <w:rPr>
          <w:rFonts w:ascii="宋体" w:hAnsi="宋体" w:hint="eastAsia"/>
          <w:color w:val="auto"/>
          <w:spacing w:val="12"/>
          <w:sz w:val="28"/>
          <w:lang w:eastAsia="zh-CN"/>
        </w:rPr>
        <w:t>）的外侧竖直端面上转动安装有限位轮（</w:t>
      </w:r>
      <w:r>
        <w:rPr>
          <w:rFonts w:ascii="宋体" w:hAnsi="宋体" w:hint="eastAsia"/>
          <w:color w:val="auto"/>
          <w:spacing w:val="12"/>
          <w:sz w:val="28"/>
          <w:lang w:val="en-US" w:eastAsia="zh-CN"/>
        </w:rPr>
        <w:t>135</w:t>
      </w:r>
      <w:r>
        <w:rPr>
          <w:rFonts w:ascii="宋体" w:hAnsi="宋体" w:hint="eastAsia"/>
          <w:color w:val="auto"/>
          <w:spacing w:val="12"/>
          <w:sz w:val="28"/>
          <w:lang w:eastAsia="zh-CN"/>
        </w:rPr>
        <w:t>），所述导柱（</w:t>
      </w:r>
      <w:r>
        <w:rPr>
          <w:rFonts w:ascii="宋体" w:hAnsi="宋体" w:hint="eastAsia"/>
          <w:color w:val="auto"/>
          <w:spacing w:val="12"/>
          <w:sz w:val="28"/>
          <w:lang w:val="en-US" w:eastAsia="zh-CN"/>
        </w:rPr>
        <w:t>133</w:t>
      </w:r>
      <w:r>
        <w:rPr>
          <w:rFonts w:ascii="宋体" w:hAnsi="宋体" w:hint="eastAsia"/>
          <w:color w:val="auto"/>
          <w:spacing w:val="12"/>
          <w:sz w:val="28"/>
          <w:lang w:eastAsia="zh-CN"/>
        </w:rPr>
        <w:t>）上位于所述限位条板（</w:t>
      </w:r>
      <w:r>
        <w:rPr>
          <w:rFonts w:ascii="宋体" w:hAnsi="宋体" w:hint="eastAsia"/>
          <w:color w:val="auto"/>
          <w:spacing w:val="12"/>
          <w:sz w:val="28"/>
          <w:lang w:val="en-US" w:eastAsia="zh-CN"/>
        </w:rPr>
        <w:t>134</w:t>
      </w:r>
      <w:r>
        <w:rPr>
          <w:rFonts w:ascii="宋体" w:hAnsi="宋体" w:hint="eastAsia"/>
          <w:color w:val="auto"/>
          <w:spacing w:val="12"/>
          <w:sz w:val="28"/>
          <w:lang w:eastAsia="zh-CN"/>
        </w:rPr>
        <w:t>）和套环（</w:t>
      </w:r>
      <w:r>
        <w:rPr>
          <w:rFonts w:ascii="宋体" w:hAnsi="宋体" w:hint="eastAsia"/>
          <w:color w:val="auto"/>
          <w:spacing w:val="12"/>
          <w:sz w:val="28"/>
          <w:lang w:val="en-US" w:eastAsia="zh-CN"/>
        </w:rPr>
        <w:t>131</w:t>
      </w:r>
      <w:r>
        <w:rPr>
          <w:rFonts w:ascii="宋体" w:hAnsi="宋体" w:hint="eastAsia"/>
          <w:color w:val="auto"/>
          <w:spacing w:val="12"/>
          <w:sz w:val="28"/>
          <w:lang w:eastAsia="zh-CN"/>
        </w:rPr>
        <w:t>）之间水平套设有压紧弹簧（</w:t>
      </w:r>
      <w:r>
        <w:rPr>
          <w:rFonts w:ascii="宋体" w:hAnsi="宋体" w:hint="eastAsia"/>
          <w:color w:val="auto"/>
          <w:spacing w:val="12"/>
          <w:sz w:val="28"/>
          <w:lang w:val="en-US" w:eastAsia="zh-CN"/>
        </w:rPr>
        <w:t>136</w:t>
      </w:r>
      <w:r>
        <w:rPr>
          <w:rFonts w:ascii="宋体" w:hAnsi="宋体" w:hint="eastAsia"/>
          <w:color w:val="auto"/>
          <w:spacing w:val="12"/>
          <w:sz w:val="28"/>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2</w:t>
      </w:r>
      <w:r>
        <w:rPr>
          <w:rFonts w:ascii="宋体" w:hAnsi="宋体" w:hint="eastAsia"/>
          <w:color w:val="auto"/>
          <w:spacing w:val="12"/>
          <w:sz w:val="28"/>
        </w:rPr>
        <w:t>所述的</w:t>
      </w:r>
      <w:r>
        <w:rPr>
          <w:rFonts w:ascii="宋体" w:hAnsi="宋体" w:hint="eastAsia"/>
          <w:color w:val="auto"/>
          <w:spacing w:val="12"/>
          <w:sz w:val="28"/>
          <w:lang w:eastAsia="zh-CN"/>
        </w:rPr>
        <w:t>一种快速测定偏移方向的装置</w:t>
      </w:r>
      <w:r>
        <w:rPr>
          <w:rFonts w:ascii="宋体" w:hAnsi="宋体" w:hint="eastAsia"/>
          <w:color w:val="auto"/>
          <w:spacing w:val="12"/>
          <w:sz w:val="28"/>
        </w:rPr>
        <w:t>，其特征在于，</w:t>
      </w:r>
      <w:r>
        <w:rPr>
          <w:rFonts w:ascii="宋体" w:hAnsi="宋体" w:hint="eastAsia"/>
          <w:color w:val="auto"/>
          <w:spacing w:val="12"/>
          <w:sz w:val="28"/>
          <w:lang w:eastAsia="zh-CN"/>
        </w:rPr>
        <w:t>所述测试探头（</w:t>
      </w:r>
      <w:r>
        <w:rPr>
          <w:rFonts w:ascii="宋体" w:hAnsi="宋体" w:hint="eastAsia"/>
          <w:color w:val="auto"/>
          <w:spacing w:val="12"/>
          <w:sz w:val="28"/>
          <w:lang w:val="en-US" w:eastAsia="zh-CN"/>
        </w:rPr>
        <w:t>11</w:t>
      </w:r>
      <w:r>
        <w:rPr>
          <w:rFonts w:ascii="宋体" w:hAnsi="宋体" w:hint="eastAsia"/>
          <w:color w:val="auto"/>
          <w:spacing w:val="12"/>
          <w:sz w:val="28"/>
          <w:lang w:eastAsia="zh-CN"/>
        </w:rPr>
        <w:t>）的顶面上均匀水平固定有多块插框（</w:t>
      </w:r>
      <w:r>
        <w:rPr>
          <w:rFonts w:ascii="宋体" w:hAnsi="宋体" w:hint="eastAsia"/>
          <w:color w:val="auto"/>
          <w:spacing w:val="12"/>
          <w:sz w:val="28"/>
          <w:lang w:val="en-US" w:eastAsia="zh-CN"/>
        </w:rPr>
        <w:t>14</w:t>
      </w:r>
      <w:r>
        <w:rPr>
          <w:rFonts w:ascii="宋体" w:hAnsi="宋体" w:hint="eastAsia"/>
          <w:color w:val="auto"/>
          <w:spacing w:val="12"/>
          <w:sz w:val="28"/>
          <w:lang w:eastAsia="zh-CN"/>
        </w:rPr>
        <w:t>），所述插框（</w:t>
      </w:r>
      <w:r>
        <w:rPr>
          <w:rFonts w:ascii="宋体" w:hAnsi="宋体" w:hint="eastAsia"/>
          <w:color w:val="auto"/>
          <w:spacing w:val="12"/>
          <w:sz w:val="28"/>
          <w:lang w:val="en-US" w:eastAsia="zh-CN"/>
        </w:rPr>
        <w:t>14</w:t>
      </w:r>
      <w:r>
        <w:rPr>
          <w:rFonts w:ascii="宋体" w:hAnsi="宋体" w:hint="eastAsia"/>
          <w:color w:val="auto"/>
          <w:spacing w:val="12"/>
          <w:sz w:val="28"/>
          <w:lang w:eastAsia="zh-CN"/>
        </w:rPr>
        <w:t>）的底面上沿水平方向竖直设置有多个定位螺孔（</w:t>
      </w:r>
      <w:r>
        <w:rPr>
          <w:rFonts w:ascii="宋体" w:hAnsi="宋体" w:hint="eastAsia"/>
          <w:color w:val="auto"/>
          <w:spacing w:val="12"/>
          <w:sz w:val="28"/>
          <w:lang w:val="en-US" w:eastAsia="zh-CN"/>
        </w:rPr>
        <w:t>141</w:t>
      </w:r>
      <w:r>
        <w:rPr>
          <w:rFonts w:ascii="宋体" w:hAnsi="宋体" w:hint="eastAsia"/>
          <w:color w:val="auto"/>
          <w:spacing w:val="12"/>
          <w:sz w:val="28"/>
          <w:lang w:eastAsia="zh-CN"/>
        </w:rPr>
        <w:t>），所述插框（</w:t>
      </w:r>
      <w:r>
        <w:rPr>
          <w:rFonts w:ascii="宋体" w:hAnsi="宋体" w:hint="eastAsia"/>
          <w:color w:val="auto"/>
          <w:spacing w:val="12"/>
          <w:sz w:val="28"/>
          <w:lang w:val="en-US" w:eastAsia="zh-CN"/>
        </w:rPr>
        <w:t>14</w:t>
      </w:r>
      <w:r>
        <w:rPr>
          <w:rFonts w:ascii="宋体" w:hAnsi="宋体" w:hint="eastAsia"/>
          <w:color w:val="auto"/>
          <w:spacing w:val="12"/>
          <w:sz w:val="28"/>
          <w:lang w:eastAsia="zh-CN"/>
        </w:rPr>
        <w:t>）中水平插接有插板（</w:t>
      </w:r>
      <w:r>
        <w:rPr>
          <w:rFonts w:ascii="宋体" w:hAnsi="宋体" w:hint="eastAsia"/>
          <w:color w:val="auto"/>
          <w:spacing w:val="12"/>
          <w:sz w:val="28"/>
          <w:lang w:val="en-US" w:eastAsia="zh-CN"/>
        </w:rPr>
        <w:t>15</w:t>
      </w:r>
      <w:r>
        <w:rPr>
          <w:rFonts w:ascii="宋体" w:hAnsi="宋体" w:hint="eastAsia"/>
          <w:color w:val="auto"/>
          <w:spacing w:val="12"/>
          <w:sz w:val="28"/>
          <w:lang w:eastAsia="zh-CN"/>
        </w:rPr>
        <w:t>），所述插板（</w:t>
      </w:r>
      <w:r>
        <w:rPr>
          <w:rFonts w:ascii="宋体" w:hAnsi="宋体" w:hint="eastAsia"/>
          <w:color w:val="auto"/>
          <w:spacing w:val="12"/>
          <w:sz w:val="28"/>
          <w:lang w:val="en-US" w:eastAsia="zh-CN"/>
        </w:rPr>
        <w:t>15</w:t>
      </w:r>
      <w:r>
        <w:rPr>
          <w:rFonts w:ascii="宋体" w:hAnsi="宋体" w:hint="eastAsia"/>
          <w:color w:val="auto"/>
          <w:spacing w:val="12"/>
          <w:sz w:val="28"/>
          <w:lang w:eastAsia="zh-CN"/>
        </w:rPr>
        <w:t>）的一端竖直螺纹贯穿安装有配合所述定位螺孔（</w:t>
      </w:r>
      <w:r>
        <w:rPr>
          <w:rFonts w:ascii="宋体" w:hAnsi="宋体" w:hint="eastAsia"/>
          <w:color w:val="auto"/>
          <w:spacing w:val="12"/>
          <w:sz w:val="28"/>
          <w:lang w:val="en-US" w:eastAsia="zh-CN"/>
        </w:rPr>
        <w:t>141</w:t>
      </w:r>
      <w:r>
        <w:rPr>
          <w:rFonts w:ascii="宋体" w:hAnsi="宋体" w:hint="eastAsia"/>
          <w:color w:val="auto"/>
          <w:spacing w:val="12"/>
          <w:sz w:val="28"/>
          <w:lang w:eastAsia="zh-CN"/>
        </w:rPr>
        <w:t>）的定位螺栓（</w:t>
      </w:r>
      <w:r>
        <w:rPr>
          <w:rFonts w:ascii="宋体" w:hAnsi="宋体" w:hint="eastAsia"/>
          <w:color w:val="auto"/>
          <w:spacing w:val="12"/>
          <w:sz w:val="28"/>
          <w:lang w:val="en-US" w:eastAsia="zh-CN"/>
        </w:rPr>
        <w:t>151</w:t>
      </w:r>
      <w:r>
        <w:rPr>
          <w:rFonts w:ascii="宋体" w:hAnsi="宋体" w:hint="eastAsia"/>
          <w:color w:val="auto"/>
          <w:spacing w:val="12"/>
          <w:sz w:val="28"/>
          <w:lang w:eastAsia="zh-CN"/>
        </w:rPr>
        <w:t>），所述插板（</w:t>
      </w:r>
      <w:r>
        <w:rPr>
          <w:rFonts w:ascii="宋体" w:hAnsi="宋体" w:hint="eastAsia"/>
          <w:color w:val="auto"/>
          <w:spacing w:val="12"/>
          <w:sz w:val="28"/>
          <w:lang w:val="en-US" w:eastAsia="zh-CN"/>
        </w:rPr>
        <w:t>15</w:t>
      </w:r>
      <w:r>
        <w:rPr>
          <w:rFonts w:ascii="宋体" w:hAnsi="宋体" w:hint="eastAsia"/>
          <w:color w:val="auto"/>
          <w:spacing w:val="12"/>
          <w:sz w:val="28"/>
          <w:lang w:eastAsia="zh-CN"/>
        </w:rPr>
        <w:t>）的另一端顶部竖直固定有螺柱（</w:t>
      </w:r>
      <w:r>
        <w:rPr>
          <w:rFonts w:ascii="宋体" w:hAnsi="宋体" w:hint="eastAsia"/>
          <w:color w:val="auto"/>
          <w:spacing w:val="12"/>
          <w:sz w:val="28"/>
          <w:lang w:val="en-US" w:eastAsia="zh-CN"/>
        </w:rPr>
        <w:t>152</w:t>
      </w:r>
      <w:r>
        <w:rPr>
          <w:rFonts w:ascii="宋体" w:hAnsi="宋体" w:hint="eastAsia"/>
          <w:color w:val="auto"/>
          <w:spacing w:val="12"/>
          <w:sz w:val="28"/>
          <w:lang w:eastAsia="zh-CN"/>
        </w:rPr>
        <w:t>），所述螺柱（</w:t>
      </w:r>
      <w:r>
        <w:rPr>
          <w:rFonts w:ascii="宋体" w:hAnsi="宋体" w:hint="eastAsia"/>
          <w:color w:val="auto"/>
          <w:spacing w:val="12"/>
          <w:sz w:val="28"/>
          <w:lang w:val="en-US" w:eastAsia="zh-CN"/>
        </w:rPr>
        <w:t>152）的正上方水平设置有螺孔板（16），所述螺孔板（16）的底面一端竖直转动连接有定位螺筒（161），所述定位螺筒（161）与所述</w:t>
      </w:r>
      <w:r>
        <w:rPr>
          <w:rFonts w:ascii="宋体" w:hAnsi="宋体" w:hint="eastAsia"/>
          <w:color w:val="auto"/>
          <w:spacing w:val="12"/>
          <w:sz w:val="28"/>
          <w:lang w:eastAsia="zh-CN"/>
        </w:rPr>
        <w:t>螺柱（</w:t>
      </w:r>
      <w:r>
        <w:rPr>
          <w:rFonts w:ascii="宋体" w:hAnsi="宋体" w:hint="eastAsia"/>
          <w:color w:val="auto"/>
          <w:spacing w:val="12"/>
          <w:sz w:val="28"/>
          <w:lang w:val="en-US" w:eastAsia="zh-CN"/>
        </w:rPr>
        <w:t>152</w:t>
      </w:r>
      <w:r>
        <w:rPr>
          <w:rFonts w:ascii="宋体" w:hAnsi="宋体" w:hint="eastAsia"/>
          <w:color w:val="auto"/>
          <w:spacing w:val="12"/>
          <w:sz w:val="28"/>
          <w:lang w:eastAsia="zh-CN"/>
        </w:rPr>
        <w:t>）螺纹组装连接，所述</w:t>
      </w:r>
      <w:r>
        <w:rPr>
          <w:rFonts w:ascii="宋体" w:hAnsi="宋体" w:hint="eastAsia"/>
          <w:color w:val="auto"/>
          <w:spacing w:val="12"/>
          <w:sz w:val="28"/>
          <w:lang w:val="en-US" w:eastAsia="zh-CN"/>
        </w:rPr>
        <w:t>螺孔板（16）中竖直螺纹安装有支撑螺杆（17）</w:t>
      </w:r>
      <w:r>
        <w:rPr>
          <w:rFonts w:ascii="宋体" w:hAnsi="宋体" w:hint="eastAsia"/>
          <w:color w:val="auto"/>
          <w:spacing w:val="12"/>
          <w:sz w:val="28"/>
        </w:rPr>
        <w:t>。</w:t>
      </w:r>
    </w:p>
    <w:p>
      <w:pPr>
        <w:tabs>
          <w:tab w:val="left" w:pos="240"/>
        </w:tabs>
        <w:rPr>
          <w:rFonts w:eastAsia="Times New Roman" w:hint="default"/>
          <w:color w:val="auto"/>
        </w:rPr>
        <w:sectPr>
          <w:headerReference w:type="default" r:id="rId16"/>
          <w:footerReference w:type="default" r:id="rId17"/>
          <w:type w:val="nextPage"/>
          <w:pgSz w:w="11906" w:h="16838"/>
          <w:pgMar w:top="1440" w:right="1800" w:bottom="1440" w:left="1800" w:header="851" w:footer="992" w:gutter="0"/>
          <w:lnNumType w:distance="360"/>
          <w:pgNumType w:fmt="decimal" w:start="4"/>
          <w:cols w:num="1" w:space="720"/>
          <w:titlePg w:val="0"/>
          <w:docGrid w:type="lines" w:linePitch="312" w:charSpace="0"/>
        </w:sectPr>
      </w:pPr>
    </w:p>
    <w:p>
      <w:pPr>
        <w:pStyle w:val="BodyTextIndent"/>
        <w:spacing w:after="0"/>
        <w:ind w:left="0" w:firstLine="560" w:leftChars="0" w:firstLineChars="200"/>
        <w:jc w:val="center"/>
        <w:rPr>
          <w:rFonts w:ascii="宋体" w:eastAsia="宋体" w:hAnsi="宋体"/>
          <w:b/>
          <w:bCs/>
          <w:color w:val="auto"/>
          <w:spacing w:val="12"/>
          <w:sz w:val="28"/>
          <w:lang w:eastAsia="zh-CN"/>
        </w:rPr>
      </w:pPr>
      <w:r>
        <w:rPr>
          <w:rFonts w:ascii="宋体" w:hAnsi="宋体" w:hint="eastAsia"/>
          <w:b/>
          <w:bCs/>
          <w:color w:val="auto"/>
          <w:spacing w:val="12"/>
          <w:sz w:val="28"/>
          <w:lang w:eastAsia="zh-CN"/>
        </w:rPr>
        <w:t>一种快速测定偏移方向的装置</w:t>
      </w:r>
    </w:p>
    <w:p>
      <w:pPr>
        <w:pStyle w:val="BodyTextIndent"/>
        <w:spacing w:after="0"/>
        <w:ind w:left="0" w:firstLine="0" w:leftChars="0" w:firstLineChars="0"/>
        <w:rPr>
          <w:rFonts w:ascii="宋体" w:hAnsi="宋体"/>
          <w:b/>
          <w:bCs/>
          <w:color w:val="auto"/>
          <w:spacing w:val="12"/>
          <w:sz w:val="28"/>
        </w:rPr>
      </w:pPr>
      <w:r>
        <w:rPr>
          <w:rFonts w:ascii="宋体" w:hAnsi="宋体" w:hint="eastAsia"/>
          <w:b/>
          <w:bCs/>
          <w:color w:val="auto"/>
          <w:spacing w:val="12"/>
          <w:sz w:val="28"/>
        </w:rPr>
        <w:t>技术领域</w:t>
      </w:r>
    </w:p>
    <w:p>
      <w:pPr>
        <w:pStyle w:val="BodyTextIndent"/>
        <w:spacing w:after="0"/>
        <w:ind w:left="0" w:firstLine="560" w:leftChars="0" w:firstLineChars="200"/>
        <w:rPr>
          <w:rFonts w:ascii="宋体" w:hAnsi="宋体"/>
          <w:color w:val="auto"/>
          <w:spacing w:val="12"/>
          <w:sz w:val="28"/>
          <w:szCs w:val="22"/>
        </w:rPr>
      </w:pPr>
      <w:r>
        <w:rPr>
          <w:rFonts w:ascii="宋体" w:hAnsi="宋体" w:hint="eastAsia"/>
          <w:color w:val="auto"/>
          <w:spacing w:val="12"/>
          <w:sz w:val="28"/>
          <w:szCs w:val="22"/>
        </w:rPr>
        <w:t>本</w:t>
      </w:r>
      <w:r>
        <w:rPr>
          <w:rFonts w:ascii="宋体" w:hAnsi="宋体" w:hint="eastAsia"/>
          <w:color w:val="auto"/>
          <w:spacing w:val="12"/>
          <w:sz w:val="28"/>
          <w:szCs w:val="22"/>
          <w:lang w:eastAsia="zh-CN"/>
        </w:rPr>
        <w:t>发明</w:t>
      </w:r>
      <w:r>
        <w:rPr>
          <w:rFonts w:ascii="宋体" w:hAnsi="宋体" w:hint="eastAsia"/>
          <w:color w:val="auto"/>
          <w:spacing w:val="12"/>
          <w:sz w:val="28"/>
          <w:szCs w:val="22"/>
        </w:rPr>
        <w:t>涉及钻孔</w:t>
      </w:r>
      <w:r>
        <w:rPr>
          <w:rFonts w:ascii="宋体" w:hAnsi="宋体" w:hint="eastAsia"/>
          <w:color w:val="auto"/>
          <w:spacing w:val="12"/>
          <w:sz w:val="28"/>
          <w:szCs w:val="22"/>
          <w:lang w:eastAsia="zh-CN"/>
        </w:rPr>
        <w:t>偏移测定装置技术领域</w:t>
      </w:r>
      <w:r>
        <w:rPr>
          <w:rFonts w:ascii="宋体" w:hAnsi="宋体" w:hint="eastAsia"/>
          <w:color w:val="auto"/>
          <w:spacing w:val="12"/>
          <w:sz w:val="28"/>
          <w:szCs w:val="22"/>
        </w:rPr>
        <w:t>，尤其涉及</w:t>
      </w:r>
      <w:r>
        <w:rPr>
          <w:rFonts w:ascii="宋体" w:hAnsi="宋体" w:hint="eastAsia"/>
          <w:color w:val="auto"/>
          <w:spacing w:val="12"/>
          <w:sz w:val="28"/>
          <w:szCs w:val="22"/>
          <w:lang w:eastAsia="zh-CN"/>
        </w:rPr>
        <w:t>一种快速测定偏移方向的装置</w:t>
      </w:r>
      <w:r>
        <w:rPr>
          <w:rFonts w:ascii="宋体" w:hAnsi="宋体" w:hint="eastAsia"/>
          <w:color w:val="auto"/>
          <w:spacing w:val="12"/>
          <w:sz w:val="28"/>
          <w:szCs w:val="22"/>
        </w:rPr>
        <w:t>。</w:t>
      </w:r>
    </w:p>
    <w:p>
      <w:pPr>
        <w:pStyle w:val="BodyTextIndent"/>
        <w:spacing w:after="0"/>
        <w:ind w:left="0" w:firstLine="0" w:leftChars="0" w:firstLineChars="0"/>
        <w:rPr>
          <w:rFonts w:ascii="宋体" w:hAnsi="宋体"/>
          <w:b/>
          <w:bCs/>
          <w:color w:val="auto"/>
          <w:spacing w:val="12"/>
          <w:sz w:val="28"/>
        </w:rPr>
      </w:pPr>
      <w:r>
        <w:rPr>
          <w:rFonts w:ascii="宋体" w:hAnsi="宋体" w:hint="eastAsia"/>
          <w:b/>
          <w:bCs/>
          <w:color w:val="auto"/>
          <w:spacing w:val="12"/>
          <w:sz w:val="28"/>
        </w:rPr>
        <w:t>背景技术</w:t>
      </w:r>
    </w:p>
    <w:p>
      <w:pPr>
        <w:pStyle w:val="BodyTextIndent"/>
        <w:spacing w:after="0"/>
        <w:ind w:left="0" w:firstLine="560" w:leftChars="0" w:firstLineChars="200"/>
        <w:rPr>
          <w:rFonts w:ascii="宋体" w:eastAsia="宋体" w:hAnsi="宋体"/>
          <w:color w:val="auto"/>
          <w:spacing w:val="12"/>
          <w:sz w:val="28"/>
          <w:szCs w:val="22"/>
          <w:lang w:eastAsia="zh-CN"/>
        </w:rPr>
      </w:pPr>
      <w:r>
        <w:rPr>
          <w:rFonts w:ascii="宋体" w:hAnsi="宋体" w:hint="eastAsia"/>
          <w:color w:val="auto"/>
          <w:spacing w:val="12"/>
          <w:sz w:val="28"/>
          <w:szCs w:val="22"/>
        </w:rPr>
        <w:t>在水利工程地基基础检测</w:t>
      </w:r>
      <w:r>
        <w:rPr>
          <w:rFonts w:ascii="宋体" w:hAnsi="宋体" w:hint="eastAsia"/>
          <w:color w:val="auto"/>
          <w:spacing w:val="12"/>
          <w:sz w:val="28"/>
          <w:szCs w:val="22"/>
          <w:lang w:eastAsia="zh-CN"/>
        </w:rPr>
        <w:t>需要对地基进行转孔作业，通过取出地基的芯样，进行检测作业，</w:t>
      </w:r>
      <w:r>
        <w:rPr>
          <w:rFonts w:ascii="宋体" w:hAnsi="宋体" w:hint="eastAsia"/>
          <w:color w:val="auto"/>
          <w:spacing w:val="12"/>
          <w:sz w:val="28"/>
          <w:szCs w:val="22"/>
        </w:rPr>
        <w:t>钻孔取芯过程中，常遇到钻芯孔偏离出桩外或钻芯钻至钢筋笼主筋无法钻进的情况，此时无法对桩身完整性、桩长、桩底成渣厚度、桩端持力层等方面进行评价，因此需在原桩位上加抽一个孔来进行判定</w:t>
      </w:r>
      <w:r>
        <w:rPr>
          <w:rFonts w:ascii="宋体" w:hAnsi="宋体" w:hint="eastAsia"/>
          <w:color w:val="auto"/>
          <w:spacing w:val="12"/>
          <w:sz w:val="28"/>
          <w:szCs w:val="22"/>
          <w:lang w:eastAsia="zh-CN"/>
        </w:rPr>
        <w:t>。</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szCs w:val="22"/>
          <w:lang w:eastAsia="zh-CN"/>
        </w:rPr>
        <w:t>现有</w:t>
      </w:r>
      <w:r>
        <w:rPr>
          <w:rFonts w:ascii="宋体" w:hAnsi="宋体" w:hint="eastAsia"/>
          <w:color w:val="auto"/>
          <w:spacing w:val="12"/>
          <w:sz w:val="28"/>
          <w:szCs w:val="22"/>
        </w:rPr>
        <w:t>实际检测过程中通常是机长通过经验来判断第二孔开孔的位置，这对机长的技术要求很高，很多时候第二孔甚至第三孔都和第一孔一样存在钻进不至桩底的情况，对于直径不是特别大的桩来说，开完三孔已经没法再开孔，浪费了大量的人力和经济成本，对桩的完整性、桩端持力层等依旧无法判定，造成这种情况的原因在于机长无法清楚的判定第一孔开孔偏移的方向，从而在第二孔和后续开孔中无法及时的调整方向，得到需要的检测结果</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eastAsia="宋体" w:hAnsi="宋体"/>
          <w:color w:val="auto"/>
          <w:spacing w:val="12"/>
          <w:sz w:val="28"/>
          <w:szCs w:val="22"/>
          <w:lang w:val="en-US" w:eastAsia="zh-CN"/>
        </w:rPr>
      </w:pPr>
      <w:r>
        <w:rPr>
          <w:rFonts w:ascii="宋体" w:hAnsi="宋体" w:hint="eastAsia"/>
          <w:color w:val="auto"/>
          <w:spacing w:val="12"/>
          <w:sz w:val="28"/>
          <w:lang w:val="en-US" w:eastAsia="zh-CN"/>
        </w:rPr>
        <w:t>因此需要</w:t>
      </w:r>
      <w:r>
        <w:rPr>
          <w:rFonts w:ascii="宋体" w:hAnsi="宋体" w:hint="eastAsia"/>
          <w:color w:val="auto"/>
          <w:spacing w:val="12"/>
          <w:sz w:val="28"/>
          <w:szCs w:val="22"/>
        </w:rPr>
        <w:t>一种快速测定偏移方向的装置</w:t>
      </w:r>
      <w:r>
        <w:rPr>
          <w:rFonts w:ascii="宋体" w:hAnsi="宋体" w:hint="eastAsia"/>
          <w:color w:val="auto"/>
          <w:spacing w:val="12"/>
          <w:sz w:val="28"/>
          <w:szCs w:val="22"/>
          <w:lang w:eastAsia="zh-CN"/>
        </w:rPr>
        <w:t>，能够</w:t>
      </w:r>
      <w:r>
        <w:rPr>
          <w:rFonts w:ascii="宋体" w:hAnsi="宋体" w:hint="eastAsia"/>
          <w:color w:val="auto"/>
          <w:spacing w:val="12"/>
          <w:sz w:val="28"/>
          <w:szCs w:val="22"/>
        </w:rPr>
        <w:t>现场快速判定开孔偏移的方向，便于第二孔位置的调整，在检测过程中也可以及时的测定，发现偏移及时的调整，节省人力时间成本</w:t>
      </w:r>
      <w:r>
        <w:rPr>
          <w:rFonts w:ascii="宋体" w:hAnsi="宋体" w:hint="eastAsia"/>
          <w:color w:val="auto"/>
          <w:spacing w:val="12"/>
          <w:sz w:val="28"/>
          <w:szCs w:val="22"/>
          <w:lang w:eastAsia="zh-CN"/>
        </w:rPr>
        <w:t>。</w:t>
      </w:r>
    </w:p>
    <w:p>
      <w:pPr>
        <w:pStyle w:val="BodyTextIndent"/>
        <w:spacing w:after="0"/>
        <w:ind w:left="0" w:firstLine="0" w:leftChars="0" w:firstLineChars="0"/>
        <w:rPr>
          <w:rFonts w:ascii="宋体" w:hAnsi="宋体"/>
          <w:b/>
          <w:bCs/>
          <w:color w:val="auto"/>
          <w:spacing w:val="12"/>
          <w:sz w:val="28"/>
        </w:rPr>
        <w:sectPr>
          <w:headerReference w:type="default" r:id="rId18"/>
          <w:footerReference w:type="default" r:id="rId19"/>
          <w:pgSz w:w="11906" w:h="16838"/>
          <w:pgMar w:top="1440" w:right="1800" w:bottom="1440" w:left="1800" w:header="851" w:footer="992" w:gutter="0"/>
          <w:lnNumType w:distance="360"/>
          <w:pgNumType w:fmt="decimal" w:start="1"/>
          <w:cols w:num="1" w:space="720"/>
          <w:docGrid w:type="lines" w:linePitch="312" w:charSpace="0"/>
        </w:sectPr>
      </w:pPr>
      <w:r>
        <w:rPr>
          <w:rFonts w:ascii="宋体" w:hAnsi="宋体" w:hint="eastAsia"/>
          <w:b/>
          <w:bCs/>
          <w:color w:val="auto"/>
          <w:spacing w:val="12"/>
          <w:sz w:val="28"/>
          <w:lang w:eastAsia="zh-CN"/>
        </w:rPr>
        <w:t>发明</w:t>
      </w:r>
      <w:r>
        <w:rPr>
          <w:rFonts w:ascii="宋体" w:hAnsi="宋体" w:hint="eastAsia"/>
          <w:b/>
          <w:bCs/>
          <w:color w:val="auto"/>
          <w:spacing w:val="12"/>
          <w:sz w:val="28"/>
        </w:rPr>
        <w:t>内容</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rPr>
        <w:t>本</w:t>
      </w:r>
      <w:r>
        <w:rPr>
          <w:rFonts w:ascii="宋体" w:hAnsi="宋体" w:hint="eastAsia"/>
          <w:color w:val="auto"/>
          <w:spacing w:val="12"/>
          <w:sz w:val="28"/>
          <w:lang w:eastAsia="zh-CN"/>
        </w:rPr>
        <w:t>发明</w:t>
      </w:r>
      <w:r>
        <w:rPr>
          <w:rFonts w:ascii="宋体" w:hAnsi="宋体" w:hint="eastAsia"/>
          <w:color w:val="auto"/>
          <w:spacing w:val="12"/>
          <w:sz w:val="28"/>
        </w:rPr>
        <w:t>的目的在于提供</w:t>
      </w:r>
      <w:r>
        <w:rPr>
          <w:rFonts w:ascii="宋体" w:hAnsi="宋体" w:hint="eastAsia"/>
          <w:color w:val="auto"/>
          <w:spacing w:val="12"/>
          <w:sz w:val="28"/>
          <w:lang w:eastAsia="zh-CN"/>
        </w:rPr>
        <w:t>一种快速测定偏移方向的装置，旨在改善</w:t>
      </w:r>
      <w:r>
        <w:rPr>
          <w:rFonts w:ascii="宋体" w:hAnsi="宋体" w:hint="eastAsia"/>
          <w:color w:val="auto"/>
          <w:spacing w:val="12"/>
          <w:sz w:val="28"/>
          <w:szCs w:val="22"/>
          <w:lang w:eastAsia="zh-CN"/>
        </w:rPr>
        <w:t>现有</w:t>
      </w:r>
      <w:r>
        <w:rPr>
          <w:rFonts w:ascii="宋体" w:hAnsi="宋体" w:hint="eastAsia"/>
          <w:color w:val="auto"/>
          <w:spacing w:val="12"/>
          <w:sz w:val="28"/>
          <w:szCs w:val="22"/>
        </w:rPr>
        <w:t>实际检测过程中通常是机长通过经验来判断第二孔开孔的位置，这对机长的技术要求很高，很多时候第二孔甚至第三孔都和第一孔一样存在钻进不至桩底的情况，对于直径不是特别大的桩来说，开完三孔已经没法再开孔，浪费了大量的人力和经济成本，对桩的完整性、桩端持力层等依旧无法判定，造成这种情况的原因在于机长无法清楚的判定第一孔开孔偏移的方向，从而在第二孔和后续开孔中无法及时的调整方向，得到需要的检测结果</w:t>
      </w:r>
      <w:r>
        <w:rPr>
          <w:rFonts w:asciiTheme="minorEastAsia" w:eastAsiaTheme="minorEastAsia" w:hAnsiTheme="minorEastAsia" w:cstheme="minorEastAsia" w:hint="eastAsia"/>
          <w:kern w:val="0"/>
          <w:sz w:val="28"/>
          <w:szCs w:val="28"/>
          <w:lang w:eastAsia="zh-CN"/>
        </w:rPr>
        <w:t>的</w:t>
      </w:r>
      <w:r>
        <w:rPr>
          <w:rFonts w:ascii="宋体" w:hAnsi="宋体" w:hint="eastAsia"/>
          <w:color w:val="auto"/>
          <w:spacing w:val="12"/>
          <w:sz w:val="28"/>
          <w:lang w:eastAsia="zh-CN"/>
        </w:rPr>
        <w:t>问题。</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本发明是这样实现的：</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一种快速测定偏移方向的装置</w:t>
      </w:r>
      <w:r>
        <w:rPr>
          <w:rFonts w:ascii="宋体" w:hAnsi="宋体" w:hint="eastAsia"/>
          <w:color w:val="auto"/>
          <w:spacing w:val="12"/>
          <w:sz w:val="28"/>
        </w:rPr>
        <w:t>，包括</w:t>
      </w:r>
      <w:r>
        <w:rPr>
          <w:rFonts w:ascii="宋体" w:hAnsi="宋体" w:hint="eastAsia"/>
          <w:color w:val="auto"/>
          <w:spacing w:val="12"/>
          <w:sz w:val="28"/>
          <w:lang w:eastAsia="zh-CN"/>
        </w:rPr>
        <w:t>支撑固定组件、搭接传递组件和偏移方位测试组件</w:t>
      </w:r>
      <w:r>
        <w:rPr>
          <w:rFonts w:ascii="宋体" w:hAnsi="宋体" w:hint="eastAsia"/>
          <w:color w:val="auto"/>
          <w:spacing w:val="12"/>
          <w:sz w:val="28"/>
        </w:rPr>
        <w:t>，</w:t>
      </w:r>
      <w:r>
        <w:rPr>
          <w:rFonts w:ascii="宋体" w:hAnsi="宋体" w:hint="eastAsia"/>
          <w:color w:val="auto"/>
          <w:spacing w:val="12"/>
          <w:sz w:val="28"/>
          <w:lang w:eastAsia="zh-CN"/>
        </w:rPr>
        <w:t>支撑固定组件包括测试探头和可控支撑臂，测试探头的正下方设置有可控支撑臂，测试探头的正上方设置有偏移方位测试组件，搭接传递组件竖直贯穿测试探头设置，搭接传递组件的底端与可控支撑臂连接，搭接传递组件的顶端与偏移方位测试组件可拆卸连接。</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进一步的，测试探头的中心处竖直贯穿开设有通孔，测试探头的外圆周上均匀水平开设有多个螺槽，测试探头的外部套设有限位组件，测试探头与限位组件可拆卸组装连接</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sectPr>
          <w:headerReference w:type="default" r:id="rId20"/>
          <w:footerReference w:type="default" r:id="rId21"/>
          <w:type w:val="nextPage"/>
          <w:pgSz w:w="11906" w:h="16838"/>
          <w:pgMar w:top="1440" w:right="1800" w:bottom="1440" w:left="1800" w:header="851" w:footer="992" w:gutter="0"/>
          <w:lnNumType w:distance="360"/>
          <w:pgNumType w:fmt="decimal" w:start="2"/>
          <w:cols w:num="1" w:space="720"/>
          <w:titlePg w:val="0"/>
          <w:docGrid w:type="lines" w:linePitch="312" w:charSpace="0"/>
        </w:sectPr>
      </w:pPr>
      <w:r>
        <w:rPr>
          <w:rFonts w:ascii="宋体" w:hAnsi="宋体" w:hint="eastAsia"/>
          <w:color w:val="auto"/>
          <w:spacing w:val="12"/>
          <w:sz w:val="28"/>
          <w:lang w:val="en-US" w:eastAsia="zh-CN"/>
        </w:rPr>
        <w:t>进而通过</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测试探头的中心处竖直贯穿开设有通孔，测试探头的外圆周上均匀水平开设有多个螺槽，测试探头的外部套设有限位组件，测试探头与限位组件可拆卸组装连接，从而方便根据需要支撑测试探头在开孔中，防止发生偏移，影响检测的精度。</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可控支撑臂包括第一圆筒、第二圆筒、拉臂和支撑臂，第一圆筒水平设置在测试探头的正下方，第一圆筒的正下方水平设置有第二圆筒，第一圆筒和第二圆筒之间均匀设置有多块拉臂，多块拉臂的顶端转动连接在第一圆筒上，第二圆筒的外部均匀转动连接有多块支撑臂，支撑臂与拉臂的底端转动连接</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第一圆筒水平设置在测试探头的正下方，第一圆筒的正下方水平设置有第二圆筒，第一圆筒和第二圆筒之间均匀设置有多块拉臂，多块拉臂的顶端转动连接在第一圆筒上，第二圆筒的外部均匀转动连接有多块支撑臂，支撑臂与拉臂的底端转动连接，从而方便控制第一圆筒相对第二圆筒之间的间距从而调控支撑臂</w:t>
      </w:r>
      <w:r>
        <w:rPr>
          <w:rFonts w:ascii="宋体" w:hAnsi="宋体" w:hint="eastAsia"/>
          <w:color w:val="auto"/>
          <w:spacing w:val="12"/>
          <w:sz w:val="28"/>
          <w:lang w:val="en-US" w:eastAsia="zh-CN"/>
        </w:rPr>
        <w:t>在第二圆筒上的开合角度，从而控制支撑的稳定性</w:t>
      </w:r>
      <w:r>
        <w:rPr>
          <w:rFonts w:ascii="宋体" w:hAnsi="宋体" w:hint="eastAsia"/>
          <w:color w:val="auto"/>
          <w:spacing w:val="12"/>
          <w:sz w:val="28"/>
          <w:lang w:eastAsia="zh-CN"/>
        </w:rPr>
        <w:t>。</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进一步的，第一圆筒的顶面与搭接传递组件的顶端固定连接，第一圆筒和第二圆筒的外圆周上均匀贯穿开设有多个转槽，第一圆筒和第二圆筒的转槽中均水平固定有转条</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sectPr>
          <w:headerReference w:type="default" r:id="rId22"/>
          <w:footerReference w:type="default" r:id="rId23"/>
          <w:type w:val="nextPage"/>
          <w:pgSz w:w="11906" w:h="16838"/>
          <w:pgMar w:top="1440" w:right="1800" w:bottom="1440" w:left="1800" w:header="851" w:footer="992" w:gutter="0"/>
          <w:lnNumType w:distance="360"/>
          <w:pgNumType w:fmt="decimal" w:start="3"/>
          <w:cols w:num="1" w:space="720"/>
          <w:titlePg w:val="0"/>
          <w:docGrid w:type="lines" w:linePitch="312" w:charSpace="0"/>
        </w:sect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第一圆筒的顶面与搭接传递组件的顶端固定连接，第一圆筒和第二圆筒的外圆周上均匀贯穿开设有多个转槽，第一圆筒和第二圆筒的转槽中均水平固定有转条，从而用于转动连接调控支撑臂</w:t>
      </w:r>
      <w:r>
        <w:rPr>
          <w:rFonts w:ascii="宋体" w:hAnsi="宋体" w:hint="eastAsia"/>
          <w:color w:val="auto"/>
          <w:spacing w:val="12"/>
          <w:sz w:val="28"/>
          <w:lang w:val="en-US" w:eastAsia="zh-CN"/>
        </w:rPr>
        <w:t>在第二圆筒上的开合角度</w:t>
      </w:r>
      <w:r>
        <w:rPr>
          <w:rFonts w:ascii="宋体" w:hAnsi="宋体" w:hint="eastAsia"/>
          <w:color w:val="auto"/>
          <w:spacing w:val="12"/>
          <w:sz w:val="28"/>
          <w:lang w:eastAsia="zh-CN"/>
        </w:rPr>
        <w:t>。</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拉臂的两端均水平固定有套筒，支撑臂的一端水平固定有转筒，支撑臂的顶面中部竖直固定有转架，拉臂一端的套筒与第一圆筒上的转条转动连接，拉臂另一端的套筒与转架转动连接，支撑臂上的转筒与第二圆筒上的转条转动连接</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拉臂的两端均水平固定有套筒，支撑臂的一端水平固定有转筒，支撑臂的顶面中部竖直固定有转架，拉臂一端的套筒与第一圆筒上的转条转动连接，拉臂另一端的套筒与转架转动连接，支撑臂上的转筒与第二圆筒上的转条转动连接，从而通过拉臂的转动拉动支撑臂开合转动。</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进一步的，第一圆筒的底面上竖直固定有插柱，第二圆筒的顶面竖直固定有插筒，插柱竖直插接在插筒中，插筒的内部竖直固定有拉持弹簧，拉持弹簧的两端分别固定在插柱的底端和插筒的内部底端</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第一圆筒的底面上竖直固定有插柱，第二圆筒的顶面竖直固定有插筒，插柱竖直插接在插筒中，插筒的内部竖直固定有拉持弹簧，拉持弹簧的两端分别固定在插柱的底端和插筒的内部底端，从而保证在不人为拉动的情况下，利用拉持弹簧的拉力，向下拉动第一圆筒，从而改变第一圆筒和第二圆筒的间距，保证支撑拨</w:t>
      </w:r>
      <w:r>
        <w:rPr>
          <w:rFonts w:ascii="宋体" w:hAnsi="宋体" w:hint="eastAsia"/>
          <w:color w:val="auto"/>
          <w:spacing w:val="12"/>
          <w:sz w:val="28"/>
          <w:lang w:val="en-US" w:eastAsia="zh-CN"/>
        </w:rPr>
        <w:t>开合支撑在孔壁上</w:t>
      </w:r>
      <w:r>
        <w:rPr>
          <w:rFonts w:ascii="宋体" w:hAnsi="宋体" w:hint="eastAsia"/>
          <w:color w:val="auto"/>
          <w:spacing w:val="12"/>
          <w:sz w:val="28"/>
        </w:rPr>
        <w:t>。</w:t>
      </w:r>
    </w:p>
    <w:p>
      <w:pPr>
        <w:pStyle w:val="BodyTextIndent"/>
        <w:spacing w:after="0"/>
        <w:ind w:left="0" w:firstLine="560" w:leftChars="0" w:firstLineChars="200"/>
        <w:rPr>
          <w:rFonts w:ascii="宋体" w:hAnsi="宋体"/>
          <w:color w:val="auto"/>
          <w:spacing w:val="12"/>
          <w:sz w:val="28"/>
          <w:lang w:val="en-US" w:eastAsia="zh-CN"/>
        </w:rPr>
        <w:sectPr>
          <w:headerReference w:type="default" r:id="rId24"/>
          <w:footerReference w:type="default" r:id="rId25"/>
          <w:type w:val="nextPage"/>
          <w:pgSz w:w="11906" w:h="16838"/>
          <w:pgMar w:top="1440" w:right="1800" w:bottom="1440" w:left="1800" w:header="851" w:footer="992" w:gutter="0"/>
          <w:lnNumType w:distance="360"/>
          <w:pgNumType w:fmt="decimal" w:start="4"/>
          <w:cols w:num="1" w:space="720"/>
          <w:titlePg w:val="0"/>
          <w:docGrid w:type="lines" w:linePitch="312" w:charSpace="0"/>
        </w:sectPr>
      </w:pPr>
      <w:r>
        <w:rPr>
          <w:rFonts w:ascii="宋体" w:hAnsi="宋体" w:hint="eastAsia"/>
          <w:color w:val="auto"/>
          <w:spacing w:val="12"/>
          <w:sz w:val="28"/>
          <w:lang w:eastAsia="zh-CN"/>
        </w:rPr>
        <w:t>进一步的，搭接传递组件包括钢缆、固定筒和固定</w:t>
      </w:r>
      <w:r>
        <w:rPr>
          <w:rFonts w:ascii="宋体" w:hAnsi="宋体" w:hint="eastAsia"/>
          <w:color w:val="auto"/>
          <w:spacing w:val="12"/>
          <w:sz w:val="28"/>
          <w:lang w:val="en-US" w:eastAsia="zh-CN"/>
        </w:rPr>
        <w:t>接</w:t>
      </w:r>
      <w:r>
        <w:rPr>
          <w:rFonts w:ascii="宋体" w:hAnsi="宋体" w:hint="eastAsia"/>
          <w:color w:val="auto"/>
          <w:spacing w:val="12"/>
          <w:sz w:val="28"/>
          <w:lang w:eastAsia="zh-CN"/>
        </w:rPr>
        <w:t>筒，钢缆上套设有两个固定筒和一个固定</w:t>
      </w:r>
      <w:r>
        <w:rPr>
          <w:rFonts w:ascii="宋体" w:hAnsi="宋体" w:hint="eastAsia"/>
          <w:color w:val="auto"/>
          <w:spacing w:val="12"/>
          <w:sz w:val="28"/>
          <w:lang w:val="en-US" w:eastAsia="zh-CN"/>
        </w:rPr>
        <w:t>接</w:t>
      </w:r>
      <w:r>
        <w:rPr>
          <w:rFonts w:ascii="宋体" w:hAnsi="宋体" w:hint="eastAsia"/>
          <w:color w:val="auto"/>
          <w:spacing w:val="12"/>
          <w:sz w:val="28"/>
          <w:lang w:eastAsia="zh-CN"/>
        </w:rPr>
        <w:t>筒，固定</w:t>
      </w:r>
      <w:r>
        <w:rPr>
          <w:rFonts w:ascii="宋体" w:hAnsi="宋体" w:hint="eastAsia"/>
          <w:color w:val="auto"/>
          <w:spacing w:val="12"/>
          <w:sz w:val="28"/>
          <w:lang w:val="en-US" w:eastAsia="zh-CN"/>
        </w:rPr>
        <w:t>接</w:t>
      </w:r>
      <w:r>
        <w:rPr>
          <w:rFonts w:ascii="宋体" w:hAnsi="宋体" w:hint="eastAsia"/>
          <w:color w:val="auto"/>
          <w:spacing w:val="12"/>
          <w:sz w:val="28"/>
          <w:lang w:eastAsia="zh-CN"/>
        </w:rPr>
        <w:t>筒设置在两个固定筒之间，两个固定筒固定在钢缆，两个固定筒朝向固定</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val="en-US" w:eastAsia="zh-CN"/>
        </w:rPr>
        <w:t>接</w:t>
      </w:r>
      <w:r>
        <w:rPr>
          <w:rFonts w:ascii="宋体" w:hAnsi="宋体" w:hint="eastAsia"/>
          <w:color w:val="auto"/>
          <w:spacing w:val="12"/>
          <w:sz w:val="28"/>
          <w:lang w:eastAsia="zh-CN"/>
        </w:rPr>
        <w:t>筒的端部均固定有连接螺筒，固定</w:t>
      </w:r>
      <w:r>
        <w:rPr>
          <w:rFonts w:ascii="宋体" w:hAnsi="宋体" w:hint="eastAsia"/>
          <w:color w:val="auto"/>
          <w:spacing w:val="12"/>
          <w:sz w:val="28"/>
          <w:lang w:val="en-US" w:eastAsia="zh-CN"/>
        </w:rPr>
        <w:t>接</w:t>
      </w:r>
      <w:r>
        <w:rPr>
          <w:rFonts w:ascii="宋体" w:hAnsi="宋体" w:hint="eastAsia"/>
          <w:color w:val="auto"/>
          <w:spacing w:val="12"/>
          <w:sz w:val="28"/>
          <w:lang w:eastAsia="zh-CN"/>
        </w:rPr>
        <w:t>筒的两端均固定有固定螺筒，固定螺筒与连接螺筒螺纹组装连接，钢缆的顶端竖直固定有装配螺柱</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钢缆上套设有两个固定筒和一个固定</w:t>
      </w:r>
      <w:r>
        <w:rPr>
          <w:rFonts w:ascii="宋体" w:hAnsi="宋体" w:hint="eastAsia"/>
          <w:color w:val="auto"/>
          <w:spacing w:val="12"/>
          <w:sz w:val="28"/>
          <w:lang w:val="en-US" w:eastAsia="zh-CN"/>
        </w:rPr>
        <w:t>接</w:t>
      </w:r>
      <w:r>
        <w:rPr>
          <w:rFonts w:ascii="宋体" w:hAnsi="宋体" w:hint="eastAsia"/>
          <w:color w:val="auto"/>
          <w:spacing w:val="12"/>
          <w:sz w:val="28"/>
          <w:lang w:eastAsia="zh-CN"/>
        </w:rPr>
        <w:t>筒，固定</w:t>
      </w:r>
      <w:r>
        <w:rPr>
          <w:rFonts w:ascii="宋体" w:hAnsi="宋体" w:hint="eastAsia"/>
          <w:color w:val="auto"/>
          <w:spacing w:val="12"/>
          <w:sz w:val="28"/>
          <w:lang w:val="en-US" w:eastAsia="zh-CN"/>
        </w:rPr>
        <w:t>接</w:t>
      </w:r>
      <w:r>
        <w:rPr>
          <w:rFonts w:ascii="宋体" w:hAnsi="宋体" w:hint="eastAsia"/>
          <w:color w:val="auto"/>
          <w:spacing w:val="12"/>
          <w:sz w:val="28"/>
          <w:lang w:eastAsia="zh-CN"/>
        </w:rPr>
        <w:t>筒设置在两个固定筒之间，两个固定筒固定在钢缆，两个固定筒朝向固定</w:t>
      </w:r>
      <w:r>
        <w:rPr>
          <w:rFonts w:ascii="宋体" w:hAnsi="宋体" w:hint="eastAsia"/>
          <w:color w:val="auto"/>
          <w:spacing w:val="12"/>
          <w:sz w:val="28"/>
          <w:lang w:val="en-US" w:eastAsia="zh-CN"/>
        </w:rPr>
        <w:t>接</w:t>
      </w:r>
      <w:r>
        <w:rPr>
          <w:rFonts w:ascii="宋体" w:hAnsi="宋体" w:hint="eastAsia"/>
          <w:color w:val="auto"/>
          <w:spacing w:val="12"/>
          <w:sz w:val="28"/>
          <w:lang w:eastAsia="zh-CN"/>
        </w:rPr>
        <w:t>筒的端部均固定有连接螺筒，固定</w:t>
      </w:r>
      <w:r>
        <w:rPr>
          <w:rFonts w:ascii="宋体" w:hAnsi="宋体" w:hint="eastAsia"/>
          <w:color w:val="auto"/>
          <w:spacing w:val="12"/>
          <w:sz w:val="28"/>
          <w:lang w:val="en-US" w:eastAsia="zh-CN"/>
        </w:rPr>
        <w:t>接</w:t>
      </w:r>
      <w:r>
        <w:rPr>
          <w:rFonts w:ascii="宋体" w:hAnsi="宋体" w:hint="eastAsia"/>
          <w:color w:val="auto"/>
          <w:spacing w:val="12"/>
          <w:sz w:val="28"/>
          <w:lang w:eastAsia="zh-CN"/>
        </w:rPr>
        <w:t>筒的两端均固定有固定螺筒，固定螺筒与连接螺筒螺纹组装连接，钢缆的顶端竖直固定有装配螺柱，</w:t>
      </w:r>
      <w:r>
        <w:rPr>
          <w:rFonts w:ascii="宋体" w:eastAsia="宋体" w:hAnsi="宋体" w:cs="Times New Roman" w:hint="eastAsia"/>
          <w:color w:val="auto"/>
          <w:spacing w:val="12"/>
          <w:kern w:val="2"/>
          <w:sz w:val="28"/>
          <w:lang w:val="en-US" w:eastAsia="zh-CN"/>
        </w:rPr>
        <w:t>搭接传递组件由中间控制支撑壁的钢缆、固定筒和固定接筒三部分组成，在正常状态下，可以折叠收缩存放，便于携带</w:t>
      </w:r>
      <w:r>
        <w:rPr>
          <w:rFonts w:ascii="宋体" w:hAnsi="宋体" w:cs="Times New Roman" w:hint="eastAsia"/>
          <w:color w:val="auto"/>
          <w:spacing w:val="12"/>
          <w:kern w:val="2"/>
          <w:sz w:val="28"/>
          <w:lang w:val="en-US" w:eastAsia="zh-CN"/>
        </w:rPr>
        <w:t>。</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进一步的，偏移方位测试组件包括</w:t>
      </w:r>
      <w:r>
        <w:rPr>
          <w:rFonts w:ascii="宋体" w:hAnsi="宋体" w:hint="eastAsia"/>
          <w:color w:val="auto"/>
          <w:spacing w:val="12"/>
          <w:sz w:val="28"/>
          <w:lang w:val="en-US" w:eastAsia="zh-CN"/>
        </w:rPr>
        <w:t>方位角传导固定块，方位角传导固定块的底面上竖直固定有配合</w:t>
      </w:r>
      <w:r>
        <w:rPr>
          <w:rFonts w:ascii="宋体" w:hAnsi="宋体" w:hint="eastAsia"/>
          <w:color w:val="auto"/>
          <w:spacing w:val="12"/>
          <w:sz w:val="28"/>
          <w:lang w:eastAsia="zh-CN"/>
        </w:rPr>
        <w:t>装配螺柱的装配螺筒，</w:t>
      </w:r>
      <w:r>
        <w:rPr>
          <w:rFonts w:ascii="宋体" w:hAnsi="宋体" w:hint="eastAsia"/>
          <w:color w:val="auto"/>
          <w:spacing w:val="12"/>
          <w:sz w:val="28"/>
          <w:lang w:val="en-US" w:eastAsia="zh-CN"/>
        </w:rPr>
        <w:t>方位角传导固定块的竖直端面上竖直固定有竖直气泡，方位角传导固定块的水平端面上水平固定有水平气泡。</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进而通过方位角传导固定块的底面上竖直固定有配合</w:t>
      </w:r>
      <w:r>
        <w:rPr>
          <w:rFonts w:ascii="宋体" w:hAnsi="宋体" w:hint="eastAsia"/>
          <w:color w:val="auto"/>
          <w:spacing w:val="12"/>
          <w:sz w:val="28"/>
          <w:lang w:eastAsia="zh-CN"/>
        </w:rPr>
        <w:t>装配螺柱的装配螺筒，</w:t>
      </w:r>
      <w:r>
        <w:rPr>
          <w:rFonts w:ascii="宋体" w:hAnsi="宋体" w:hint="eastAsia"/>
          <w:color w:val="auto"/>
          <w:spacing w:val="12"/>
          <w:sz w:val="28"/>
          <w:lang w:val="en-US" w:eastAsia="zh-CN"/>
        </w:rPr>
        <w:t>方位角传导固定块的竖直端面上竖直固定有竖直气泡，方位角传导固定块的水平端面上水平固定有水平气泡，</w:t>
      </w:r>
      <w:r>
        <w:rPr>
          <w:rFonts w:ascii="宋体" w:eastAsia="宋体" w:hAnsi="宋体" w:cs="Times New Roman" w:hint="eastAsia"/>
          <w:color w:val="auto"/>
          <w:spacing w:val="12"/>
          <w:kern w:val="2"/>
          <w:sz w:val="28"/>
          <w:lang w:val="en-US" w:eastAsia="zh-CN"/>
        </w:rPr>
        <w:t>方位角传导固定块连接搭接传递组件，通过水平方向和垂直方向气泡来判定钻芯孔的偏移方位</w:t>
      </w:r>
      <w:r>
        <w:rPr>
          <w:rFonts w:ascii="宋体" w:hAnsi="宋体" w:cs="Times New Roman" w:hint="eastAsia"/>
          <w:color w:val="auto"/>
          <w:spacing w:val="12"/>
          <w:kern w:val="2"/>
          <w:sz w:val="28"/>
          <w:lang w:val="en-US" w:eastAsia="zh-CN"/>
        </w:rPr>
        <w:t>。</w:t>
      </w:r>
    </w:p>
    <w:p>
      <w:pPr>
        <w:pStyle w:val="BodyTextIndent"/>
        <w:spacing w:after="0"/>
        <w:ind w:left="0" w:firstLine="560" w:leftChars="0" w:firstLineChars="200"/>
        <w:rPr>
          <w:rFonts w:ascii="宋体" w:hAnsi="宋体"/>
          <w:color w:val="auto"/>
          <w:spacing w:val="12"/>
          <w:sz w:val="28"/>
          <w:lang w:val="en-US" w:eastAsia="zh-CN"/>
        </w:rPr>
        <w:sectPr>
          <w:headerReference w:type="default" r:id="rId26"/>
          <w:footerReference w:type="default" r:id="rId27"/>
          <w:type w:val="nextPage"/>
          <w:pgSz w:w="11906" w:h="16838"/>
          <w:pgMar w:top="1440" w:right="1800" w:bottom="1440" w:left="1800" w:header="851" w:footer="992" w:gutter="0"/>
          <w:lnNumType w:distance="360"/>
          <w:pgNumType w:fmt="decimal" w:start="5"/>
          <w:cols w:num="1" w:space="720"/>
          <w:titlePg w:val="0"/>
          <w:docGrid w:type="lines" w:linePitch="312" w:charSpace="0"/>
        </w:sectPr>
      </w:pP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限位组件包括两个套环、限位条板和限位轮，两个套环上水平螺纹贯穿安装有配合螺槽的连接螺栓，两个套环的外圆周面上均匀竖直设置有多根导柱，两个套环之间的导柱上滑动套设有限位条板，限位条板的外侧竖直端面上转动安装有限位轮，导柱上位于限位条板和套环之间水平套设有压紧弹簧</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两个套环上水平螺纹贯穿安装有配合螺槽的连接螺栓，两个套环的外圆周面上均匀竖直设置有多根导柱，两个套环之间的导柱上滑动套设有限位条板，限位条板的外侧竖直端面上转动安装有限位轮，导柱上位于限位条板和套环之间水平套设有压紧弹簧，从而利用压紧弹簧</w:t>
      </w:r>
      <w:r>
        <w:rPr>
          <w:rFonts w:ascii="宋体" w:hAnsi="宋体" w:hint="eastAsia"/>
          <w:color w:val="auto"/>
          <w:spacing w:val="12"/>
          <w:sz w:val="28"/>
          <w:lang w:val="en-US" w:eastAsia="zh-CN"/>
        </w:rPr>
        <w:t>压紧限位轮在孔壁上，从而支撑限位测试探头在孔中，防止活动插接在空中，影响检测的精度。</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测试探头的顶面上均匀水平固定有多块插框，插框的底面上沿水平方向竖直设置有多个定位螺孔，插框中水平插接有插板，插板的一端竖直螺纹贯穿安装有配合定位螺孔的定位螺栓，插板的另一端顶部竖直固定有螺柱，螺柱</w:t>
      </w:r>
      <w:r>
        <w:rPr>
          <w:rFonts w:ascii="宋体" w:hAnsi="宋体" w:hint="eastAsia"/>
          <w:color w:val="auto"/>
          <w:spacing w:val="12"/>
          <w:sz w:val="28"/>
          <w:lang w:val="en-US" w:eastAsia="zh-CN"/>
        </w:rPr>
        <w:t>的正上方水平设置有螺孔板，螺孔板的底面一端竖直转动连接有定位螺筒，定位螺筒与</w:t>
      </w:r>
      <w:r>
        <w:rPr>
          <w:rFonts w:ascii="宋体" w:hAnsi="宋体" w:hint="eastAsia"/>
          <w:color w:val="auto"/>
          <w:spacing w:val="12"/>
          <w:sz w:val="28"/>
          <w:lang w:eastAsia="zh-CN"/>
        </w:rPr>
        <w:t>螺柱螺纹组装连接，</w:t>
      </w:r>
      <w:r>
        <w:rPr>
          <w:rFonts w:ascii="宋体" w:hAnsi="宋体" w:hint="eastAsia"/>
          <w:color w:val="auto"/>
          <w:spacing w:val="12"/>
          <w:sz w:val="28"/>
          <w:lang w:val="en-US" w:eastAsia="zh-CN"/>
        </w:rPr>
        <w:t>螺孔板中竖直螺纹安装有支撑螺杆。</w:t>
      </w:r>
    </w:p>
    <w:p>
      <w:pPr>
        <w:pStyle w:val="BodyTextIndent"/>
        <w:spacing w:after="0"/>
        <w:ind w:left="0" w:firstLine="560" w:leftChars="0" w:firstLineChars="200"/>
        <w:rPr>
          <w:rFonts w:ascii="宋体" w:hAnsi="宋体"/>
          <w:color w:val="auto"/>
          <w:spacing w:val="12"/>
          <w:sz w:val="28"/>
          <w:lang w:eastAsia="zh-CN"/>
        </w:rPr>
        <w:sectPr>
          <w:headerReference w:type="default" r:id="rId28"/>
          <w:footerReference w:type="default" r:id="rId29"/>
          <w:type w:val="nextPage"/>
          <w:pgSz w:w="11906" w:h="16838"/>
          <w:pgMar w:top="1440" w:right="1800" w:bottom="1440" w:left="1800" w:header="851" w:footer="992" w:gutter="0"/>
          <w:lnNumType w:distance="360"/>
          <w:pgNumType w:fmt="decimal" w:start="6"/>
          <w:cols w:num="1" w:space="720"/>
          <w:titlePg w:val="0"/>
          <w:docGrid w:type="lines" w:linePitch="312" w:charSpace="0"/>
        </w:sect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测试探头的顶面上均匀水平固定有多块插框，插框的底面上沿水平方向竖直设置有多个定位螺孔，插框中水平插接有插板，插板的一端竖直螺纹贯穿安装有配合定位螺孔的定位螺栓，插板的另一端顶部竖直固定有螺柱，螺柱</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的正上方水平设置有螺孔板，螺孔板的底面一端竖直转动连接有定位螺筒，定位螺筒与</w:t>
      </w:r>
      <w:r>
        <w:rPr>
          <w:rFonts w:ascii="宋体" w:hAnsi="宋体" w:hint="eastAsia"/>
          <w:color w:val="auto"/>
          <w:spacing w:val="12"/>
          <w:sz w:val="28"/>
          <w:lang w:eastAsia="zh-CN"/>
        </w:rPr>
        <w:t>螺柱螺纹组装连接，</w:t>
      </w:r>
      <w:r>
        <w:rPr>
          <w:rFonts w:ascii="宋体" w:hAnsi="宋体" w:hint="eastAsia"/>
          <w:color w:val="auto"/>
          <w:spacing w:val="12"/>
          <w:sz w:val="28"/>
          <w:lang w:val="en-US" w:eastAsia="zh-CN"/>
        </w:rPr>
        <w:t>螺孔板中竖直螺纹安装有支撑螺杆，从而水平方向竖直方向调节，从而支撑测试探头在开孔中。</w:t>
      </w:r>
    </w:p>
    <w:p>
      <w:pPr>
        <w:pStyle w:val="BodyTextIndent"/>
        <w:spacing w:after="0"/>
        <w:ind w:left="0" w:firstLine="560" w:leftChars="0" w:firstLineChars="200"/>
        <w:jc w:val="left"/>
        <w:rPr>
          <w:rFonts w:ascii="宋体" w:eastAsia="宋体" w:hAnsi="宋体"/>
          <w:color w:val="auto"/>
          <w:spacing w:val="12"/>
          <w:sz w:val="28"/>
          <w:lang w:eastAsia="zh-CN"/>
        </w:rPr>
      </w:pPr>
      <w:r>
        <w:rPr>
          <w:rFonts w:ascii="宋体" w:hAnsi="宋体" w:hint="eastAsia"/>
          <w:color w:val="auto"/>
          <w:spacing w:val="12"/>
          <w:sz w:val="28"/>
        </w:rPr>
        <w:t>与现有技术相比，本</w:t>
      </w:r>
      <w:r>
        <w:rPr>
          <w:rFonts w:ascii="宋体" w:hAnsi="宋体" w:hint="eastAsia"/>
          <w:color w:val="auto"/>
          <w:spacing w:val="12"/>
          <w:sz w:val="28"/>
          <w:lang w:eastAsia="zh-CN"/>
        </w:rPr>
        <w:t>发明</w:t>
      </w:r>
      <w:r>
        <w:rPr>
          <w:rFonts w:ascii="宋体" w:hAnsi="宋体" w:hint="eastAsia"/>
          <w:color w:val="auto"/>
          <w:spacing w:val="12"/>
          <w:sz w:val="28"/>
        </w:rPr>
        <w:t>的有益效果是：本</w:t>
      </w:r>
      <w:r>
        <w:rPr>
          <w:rFonts w:ascii="宋体" w:hAnsi="宋体" w:hint="eastAsia"/>
          <w:color w:val="auto"/>
          <w:spacing w:val="12"/>
          <w:sz w:val="28"/>
          <w:lang w:eastAsia="zh-CN"/>
        </w:rPr>
        <w:t>发明</w:t>
      </w:r>
    </w:p>
    <w:p>
      <w:pPr>
        <w:pStyle w:val="BodyTextIndent"/>
        <w:spacing w:after="0"/>
        <w:ind w:left="0" w:firstLine="0" w:leftChars="0" w:firstLineChars="0"/>
        <w:rPr>
          <w:rFonts w:ascii="宋体" w:hAnsi="宋体"/>
          <w:color w:val="auto"/>
          <w:spacing w:val="12"/>
          <w:sz w:val="28"/>
        </w:rPr>
      </w:pPr>
      <w:r>
        <w:rPr>
          <w:rFonts w:ascii="宋体" w:eastAsia="宋体" w:hAnsi="宋体" w:cs="Times New Roman" w:hint="eastAsia"/>
          <w:color w:val="auto"/>
          <w:spacing w:val="12"/>
          <w:kern w:val="2"/>
          <w:sz w:val="28"/>
          <w:lang w:val="en-US" w:eastAsia="zh-CN"/>
        </w:rPr>
        <w:t>在使用该快速测定偏移方向的装置时，使用时支撑固定组件包括测试探头和可控支撑臂，可控支撑臂可控制收缩和展开支撑测试探头，多个支撑臂的撑开角度和长度均相同，保证支撑固定部分撑开固定在开孔壁上的时候，测试探头位于开孔中心的位置，与开孔保持相同的偏移方位，用于测试开孔的偏移度，搭接传递组件由中间控制支撑壁的钢缆、固定筒和固定接筒三部分组成，在正常状态下，可以折叠收缩存放，便于携带，使用时在往下放时将固定筒和固定接筒拧紧，形成有刚度的垂直构件，将支撑固定部分的方位角度往上部传递，偏移方位测试组件包括方位角传导固定块、水平气泡和垂直气泡构成，方位角传导固定块连接搭接传递组件，通过水平方向和垂直方向气泡来判定钻芯孔的偏移方位，使用该一种快速测定偏移方向的装置，能通过偏移方位测试组件快速的测定由搭接传递组件传递上来的偏移方位，为第二孔的开孔提供依据</w:t>
      </w:r>
      <w:r>
        <w:rPr>
          <w:rFonts w:ascii="宋体" w:hAnsi="宋体" w:hint="eastAsia"/>
          <w:color w:val="auto"/>
          <w:spacing w:val="12"/>
          <w:sz w:val="28"/>
          <w:lang w:eastAsia="zh-CN"/>
        </w:rPr>
        <w:t>，从而克服了</w:t>
      </w:r>
      <w:r>
        <w:rPr>
          <w:rFonts w:ascii="宋体" w:hAnsi="宋体" w:hint="eastAsia"/>
          <w:color w:val="auto"/>
          <w:spacing w:val="12"/>
          <w:sz w:val="28"/>
          <w:szCs w:val="22"/>
          <w:lang w:eastAsia="zh-CN"/>
        </w:rPr>
        <w:t>现有</w:t>
      </w:r>
      <w:r>
        <w:rPr>
          <w:rFonts w:ascii="宋体" w:hAnsi="宋体"/>
          <w:color w:val="auto"/>
          <w:spacing w:val="12"/>
          <w:sz w:val="28"/>
        </w:rPr>
        <w:br/>
      </w:r>
      <w:r>
        <w:rPr>
          <w:rFonts w:ascii="宋体" w:hAnsi="宋体"/>
          <w:color w:val="auto"/>
          <w:spacing w:val="12"/>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https://d.book118.com/816204143125010042</w:t>
        </w:r>
      </w:hyperlink>
    </w:p>
    <w:p>
      <w:pPr>
        <w:pStyle w:val="BodyTextIndent"/>
        <w:spacing w:after="0"/>
        <w:ind w:left="0" w:firstLine="0" w:leftChars="0" w:firstLineChars="0"/>
        <w:rPr>
          <w:rFonts w:ascii="宋体" w:hAnsi="宋体"/>
          <w:color w:val="auto"/>
          <w:spacing w:val="12"/>
          <w:sz w:val="28"/>
        </w:rPr>
      </w:pPr>
    </w:p>
    <w:sectPr>
      <w:headerReference w:type="default" r:id="rId31"/>
      <w:footerReference w:type="default" r:id="rId32"/>
      <w:type w:val="nextPage"/>
      <w:pgSz w:w="11906" w:h="16838"/>
      <w:pgMar w:top="1440" w:right="1800" w:bottom="1440" w:left="1800" w:header="851" w:footer="992" w:gutter="0"/>
      <w:lnNumType w:distance="360"/>
      <w:pgNumType w:fmt="decimal" w:start="7"/>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84760125"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2</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2</w:t>
                    </w:r>
                    <w:r>
                      <w:rPr>
                        <w:rFonts w:hint="eastAsia"/>
                        <w:sz w:val="18"/>
                        <w:lang w:eastAsia="zh-CN"/>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34572602"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6122563"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8024668"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2</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2</w:t>
                    </w:r>
                    <w:r>
                      <w:rPr>
                        <w:rFonts w:hint="eastAsia"/>
                        <w:sz w:val="18"/>
                        <w:lang w:eastAsia="zh-CN"/>
                      </w:rP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66126428"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987789651"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4129919"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5</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5</w:t>
                    </w:r>
                    <w:r>
                      <w:rPr>
                        <w:rFonts w:hint="eastAsia"/>
                        <w:sz w:val="18"/>
                        <w:lang w:eastAsia="zh-CN"/>
                      </w:rPr>
                      <w:fldChar w:fldCharType="end"/>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883860797"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7</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7</w:t>
                    </w:r>
                    <w:r>
                      <w:rPr>
                        <w:rFonts w:hint="eastAsia"/>
                        <w:sz w:val="18"/>
                        <w:lang w:eastAsia="zh-CN"/>
                      </w:rP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6384452"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7</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61"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7</w:t>
                    </w:r>
                    <w:r>
                      <w:rPr>
                        <w:rFonts w:hint="eastAsia"/>
                        <w:sz w:val="18"/>
                        <w:lang w:eastAsia="zh-CN"/>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说明书摘要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摘要附图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81C4E78"/>
    <w:multiLevelType w:val="singleLevel"/>
    <w:tmpl w:val="581C4E78"/>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drawingGridVerticalSpacing w:val="156"/>
  <w:noPunctuationKerning/>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61D44"/>
    <w:rsid w:val="01547F90"/>
    <w:rsid w:val="019131A6"/>
    <w:rsid w:val="06576F50"/>
    <w:rsid w:val="06747CBE"/>
    <w:rsid w:val="06CD0C8E"/>
    <w:rsid w:val="075753E3"/>
    <w:rsid w:val="07C95753"/>
    <w:rsid w:val="09D222EE"/>
    <w:rsid w:val="0B2F7AF1"/>
    <w:rsid w:val="0DBA5B3D"/>
    <w:rsid w:val="0E3605F6"/>
    <w:rsid w:val="0EB17025"/>
    <w:rsid w:val="16A06E87"/>
    <w:rsid w:val="188324AD"/>
    <w:rsid w:val="1AB81EDA"/>
    <w:rsid w:val="1C134119"/>
    <w:rsid w:val="1DED76B9"/>
    <w:rsid w:val="1E507A3D"/>
    <w:rsid w:val="1FB6353F"/>
    <w:rsid w:val="20C75865"/>
    <w:rsid w:val="249C14FA"/>
    <w:rsid w:val="2542267F"/>
    <w:rsid w:val="258D7AED"/>
    <w:rsid w:val="25C81FE6"/>
    <w:rsid w:val="29036479"/>
    <w:rsid w:val="29FF1D4D"/>
    <w:rsid w:val="2A06721B"/>
    <w:rsid w:val="2DBE42FB"/>
    <w:rsid w:val="2E364103"/>
    <w:rsid w:val="2E5501AB"/>
    <w:rsid w:val="2E683D76"/>
    <w:rsid w:val="2E893540"/>
    <w:rsid w:val="2F607F4F"/>
    <w:rsid w:val="303F405D"/>
    <w:rsid w:val="30BB5F58"/>
    <w:rsid w:val="365C7581"/>
    <w:rsid w:val="37CE2CDB"/>
    <w:rsid w:val="3D672B47"/>
    <w:rsid w:val="3D727CA8"/>
    <w:rsid w:val="3E514AE3"/>
    <w:rsid w:val="3E705718"/>
    <w:rsid w:val="3E840AF5"/>
    <w:rsid w:val="40734D6C"/>
    <w:rsid w:val="42431FBC"/>
    <w:rsid w:val="431800E1"/>
    <w:rsid w:val="43735C7D"/>
    <w:rsid w:val="477A4799"/>
    <w:rsid w:val="4786568E"/>
    <w:rsid w:val="4FBB7519"/>
    <w:rsid w:val="51220954"/>
    <w:rsid w:val="51CB528E"/>
    <w:rsid w:val="52F262EC"/>
    <w:rsid w:val="53CC3387"/>
    <w:rsid w:val="54E416C3"/>
    <w:rsid w:val="55D15EB0"/>
    <w:rsid w:val="561640FA"/>
    <w:rsid w:val="57C35AD7"/>
    <w:rsid w:val="580C25DA"/>
    <w:rsid w:val="582043CB"/>
    <w:rsid w:val="58535428"/>
    <w:rsid w:val="591C6931"/>
    <w:rsid w:val="592A6F9D"/>
    <w:rsid w:val="59571C83"/>
    <w:rsid w:val="598471E6"/>
    <w:rsid w:val="59951AC0"/>
    <w:rsid w:val="5C3843B2"/>
    <w:rsid w:val="5F4E2E0D"/>
    <w:rsid w:val="5FB1573C"/>
    <w:rsid w:val="61A4691C"/>
    <w:rsid w:val="648306BF"/>
    <w:rsid w:val="664546FE"/>
    <w:rsid w:val="66940020"/>
    <w:rsid w:val="67CA578B"/>
    <w:rsid w:val="682D311E"/>
    <w:rsid w:val="683C438F"/>
    <w:rsid w:val="6A613EEE"/>
    <w:rsid w:val="6B512249"/>
    <w:rsid w:val="6D487C5D"/>
    <w:rsid w:val="6E8870DB"/>
    <w:rsid w:val="6E924B97"/>
    <w:rsid w:val="71891E75"/>
    <w:rsid w:val="7197141B"/>
    <w:rsid w:val="7627190C"/>
    <w:rsid w:val="783C3D90"/>
    <w:rsid w:val="78C7305C"/>
    <w:rsid w:val="7D2E3AC3"/>
    <w:rsid w:val="7E2B436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qFormat="1"/>
    <w:lsdException w:name="heading 1" w:semiHidden="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index 1" w:semiHidden="0" w:uiPriority="0" w:unhideWhenUsed="0" w:qFormat="1"/>
    <w:lsdException w:name="index 2" w:semiHidden="0" w:uiPriority="0" w:unhideWhenUsed="0" w:qFormat="1"/>
    <w:lsdException w:name="index 3" w:semiHidden="0" w:uiPriority="0" w:unhideWhenUsed="0" w:qFormat="1"/>
    <w:lsdException w:name="index 4" w:semiHidden="0" w:uiPriority="0" w:unhideWhenUsed="0" w:qFormat="1"/>
    <w:lsdException w:name="index 5" w:semiHidden="0" w:uiPriority="0" w:unhideWhenUsed="0" w:qFormat="1"/>
    <w:lsdException w:name="index 6" w:semiHidden="0" w:uiPriority="0" w:unhideWhenUsed="0" w:qFormat="1"/>
    <w:lsdException w:name="index 7" w:semiHidden="0" w:uiPriority="0" w:unhideWhenUsed="0" w:qFormat="1"/>
    <w:lsdException w:name="index 8" w:semiHidden="0" w:uiPriority="0" w:unhideWhenUsed="0" w:qFormat="1"/>
    <w:lsdException w:name="index 9" w:semiHidden="0" w:uiPriority="0" w:unhideWhenUsed="0" w:qFormat="1"/>
    <w:lsdException w:name="toc 1" w:locked="1" w:semiHidden="0" w:uiPriority="0" w:unhideWhenUsed="0" w:qFormat="1"/>
    <w:lsdException w:name="toc 2" w:locked="1" w:semiHidden="0" w:uiPriority="0" w:unhideWhenUsed="0" w:qFormat="1"/>
    <w:lsdException w:name="toc 3" w:locked="1" w:semiHidden="0" w:uiPriority="0" w:unhideWhenUsed="0" w:qFormat="1"/>
    <w:lsdException w:name="toc 4" w:locked="1" w:semiHidden="0" w:uiPriority="0" w:unhideWhenUsed="0" w:qFormat="1"/>
    <w:lsdException w:name="toc 5" w:locked="1" w:semiHidden="0" w:uiPriority="0" w:unhideWhenUsed="0" w:qFormat="1"/>
    <w:lsdException w:name="toc 6" w:locked="1" w:semiHidden="0" w:uiPriority="0" w:unhideWhenUsed="0" w:qFormat="1"/>
    <w:lsdException w:name="toc 7" w:locked="1" w:semiHidden="0" w:uiPriority="0" w:unhideWhenUsed="0" w:qFormat="1"/>
    <w:lsdException w:name="toc 8" w:locked="1" w:semiHidden="0" w:uiPriority="0" w:unhideWhenUsed="0" w:qFormat="1"/>
    <w:lsdException w:name="toc 9" w:locked="1" w:semiHidden="0" w:uiPriority="0" w:unhideWhenUsed="0" w:qFormat="1"/>
    <w:lsdException w:name="Normal Indent" w:semiHidden="0" w:uiPriority="0" w:unhideWhenUsed="0" w:qFormat="1"/>
    <w:lsdException w:name="footnote text" w:semiHidden="0" w:uiPriority="0" w:unhideWhenUsed="0" w:qFormat="1"/>
    <w:lsdException w:name="annotation text" w:semiHidden="0" w:uiPriority="0" w:unhideWhenUsed="0" w:qFormat="1"/>
    <w:lsdException w:name="header" w:semiHidden="0" w:qFormat="1"/>
    <w:lsdException w:name="footer" w:semiHidden="0" w:qFormat="1"/>
    <w:lsdException w:name="index heading" w:semiHidden="0" w:uiPriority="0" w:unhideWhenUsed="0" w:qFormat="1"/>
    <w:lsdException w:name="caption" w:locked="1" w:semiHidden="0" w:uiPriority="0" w:unhideWhenUsed="0" w:qFormat="1"/>
    <w:lsdException w:name="table of figures" w:semiHidden="0" w:uiPriority="0" w:unhideWhenUsed="0" w:qFormat="1"/>
    <w:lsdException w:name="envelope address" w:semiHidden="0" w:uiPriority="0" w:unhideWhenUsed="0" w:qFormat="1"/>
    <w:lsdException w:name="envelope return" w:semiHidden="0" w:uiPriority="0" w:unhideWhenUsed="0" w:qFormat="1"/>
    <w:lsdException w:name="footnote reference" w:semiHidden="0" w:uiPriority="0" w:unhideWhenUsed="0" w:qFormat="1"/>
    <w:lsdException w:name="annotation reference" w:semiHidden="0" w:uiPriority="0" w:unhideWhenUsed="0" w:qFormat="1"/>
    <w:lsdException w:name="line number" w:semiHidden="0" w:uiPriority="0" w:unhideWhenUsed="0" w:qFormat="1"/>
    <w:lsdException w:name="page number" w:semiHidden="0" w:qFormat="1"/>
    <w:lsdException w:name="endnote reference" w:semiHidden="0" w:uiPriority="0" w:unhideWhenUsed="0" w:qFormat="1"/>
    <w:lsdException w:name="endnote text" w:semiHidden="0" w:uiPriority="0" w:unhideWhenUsed="0" w:qFormat="1"/>
    <w:lsdException w:name="table of authorities" w:semiHidden="0" w:uiPriority="0" w:unhideWhenUsed="0" w:qFormat="1"/>
    <w:lsdException w:name="macro" w:semiHidden="0" w:uiPriority="0" w:unhideWhenUsed="0" w:qFormat="1"/>
    <w:lsdException w:name="toa heading" w:semiHidden="0" w:uiPriority="0" w:unhideWhenUsed="0" w:qFormat="1"/>
    <w:lsdException w:name="List" w:semiHidden="0" w:uiPriority="0" w:unhideWhenUsed="0" w:qFormat="1"/>
    <w:lsdException w:name="List Bullet" w:semiHidden="0" w:uiPriority="0" w:unhideWhenUsed="0" w:qFormat="1"/>
    <w:lsdException w:name="List Number" w:semiHidden="0" w:uiPriority="0" w:unhideWhenUsed="0" w:qFormat="1"/>
    <w:lsdException w:name="List 2" w:semiHidden="0" w:uiPriority="0" w:unhideWhenUsed="0" w:qFormat="1"/>
    <w:lsdException w:name="List 3" w:semiHidden="0" w:uiPriority="0" w:unhideWhenUsed="0" w:qFormat="1"/>
    <w:lsdException w:name="List 4" w:semiHidden="0" w:uiPriority="0" w:unhideWhenUsed="0" w:qFormat="1"/>
    <w:lsdException w:name="List 5" w:semiHidden="0" w:uiPriority="0" w:unhideWhenUsed="0" w:qFormat="1"/>
    <w:lsdException w:name="List Bullet 2" w:semiHidden="0" w:uiPriority="0" w:unhideWhenUsed="0" w:qFormat="1"/>
    <w:lsdException w:name="List Bullet 3" w:semiHidden="0" w:uiPriority="0" w:unhideWhenUsed="0" w:qFormat="1"/>
    <w:lsdException w:name="List Bullet 4" w:semiHidden="0" w:uiPriority="0" w:unhideWhenUsed="0" w:qFormat="1"/>
    <w:lsdException w:name="List Bullet 5" w:semiHidden="0" w:uiPriority="0" w:unhideWhenUsed="0" w:qFormat="1"/>
    <w:lsdException w:name="List Number 2" w:semiHidden="0" w:uiPriority="0" w:unhideWhenUsed="0" w:qFormat="1"/>
    <w:lsdException w:name="List Number 3" w:semiHidden="0" w:uiPriority="0" w:unhideWhenUsed="0" w:qFormat="1"/>
    <w:lsdException w:name="List Number 4" w:semiHidden="0" w:uiPriority="0" w:unhideWhenUsed="0" w:qFormat="1"/>
    <w:lsdException w:name="List Number 5" w:semiHidden="0" w:uiPriority="0" w:unhideWhenUsed="0" w:qFormat="1"/>
    <w:lsdException w:name="Title" w:locked="1" w:semiHidden="0" w:uiPriority="0" w:unhideWhenUsed="0" w:qFormat="1"/>
    <w:lsdException w:name="Closing" w:semiHidden="0" w:uiPriority="0" w:unhideWhenUsed="0" w:qFormat="1"/>
    <w:lsdException w:name="Signature" w:semiHidden="0" w:uiPriority="0" w:unhideWhenUsed="0" w:qFormat="1"/>
    <w:lsdException w:name="Default Paragraph Font" w:semiHidden="0" w:qFormat="1"/>
    <w:lsdException w:name="Body Text" w:semiHidden="0" w:uiPriority="0" w:unhideWhenUsed="0" w:qFormat="1"/>
    <w:lsdException w:name="Body Text Indent" w:semiHidden="0" w:qFormat="1"/>
    <w:lsdException w:name="List Continue" w:semiHidden="0" w:uiPriority="0" w:unhideWhenUsed="0" w:qFormat="1"/>
    <w:lsdException w:name="List Continue 2" w:semiHidden="0" w:uiPriority="0" w:unhideWhenUsed="0" w:qFormat="1"/>
    <w:lsdException w:name="List Continue 3" w:semiHidden="0" w:uiPriority="0" w:unhideWhenUsed="0" w:qFormat="1"/>
    <w:lsdException w:name="List Continue 4" w:semiHidden="0" w:uiPriority="0" w:unhideWhenUsed="0" w:qFormat="1"/>
    <w:lsdException w:name="List Continue 5" w:semiHidden="0" w:uiPriority="0" w:unhideWhenUsed="0" w:qFormat="1"/>
    <w:lsdException w:name="Message Header" w:semiHidden="0" w:uiPriority="0" w:unhideWhenUsed="0" w:qFormat="1"/>
    <w:lsdException w:name="Subtitle" w:locked="1" w:semiHidden="0" w:uiPriority="0" w:unhideWhenUsed="0" w:qFormat="1"/>
    <w:lsdException w:name="Salutation" w:semiHidden="0" w:uiPriority="0" w:unhideWhenUsed="0" w:qFormat="1"/>
    <w:lsdException w:name="Date" w:semiHidden="0" w:uiPriority="0" w:unhideWhenUsed="0" w:qFormat="1"/>
    <w:lsdException w:name="Body Text First Indent" w:semiHidden="0" w:uiPriority="0" w:unhideWhenUsed="0" w:qFormat="1"/>
    <w:lsdException w:name="Body Text First Indent 2" w:semiHidden="0" w:uiPriority="0" w:unhideWhenUsed="0" w:qFormat="1"/>
    <w:lsdException w:name="Note Heading" w:semiHidden="0" w:uiPriority="0" w:unhideWhenUsed="0" w:qFormat="1"/>
    <w:lsdException w:name="Body Text 2" w:semiHidden="0" w:uiPriority="0" w:unhideWhenUsed="0" w:qFormat="1"/>
    <w:lsdException w:name="Body Text 3" w:semiHidden="0" w:uiPriority="0" w:unhideWhenUsed="0" w:qFormat="1"/>
    <w:lsdException w:name="Body Text Indent 2" w:semiHidden="0" w:unhideWhenUsed="0" w:qFormat="1"/>
    <w:lsdException w:name="Body Text Indent 3" w:semiHidden="0" w:uiPriority="0" w:unhideWhenUsed="0" w:qFormat="1"/>
    <w:lsdException w:name="Block Text" w:semiHidden="0" w:uiPriority="0" w:unhideWhenUsed="0" w:qFormat="1"/>
    <w:lsdException w:name="Hyperlink" w:semiHidden="0" w:qFormat="1"/>
    <w:lsdException w:name="FollowedHyperlink" w:semiHidden="0" w:qFormat="1"/>
    <w:lsdException w:name="Strong" w:locked="1" w:semiHidden="0" w:uiPriority="0" w:unhideWhenUsed="0" w:qFormat="1"/>
    <w:lsdException w:name="Emphasis" w:locked="1" w:semiHidden="0" w:uiPriority="0" w:unhideWhenUsed="0" w:qFormat="1"/>
    <w:lsdException w:name="Document Map" w:semiHidden="0" w:uiPriority="0" w:unhideWhenUsed="0" w:qFormat="1"/>
    <w:lsdException w:name="Plain Text" w:semiHidden="0" w:uiPriority="0" w:unhideWhenUsed="0" w:qFormat="1"/>
    <w:lsdException w:name="E-mail Signature" w:semiHidden="0" w:uiPriority="0" w:unhideWhenUsed="0" w:qFormat="1"/>
    <w:lsdException w:name="Normal (Web)" w:semiHidden="0" w:uiPriority="0" w:unhideWhenUsed="0" w:qFormat="1"/>
    <w:lsdException w:name="HTML Acronym" w:semiHidden="0" w:uiPriority="0" w:unhideWhenUsed="0" w:qFormat="1"/>
    <w:lsdException w:name="HTML Address" w:semiHidden="0" w:uiPriority="0" w:unhideWhenUsed="0" w:qFormat="1"/>
    <w:lsdException w:name="HTML Cite" w:semiHidden="0" w:uiPriority="0" w:unhideWhenUsed="0" w:qFormat="1"/>
    <w:lsdException w:name="HTML Code" w:semiHidden="0" w:uiPriority="0" w:unhideWhenUsed="0" w:qFormat="1"/>
    <w:lsdException w:name="HTML Definition" w:semiHidden="0" w:uiPriority="0" w:unhideWhenUsed="0" w:qFormat="1"/>
    <w:lsdException w:name="HTML Keyboard" w:semiHidden="0" w:uiPriority="0" w:unhideWhenUsed="0" w:qFormat="1"/>
    <w:lsdException w:name="HTML Preformatted" w:semiHidden="0" w:qFormat="1"/>
    <w:lsdException w:name="HTML Sample" w:semiHidden="0" w:uiPriority="0" w:unhideWhenUsed="0" w:qFormat="1"/>
    <w:lsdException w:name="HTML Typewriter" w:semiHidden="0" w:uiPriority="0" w:unhideWhenUsed="0" w:qFormat="1"/>
    <w:lsdException w:name="HTML Variable" w:semiHidden="0" w:uiPriority="0" w:unhideWhenUsed="0" w:qFormat="1"/>
    <w:lsdException w:name="Normal Table" w:semiHidden="0" w:uiPriority="0" w:unhideWhenUsed="0" w:qFormat="1"/>
    <w:lsdException w:name="annotation subject" w:semiHidden="0" w:uiPriority="0" w:unhideWhenUsed="0" w:qFormat="1"/>
    <w:lsdException w:name="Table Simple 1" w:semiHidden="0" w:uiPriority="0" w:unhideWhenUsed="0" w:qFormat="1"/>
    <w:lsdException w:name="Table Simple 2" w:semiHidden="0" w:uiPriority="0" w:unhideWhenUsed="0" w:qFormat="1"/>
    <w:lsdException w:name="Table Simple 3" w:semiHidden="0" w:uiPriority="0" w:unhideWhenUsed="0" w:qFormat="1"/>
    <w:lsdException w:name="Table Classic 1" w:semiHidden="0" w:uiPriority="0" w:unhideWhenUsed="0" w:qFormat="1"/>
    <w:lsdException w:name="Table Classic 2" w:semiHidden="0" w:uiPriority="0" w:unhideWhenUsed="0" w:qFormat="1"/>
    <w:lsdException w:name="Table Classic 3" w:semiHidden="0" w:uiPriority="0" w:unhideWhenUsed="0" w:qFormat="1"/>
    <w:lsdException w:name="Table Classic 4" w:semiHidden="0" w:uiPriority="0" w:unhideWhenUsed="0" w:qFormat="1"/>
    <w:lsdException w:name="Table Colorful 1" w:semiHidden="0" w:uiPriority="0" w:unhideWhenUsed="0" w:qFormat="1"/>
    <w:lsdException w:name="Table Colorful 2" w:semiHidden="0" w:uiPriority="0" w:unhideWhenUsed="0" w:qFormat="1"/>
    <w:lsdException w:name="Table Colorful 3" w:semiHidden="0" w:uiPriority="0" w:unhideWhenUsed="0" w:qFormat="1"/>
    <w:lsdException w:name="Table Columns 1" w:semiHidden="0" w:uiPriority="0" w:unhideWhenUsed="0" w:qFormat="1"/>
    <w:lsdException w:name="Table Columns 2" w:semiHidden="0" w:uiPriority="0" w:unhideWhenUsed="0" w:qFormat="1"/>
    <w:lsdException w:name="Table Columns 3" w:semiHidden="0" w:uiPriority="0" w:unhideWhenUsed="0" w:qFormat="1"/>
    <w:lsdException w:name="Table Columns 4" w:semiHidden="0" w:uiPriority="0" w:unhideWhenUsed="0" w:qFormat="1"/>
    <w:lsdException w:name="Table Columns 5" w:semiHidden="0" w:uiPriority="0" w:unhideWhenUsed="0" w:qFormat="1"/>
    <w:lsdException w:name="Table Grid 1" w:semiHidden="0" w:uiPriority="0" w:unhideWhenUsed="0" w:qFormat="1"/>
    <w:lsdException w:name="Table Grid 2" w:semiHidden="0" w:uiPriority="0" w:unhideWhenUsed="0" w:qFormat="1"/>
    <w:lsdException w:name="Table Grid 3" w:semiHidden="0" w:uiPriority="0" w:unhideWhenUsed="0" w:qFormat="1"/>
    <w:lsdException w:name="Table Grid 4" w:semiHidden="0" w:uiPriority="0" w:unhideWhenUsed="0" w:qFormat="1"/>
    <w:lsdException w:name="Table Grid 5" w:semiHidden="0" w:uiPriority="0" w:unhideWhenUsed="0" w:qFormat="1"/>
    <w:lsdException w:name="Table Grid 6" w:semiHidden="0" w:uiPriority="0" w:unhideWhenUsed="0" w:qFormat="1"/>
    <w:lsdException w:name="Table Grid 7" w:semiHidden="0" w:uiPriority="0" w:unhideWhenUsed="0" w:qFormat="1"/>
    <w:lsdException w:name="Table Grid 8" w:semiHidden="0" w:uiPriority="0" w:unhideWhenUsed="0" w:qFormat="1"/>
    <w:lsdException w:name="Table List 1" w:semiHidden="0" w:uiPriority="0" w:unhideWhenUsed="0" w:qFormat="1"/>
    <w:lsdException w:name="Table List 2" w:semiHidden="0" w:uiPriority="0" w:unhideWhenUsed="0" w:qFormat="1"/>
    <w:lsdException w:name="Table List 3" w:semiHidden="0" w:uiPriority="0" w:unhideWhenUsed="0" w:qFormat="1"/>
    <w:lsdException w:name="Table List 4" w:semiHidden="0" w:uiPriority="0" w:unhideWhenUsed="0" w:qFormat="1"/>
    <w:lsdException w:name="Table List 5" w:semiHidden="0" w:uiPriority="0" w:unhideWhenUsed="0" w:qFormat="1"/>
    <w:lsdException w:name="Table List 6" w:semiHidden="0" w:uiPriority="0" w:unhideWhenUsed="0" w:qFormat="1"/>
    <w:lsdException w:name="Table List 7" w:semiHidden="0" w:uiPriority="0" w:unhideWhenUsed="0" w:qFormat="1"/>
    <w:lsdException w:name="Table List 8" w:semiHidden="0" w:uiPriority="0" w:unhideWhenUsed="0" w:qFormat="1"/>
    <w:lsdException w:name="Table 3D effects 1" w:semiHidden="0" w:uiPriority="0" w:unhideWhenUsed="0" w:qFormat="1"/>
    <w:lsdException w:name="Table 3D effects 2" w:semiHidden="0" w:uiPriority="0" w:unhideWhenUsed="0" w:qFormat="1"/>
    <w:lsdException w:name="Table 3D effects 3" w:semiHidden="0" w:uiPriority="0" w:unhideWhenUsed="0" w:qFormat="1"/>
    <w:lsdException w:name="Table Contemporary" w:semiHidden="0" w:uiPriority="0" w:unhideWhenUsed="0" w:qFormat="1"/>
    <w:lsdException w:name="Table Elegant" w:semiHidden="0" w:uiPriority="0" w:unhideWhenUsed="0" w:qFormat="1"/>
    <w:lsdException w:name="Table Professional" w:semiHidden="0" w:uiPriority="0" w:unhideWhenUsed="0" w:qFormat="1"/>
    <w:lsdException w:name="Table Subtle 1" w:semiHidden="0" w:uiPriority="0" w:unhideWhenUsed="0" w:qFormat="1"/>
    <w:lsdException w:name="Table Subtle 2" w:semiHidden="0" w:uiPriority="0" w:unhideWhenUsed="0" w:qFormat="1"/>
    <w:lsdException w:name="Table Web 1" w:semiHidden="0" w:uiPriority="0" w:unhideWhenUsed="0" w:qFormat="1"/>
    <w:lsdException w:name="Table Web 2" w:semiHidden="0" w:uiPriority="0" w:unhideWhenUsed="0" w:qFormat="1"/>
    <w:lsdException w:name="Table Web 3" w:semiHidden="0" w:uiPriority="0" w:unhideWhenUsed="0" w:qFormat="1"/>
    <w:lsdException w:name="Balloon Text" w:semiHidden="0" w:qFormat="1"/>
    <w:lsdException w:name="Table Grid" w:locked="1" w:semiHidden="0" w:uiPriority="0" w:unhideWhenUsed="0" w:qFormat="1"/>
    <w:lsdException w:name="Table Theme"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99"/>
    <w:unhideWhenUsed/>
    <w:qFormat/>
    <w:pPr>
      <w:widowControl w:val="0"/>
      <w:jc w:val="both"/>
    </w:pPr>
    <w:rPr>
      <w:rFonts w:ascii="Calibri" w:eastAsia="宋体" w:hAnsi="Calibri" w:cs="Times New Roman" w:hint="eastAsia"/>
      <w:kern w:val="2"/>
      <w:sz w:val="21"/>
      <w:lang w:val="en-US" w:eastAsia="zh-CN"/>
    </w:rPr>
  </w:style>
  <w:style w:type="paragraph" w:styleId="Heading1">
    <w:name w:val="heading 1"/>
    <w:basedOn w:val="Normal"/>
    <w:next w:val="Normal"/>
    <w:link w:val="1Char"/>
    <w:uiPriority w:val="99"/>
    <w:unhideWhenUsed/>
    <w:qFormat/>
    <w:pPr>
      <w:widowControl/>
      <w:spacing w:before="100" w:beforeAutospacing="1" w:after="100" w:afterAutospacing="1"/>
      <w:jc w:val="left"/>
      <w:outlineLvl w:val="0"/>
    </w:pPr>
    <w:rPr>
      <w:rFonts w:ascii="宋体" w:hAnsi="宋体" w:hint="eastAsia"/>
      <w:b/>
      <w:kern w:val="36"/>
      <w:sz w:val="48"/>
    </w:rPr>
  </w:style>
  <w:style w:type="character" w:default="1" w:styleId="DefaultParagraphFont">
    <w:name w:val="Default Paragraph Font"/>
    <w:uiPriority w:val="99"/>
    <w:unhideWhenUsed/>
    <w:qFormat/>
    <w:rPr>
      <w:rFonts w:hint="default"/>
      <w:sz w:val="24"/>
    </w:rPr>
  </w:style>
  <w:style w:type="table" w:default="1" w:styleId="TableNormal">
    <w:name w:val="Normal Table"/>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
    <w:name w:val="Body Text"/>
    <w:basedOn w:val="Normal"/>
    <w:qFormat/>
    <w:pPr>
      <w:spacing w:line="360" w:lineRule="auto"/>
    </w:pPr>
    <w:rPr>
      <w:rFonts w:eastAsia="楷体_GB2312"/>
      <w:color w:val="FF6600"/>
      <w:sz w:val="24"/>
    </w:rPr>
  </w:style>
  <w:style w:type="paragraph" w:styleId="BodyTextIndent">
    <w:name w:val="Body Text Indent"/>
    <w:basedOn w:val="Normal"/>
    <w:link w:val="Char11"/>
    <w:uiPriority w:val="99"/>
    <w:unhideWhenUsed/>
    <w:qFormat/>
    <w:pPr>
      <w:spacing w:after="120"/>
      <w:ind w:left="420" w:leftChars="200"/>
    </w:pPr>
    <w:rPr>
      <w:rFonts w:ascii="Times New Roman" w:hAnsi="Times New Roman" w:hint="eastAsia"/>
      <w:sz w:val="21"/>
    </w:rPr>
  </w:style>
  <w:style w:type="paragraph" w:styleId="BodyTextIndent2">
    <w:name w:val="Body Text Indent 2"/>
    <w:basedOn w:val="Normal"/>
    <w:uiPriority w:val="99"/>
    <w:qFormat/>
    <w:pPr>
      <w:spacing w:after="120" w:line="480" w:lineRule="auto"/>
      <w:ind w:left="200" w:leftChars="200"/>
    </w:pPr>
  </w:style>
  <w:style w:type="paragraph" w:styleId="BalloonText">
    <w:name w:val="Balloon Text"/>
    <w:basedOn w:val="Normal"/>
    <w:link w:val="Char10"/>
    <w:uiPriority w:val="99"/>
    <w:unhideWhenUsed/>
    <w:qFormat/>
    <w:rPr>
      <w:rFonts w:hint="eastAsia"/>
      <w:sz w:val="18"/>
    </w:rPr>
  </w:style>
  <w:style w:type="paragraph" w:styleId="Footer">
    <w:name w:val="footer"/>
    <w:basedOn w:val="Normal"/>
    <w:link w:val="Char12"/>
    <w:uiPriority w:val="99"/>
    <w:unhideWhenUsed/>
    <w:qFormat/>
    <w:pPr>
      <w:tabs>
        <w:tab w:val="center" w:pos="4153"/>
        <w:tab w:val="right" w:pos="8306"/>
      </w:tabs>
      <w:snapToGrid w:val="0"/>
      <w:jc w:val="left"/>
    </w:pPr>
    <w:rPr>
      <w:rFonts w:hint="eastAsia"/>
      <w:sz w:val="18"/>
    </w:rPr>
  </w:style>
  <w:style w:type="paragraph" w:styleId="Header">
    <w:name w:val="header"/>
    <w:basedOn w:val="Normal"/>
    <w:link w:val="Char1"/>
    <w:uiPriority w:val="99"/>
    <w:unhideWhenUsed/>
    <w:qFormat/>
    <w:pPr>
      <w:pBdr>
        <w:bottom w:val="single" w:sz="6" w:space="1" w:color="auto"/>
      </w:pBdr>
      <w:tabs>
        <w:tab w:val="center" w:pos="4153"/>
        <w:tab w:val="right" w:pos="8306"/>
      </w:tabs>
      <w:snapToGrid w:val="0"/>
      <w:jc w:val="center"/>
    </w:pPr>
    <w:rPr>
      <w:rFonts w:hint="eastAsia"/>
      <w:sz w:val="18"/>
    </w:rPr>
  </w:style>
  <w:style w:type="paragraph" w:styleId="HTMLPreformatted">
    <w:name w:val="HTML Preformatted"/>
    <w:basedOn w:val="Normal"/>
    <w:link w:val="HTML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sz w:val="24"/>
    </w:rPr>
  </w:style>
  <w:style w:type="paragraph" w:styleId="NormalWeb">
    <w:name w:val="Normal (Web)"/>
    <w:basedOn w:val="Normal"/>
    <w:qFormat/>
    <w:rPr>
      <w:sz w:val="24"/>
    </w:rPr>
  </w:style>
  <w:style w:type="character" w:styleId="PageNumber">
    <w:name w:val="page number"/>
    <w:basedOn w:val="DefaultParagraphFont"/>
    <w:uiPriority w:val="99"/>
    <w:unhideWhenUsed/>
    <w:qFormat/>
    <w:rPr>
      <w:rFonts w:ascii="Times New Roman" w:eastAsia="宋体" w:hAnsi="Times New Roman" w:hint="default"/>
      <w:sz w:val="24"/>
    </w:rPr>
  </w:style>
  <w:style w:type="character" w:styleId="FollowedHyperlink">
    <w:name w:val="FollowedHyperlink"/>
    <w:basedOn w:val="DefaultParagraphFont"/>
    <w:uiPriority w:val="99"/>
    <w:unhideWhenUsed/>
    <w:qFormat/>
    <w:rPr>
      <w:rFonts w:ascii="Times New Roman" w:eastAsia="宋体" w:hAnsi="Times New Roman" w:hint="default"/>
      <w:sz w:val="24"/>
      <w:u w:val="single"/>
    </w:rPr>
  </w:style>
  <w:style w:type="character" w:styleId="Emphasis">
    <w:name w:val="Emphasis"/>
    <w:basedOn w:val="DefaultParagraphFont"/>
    <w:qFormat/>
    <w:locked/>
    <w:rPr>
      <w:i/>
    </w:rPr>
  </w:style>
  <w:style w:type="character" w:styleId="Hyperlink">
    <w:name w:val="Hyperlink"/>
    <w:basedOn w:val="DefaultParagraphFont"/>
    <w:uiPriority w:val="99"/>
    <w:unhideWhenUsed/>
    <w:qFormat/>
    <w:rPr>
      <w:rFonts w:ascii="Times New Roman" w:eastAsia="宋体" w:hAnsi="Times New Roman" w:hint="default"/>
      <w:sz w:val="24"/>
      <w:u w:val="single"/>
    </w:rPr>
  </w:style>
  <w:style w:type="paragraph" w:customStyle="1" w:styleId="Style2">
    <w:name w:val="_Style 2"/>
    <w:basedOn w:val="Normal"/>
    <w:uiPriority w:val="34"/>
    <w:unhideWhenUsed/>
    <w:qFormat/>
    <w:pPr>
      <w:adjustRightInd w:val="0"/>
      <w:ind w:firstLine="420" w:firstLineChars="200"/>
      <w:jc w:val="left"/>
      <w:textAlignment w:val="baseline"/>
    </w:pPr>
    <w:rPr>
      <w:rFonts w:ascii="Times New Roman" w:hAnsi="Times New Roman" w:hint="eastAsia"/>
      <w:sz w:val="24"/>
    </w:rPr>
  </w:style>
  <w:style w:type="paragraph" w:customStyle="1" w:styleId="Style1">
    <w:name w:val="_Style 1"/>
    <w:basedOn w:val="Normal"/>
    <w:uiPriority w:val="99"/>
    <w:unhideWhenUsed/>
    <w:qFormat/>
    <w:pPr>
      <w:ind w:firstLine="420" w:firstLineChars="200"/>
    </w:pPr>
    <w:rPr>
      <w:rFonts w:hint="eastAsia"/>
      <w:sz w:val="21"/>
    </w:rPr>
  </w:style>
  <w:style w:type="paragraph" w:customStyle="1" w:styleId="ListParagraph1">
    <w:name w:val="List Paragraph1"/>
    <w:basedOn w:val="Normal"/>
    <w:uiPriority w:val="99"/>
    <w:unhideWhenUsed/>
    <w:qFormat/>
    <w:pPr>
      <w:ind w:firstLine="420" w:firstLineChars="200"/>
    </w:pPr>
    <w:rPr>
      <w:rFonts w:hint="eastAsia"/>
      <w:sz w:val="21"/>
    </w:rPr>
  </w:style>
  <w:style w:type="character" w:customStyle="1" w:styleId="Char">
    <w:name w:val="批注框文本 Char"/>
    <w:basedOn w:val="DefaultParagraphFont"/>
    <w:uiPriority w:val="99"/>
    <w:unhideWhenUsed/>
    <w:qFormat/>
    <w:rPr>
      <w:rFonts w:ascii="Calibri" w:eastAsia="宋体" w:hAnsi="Times New Roman" w:hint="default"/>
      <w:sz w:val="18"/>
    </w:rPr>
  </w:style>
  <w:style w:type="character" w:customStyle="1" w:styleId="Char1">
    <w:name w:val="页眉 Char1"/>
    <w:basedOn w:val="DefaultParagraphFont"/>
    <w:link w:val="Header"/>
    <w:uiPriority w:val="99"/>
    <w:unhideWhenUsed/>
    <w:qFormat/>
    <w:locked/>
    <w:rPr>
      <w:rFonts w:ascii="Times New Roman" w:eastAsia="宋体" w:hAnsi="Times New Roman" w:hint="default"/>
      <w:sz w:val="18"/>
    </w:rPr>
  </w:style>
  <w:style w:type="character" w:customStyle="1" w:styleId="1Char">
    <w:name w:val="标题 1 Char"/>
    <w:basedOn w:val="DefaultParagraphFont"/>
    <w:link w:val="Heading1"/>
    <w:uiPriority w:val="99"/>
    <w:unhideWhenUsed/>
    <w:qFormat/>
    <w:locked/>
    <w:rPr>
      <w:rFonts w:ascii="宋体" w:eastAsia="宋体" w:hAnsi="Times New Roman" w:hint="eastAsia"/>
      <w:b/>
      <w:kern w:val="36"/>
      <w:sz w:val="48"/>
    </w:rPr>
  </w:style>
  <w:style w:type="character" w:customStyle="1" w:styleId="HTMLChar">
    <w:name w:val="HTML 预设格式 Char"/>
    <w:basedOn w:val="DefaultParagraphFont"/>
    <w:link w:val="HTMLPreformatted"/>
    <w:uiPriority w:val="99"/>
    <w:unhideWhenUsed/>
    <w:qFormat/>
    <w:locked/>
    <w:rPr>
      <w:rFonts w:ascii="Courier New" w:eastAsia="宋体" w:hAnsi="Times New Roman" w:hint="default"/>
      <w:sz w:val="20"/>
    </w:rPr>
  </w:style>
  <w:style w:type="character" w:customStyle="1" w:styleId="Char10">
    <w:name w:val="批注框文本 Char1"/>
    <w:basedOn w:val="DefaultParagraphFont"/>
    <w:link w:val="BalloonText"/>
    <w:uiPriority w:val="99"/>
    <w:unhideWhenUsed/>
    <w:qFormat/>
    <w:locked/>
    <w:rPr>
      <w:rFonts w:ascii="Times New Roman" w:eastAsia="宋体" w:hAnsi="Times New Roman" w:hint="default"/>
      <w:sz w:val="18"/>
    </w:rPr>
  </w:style>
  <w:style w:type="character" w:customStyle="1" w:styleId="Char0">
    <w:name w:val="页脚 Char"/>
    <w:basedOn w:val="DefaultParagraphFont"/>
    <w:uiPriority w:val="99"/>
    <w:unhideWhenUsed/>
    <w:qFormat/>
    <w:rPr>
      <w:rFonts w:ascii="Calibri" w:eastAsia="宋体" w:hAnsi="Times New Roman" w:hint="default"/>
      <w:sz w:val="18"/>
    </w:rPr>
  </w:style>
  <w:style w:type="character" w:customStyle="1" w:styleId="Char11">
    <w:name w:val="正文文本缩进 Char1"/>
    <w:basedOn w:val="DefaultParagraphFont"/>
    <w:link w:val="BodyTextIndent"/>
    <w:uiPriority w:val="99"/>
    <w:unhideWhenUsed/>
    <w:qFormat/>
    <w:locked/>
    <w:rPr>
      <w:rFonts w:ascii="宋体" w:eastAsia="宋体" w:hAnsi="Times New Roman" w:hint="eastAsia"/>
      <w:sz w:val="20"/>
    </w:rPr>
  </w:style>
  <w:style w:type="character" w:customStyle="1" w:styleId="Char12">
    <w:name w:val="页脚 Char1"/>
    <w:basedOn w:val="DefaultParagraphFont"/>
    <w:link w:val="Footer"/>
    <w:uiPriority w:val="99"/>
    <w:unhideWhenUsed/>
    <w:qFormat/>
    <w:locked/>
    <w:rPr>
      <w:rFonts w:ascii="Times New Roman" w:eastAsia="宋体" w:hAnsi="Times New Roman" w:hint="default"/>
      <w:sz w:val="18"/>
    </w:rPr>
  </w:style>
  <w:style w:type="character" w:customStyle="1" w:styleId="Char2">
    <w:name w:val="正文文本缩进 Char"/>
    <w:basedOn w:val="DefaultParagraphFont"/>
    <w:uiPriority w:val="99"/>
    <w:unhideWhenUsed/>
    <w:qFormat/>
    <w:rPr>
      <w:rFonts w:ascii="Calibri" w:eastAsia="宋体" w:hAnsi="Times New Roman" w:hint="default"/>
      <w:sz w:val="21"/>
    </w:rPr>
  </w:style>
  <w:style w:type="character" w:customStyle="1" w:styleId="Char3">
    <w:name w:val="页眉 Char"/>
    <w:basedOn w:val="DefaultParagraphFont"/>
    <w:uiPriority w:val="99"/>
    <w:unhideWhenUsed/>
    <w:qFormat/>
    <w:rPr>
      <w:rFonts w:ascii="Calibri" w:eastAsia="宋体" w:hAnsi="Times New Roman" w:hint="default"/>
      <w:sz w:val="18"/>
    </w:rPr>
  </w:style>
  <w:style w:type="paragraph" w:customStyle="1" w:styleId="a">
    <w:name w:val="È±Ê¡ÎÄ±¾"/>
    <w:basedOn w:val="Normal"/>
    <w:qFormat/>
    <w:pPr>
      <w:widowControl/>
      <w:overflowPunct w:val="0"/>
      <w:autoSpaceDE w:val="0"/>
      <w:autoSpaceDN w:val="0"/>
      <w:adjustRightInd w:val="0"/>
      <w:spacing w:line="240" w:lineRule="auto"/>
      <w:ind w:firstLine="0" w:firstLineChars="0"/>
      <w:jc w:val="left"/>
      <w:textAlignment w:val="baseline"/>
    </w:pPr>
    <w:rPr>
      <w:kern w:val="0"/>
    </w:rPr>
  </w:style>
  <w:style w:type="paragraph" w:customStyle="1" w:styleId="a0">
    <w:name w:val="首段落"/>
    <w:basedOn w:val="Normal"/>
    <w:qFormat/>
    <w:pPr>
      <w:spacing w:before="120" w:beforeLines="50" w:line="500" w:lineRule="exact"/>
      <w:ind w:firstLine="561"/>
    </w:pPr>
    <w:rPr>
      <w:rFonts w:eastAsia="仿宋_GB2312"/>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yperlink" Target="https://d.book118.com/816204143125010042" TargetMode="Externa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theme" Target="theme/theme1.xml" /><Relationship Id="rId34" Type="http://schemas.openxmlformats.org/officeDocument/2006/relationships/numbering" Target="numbering.xml" /><Relationship Id="rId35"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liusong</dc:creator>
  <cp:lastModifiedBy>北极的落叶</cp:lastModifiedBy>
  <cp:revision>0</cp:revision>
  <dcterms:created xsi:type="dcterms:W3CDTF">2016-11-02T01:12:00Z</dcterms:created>
  <dcterms:modified xsi:type="dcterms:W3CDTF">2022-01-18T04:57:03Z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D2CB6576170D464B96C07C1B5F8FBBBA</vt:lpwstr>
  </property>
  <property fmtid="{D5CDD505-2E9C-101B-9397-08002B2CF9AE}" pid="3" name="KSOProductBuildVer">
    <vt:lpwstr>2052-11.1.0.11294</vt:lpwstr>
  </property>
</Properties>
</file>