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2024年烟草行业趋势报告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3133"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_Toc13133 \h </w:instrText>
        </w:r>
        <w:r>
          <w:fldChar w:fldCharType="separate"/>
        </w:r>
        <w:r>
          <w:t>4</w:t>
        </w:r>
        <w:r>
          <w:fldChar w:fldCharType="end"/>
        </w:r>
      </w:hyperlink>
    </w:p>
    <w:p>
      <w:pPr>
        <w:pStyle w:val="TOC1"/>
        <w:tabs>
          <w:tab w:val="right" w:leader="dot" w:pos="8306"/>
        </w:tabs>
      </w:pPr>
      <w:hyperlink w:anchor="_Toc25316" w:history="1">
        <w:r>
          <w:rPr>
            <w:rFonts w:ascii="微软雅黑" w:eastAsia="微软雅黑" w:hAnsi="微软雅黑" w:cs="微软雅黑" w:hint="eastAsia"/>
            <w:color w:val="001CAC" w:themeColor="hyperlink" w:themeShade="BF"/>
            <w:szCs w:val="32"/>
            <w:lang w:eastAsia="zh-CN"/>
          </w:rPr>
          <w:t>一、制度建设与管理</w:t>
        </w:r>
        <w:r>
          <w:tab/>
        </w:r>
        <w:r>
          <w:fldChar w:fldCharType="begin"/>
        </w:r>
        <w:r>
          <w:instrText xml:space="preserve"> PAGEREF _Toc25316 \h </w:instrText>
        </w:r>
        <w:r>
          <w:fldChar w:fldCharType="separate"/>
        </w:r>
        <w:r>
          <w:t>4</w:t>
        </w:r>
        <w:r>
          <w:fldChar w:fldCharType="end"/>
        </w:r>
      </w:hyperlink>
    </w:p>
    <w:p>
      <w:pPr>
        <w:pStyle w:val="TOC2"/>
        <w:tabs>
          <w:tab w:val="right" w:leader="dot" w:pos="8306"/>
        </w:tabs>
      </w:pPr>
      <w:hyperlink w:anchor="_Toc3453" w:history="1">
        <w:r>
          <w:rPr>
            <w:rFonts w:ascii="宋体" w:eastAsia="宋体" w:hAnsi="宋体" w:cs="宋体" w:hint="eastAsia"/>
            <w:bCs w:val="0"/>
            <w:szCs w:val="28"/>
            <w:lang w:eastAsia="zh-CN"/>
          </w:rPr>
          <w:t>(一)、公司治理结构</w:t>
        </w:r>
        <w:r>
          <w:tab/>
        </w:r>
        <w:r>
          <w:fldChar w:fldCharType="begin"/>
        </w:r>
        <w:r>
          <w:instrText xml:space="preserve"> PAGEREF _Toc3453 \h </w:instrText>
        </w:r>
        <w:r>
          <w:fldChar w:fldCharType="separate"/>
        </w:r>
        <w:r>
          <w:t>4</w:t>
        </w:r>
        <w:r>
          <w:fldChar w:fldCharType="end"/>
        </w:r>
      </w:hyperlink>
    </w:p>
    <w:p>
      <w:pPr>
        <w:pStyle w:val="TOC2"/>
        <w:tabs>
          <w:tab w:val="right" w:leader="dot" w:pos="8306"/>
        </w:tabs>
      </w:pPr>
      <w:hyperlink w:anchor="_Toc5572" w:history="1">
        <w:r>
          <w:rPr>
            <w:rFonts w:ascii="宋体" w:eastAsia="宋体" w:hAnsi="宋体" w:cs="宋体" w:hint="eastAsia"/>
            <w:bCs w:val="0"/>
            <w:szCs w:val="28"/>
            <w:lang w:eastAsia="zh-CN"/>
          </w:rPr>
          <w:t>(二)、内部控制与审计</w:t>
        </w:r>
        <w:r>
          <w:tab/>
        </w:r>
        <w:r>
          <w:fldChar w:fldCharType="begin"/>
        </w:r>
        <w:r>
          <w:instrText xml:space="preserve"> PAGEREF _Toc5572 \h </w:instrText>
        </w:r>
        <w:r>
          <w:fldChar w:fldCharType="separate"/>
        </w:r>
        <w:r>
          <w:t>5</w:t>
        </w:r>
        <w:r>
          <w:fldChar w:fldCharType="end"/>
        </w:r>
      </w:hyperlink>
    </w:p>
    <w:p>
      <w:pPr>
        <w:pStyle w:val="TOC2"/>
        <w:tabs>
          <w:tab w:val="right" w:leader="dot" w:pos="8306"/>
        </w:tabs>
      </w:pPr>
      <w:hyperlink w:anchor="_Toc2090" w:history="1">
        <w:r>
          <w:rPr>
            <w:rFonts w:ascii="宋体" w:eastAsia="宋体" w:hAnsi="宋体" w:cs="宋体" w:hint="eastAsia"/>
            <w:bCs w:val="0"/>
            <w:szCs w:val="28"/>
            <w:lang w:eastAsia="zh-CN"/>
          </w:rPr>
          <w:t>(三)、法律法规合规体系</w:t>
        </w:r>
        <w:r>
          <w:tab/>
        </w:r>
        <w:r>
          <w:fldChar w:fldCharType="begin"/>
        </w:r>
        <w:r>
          <w:instrText xml:space="preserve"> PAGEREF _Toc2090 \h </w:instrText>
        </w:r>
        <w:r>
          <w:fldChar w:fldCharType="separate"/>
        </w:r>
        <w:r>
          <w:t>6</w:t>
        </w:r>
        <w:r>
          <w:fldChar w:fldCharType="end"/>
        </w:r>
      </w:hyperlink>
    </w:p>
    <w:p>
      <w:pPr>
        <w:pStyle w:val="TOC1"/>
        <w:tabs>
          <w:tab w:val="right" w:leader="dot" w:pos="8306"/>
        </w:tabs>
      </w:pPr>
      <w:hyperlink w:anchor="_Toc25849" w:history="1">
        <w:r>
          <w:rPr>
            <w:rFonts w:ascii="微软雅黑" w:eastAsia="微软雅黑" w:hAnsi="微软雅黑" w:cs="微软雅黑" w:hint="eastAsia"/>
            <w:color w:val="001CAC" w:themeColor="hyperlink" w:themeShade="BF"/>
            <w:szCs w:val="32"/>
            <w:lang w:eastAsia="zh-CN"/>
          </w:rPr>
          <w:t>二、公司文化与社会责任</w:t>
        </w:r>
        <w:r>
          <w:tab/>
        </w:r>
        <w:r>
          <w:fldChar w:fldCharType="begin"/>
        </w:r>
        <w:r>
          <w:instrText xml:space="preserve"> PAGEREF _Toc25849 \h </w:instrText>
        </w:r>
        <w:r>
          <w:fldChar w:fldCharType="separate"/>
        </w:r>
        <w:r>
          <w:t>6</w:t>
        </w:r>
        <w:r>
          <w:fldChar w:fldCharType="end"/>
        </w:r>
      </w:hyperlink>
    </w:p>
    <w:p>
      <w:pPr>
        <w:pStyle w:val="TOC2"/>
        <w:tabs>
          <w:tab w:val="right" w:leader="dot" w:pos="8306"/>
        </w:tabs>
      </w:pPr>
      <w:hyperlink w:anchor="_Toc29044" w:history="1">
        <w:r>
          <w:rPr>
            <w:rFonts w:ascii="宋体" w:eastAsia="宋体" w:hAnsi="宋体" w:cs="宋体" w:hint="eastAsia"/>
            <w:bCs w:val="0"/>
            <w:szCs w:val="28"/>
            <w:lang w:eastAsia="zh-CN"/>
          </w:rPr>
          <w:t>(一)、公司文化建设</w:t>
        </w:r>
        <w:r>
          <w:tab/>
        </w:r>
        <w:r>
          <w:fldChar w:fldCharType="begin"/>
        </w:r>
        <w:r>
          <w:instrText xml:space="preserve"> PAGEREF _Toc29044 \h </w:instrText>
        </w:r>
        <w:r>
          <w:fldChar w:fldCharType="separate"/>
        </w:r>
        <w:r>
          <w:t>6</w:t>
        </w:r>
        <w:r>
          <w:fldChar w:fldCharType="end"/>
        </w:r>
      </w:hyperlink>
    </w:p>
    <w:p>
      <w:pPr>
        <w:pStyle w:val="TOC2"/>
        <w:tabs>
          <w:tab w:val="right" w:leader="dot" w:pos="8306"/>
        </w:tabs>
      </w:pPr>
      <w:hyperlink w:anchor="_Toc26237" w:history="1">
        <w:r>
          <w:rPr>
            <w:rFonts w:ascii="宋体" w:eastAsia="宋体" w:hAnsi="宋体" w:cs="宋体" w:hint="eastAsia"/>
            <w:bCs w:val="0"/>
            <w:szCs w:val="28"/>
            <w:lang w:eastAsia="zh-CN"/>
          </w:rPr>
          <w:t>(二)、企业社会责任与可持续发展</w:t>
        </w:r>
        <w:r>
          <w:tab/>
        </w:r>
        <w:r>
          <w:fldChar w:fldCharType="begin"/>
        </w:r>
        <w:r>
          <w:instrText xml:space="preserve"> PAGEREF _Toc26237 \h </w:instrText>
        </w:r>
        <w:r>
          <w:fldChar w:fldCharType="separate"/>
        </w:r>
        <w:r>
          <w:t>7</w:t>
        </w:r>
        <w:r>
          <w:fldChar w:fldCharType="end"/>
        </w:r>
      </w:hyperlink>
    </w:p>
    <w:p>
      <w:pPr>
        <w:pStyle w:val="TOC1"/>
        <w:tabs>
          <w:tab w:val="right" w:leader="dot" w:pos="8306"/>
        </w:tabs>
      </w:pPr>
      <w:hyperlink w:anchor="_Toc28258" w:history="1">
        <w:r>
          <w:rPr>
            <w:rFonts w:ascii="微软雅黑" w:eastAsia="微软雅黑" w:hAnsi="微软雅黑" w:cs="微软雅黑" w:hint="eastAsia"/>
            <w:color w:val="001CAC" w:themeColor="hyperlink" w:themeShade="BF"/>
            <w:szCs w:val="32"/>
            <w:lang w:eastAsia="zh-CN"/>
          </w:rPr>
          <w:t>三、质量管理与持续改进</w:t>
        </w:r>
        <w:r>
          <w:tab/>
        </w:r>
        <w:r>
          <w:fldChar w:fldCharType="begin"/>
        </w:r>
        <w:r>
          <w:instrText xml:space="preserve"> PAGEREF _Toc28258 \h </w:instrText>
        </w:r>
        <w:r>
          <w:fldChar w:fldCharType="separate"/>
        </w:r>
        <w:r>
          <w:t>8</w:t>
        </w:r>
        <w:r>
          <w:fldChar w:fldCharType="end"/>
        </w:r>
      </w:hyperlink>
    </w:p>
    <w:p>
      <w:pPr>
        <w:pStyle w:val="TOC2"/>
        <w:tabs>
          <w:tab w:val="right" w:leader="dot" w:pos="8306"/>
        </w:tabs>
      </w:pPr>
      <w:hyperlink w:anchor="_Toc15974" w:history="1">
        <w:r>
          <w:rPr>
            <w:rFonts w:ascii="宋体" w:eastAsia="宋体" w:hAnsi="宋体" w:cs="宋体" w:hint="eastAsia"/>
            <w:bCs w:val="0"/>
            <w:szCs w:val="28"/>
            <w:lang w:eastAsia="zh-CN"/>
          </w:rPr>
          <w:t>(一)、质量管理体系建设</w:t>
        </w:r>
        <w:r>
          <w:tab/>
        </w:r>
        <w:r>
          <w:fldChar w:fldCharType="begin"/>
        </w:r>
        <w:r>
          <w:instrText xml:space="preserve"> PAGEREF _Toc15974 \h </w:instrText>
        </w:r>
        <w:r>
          <w:fldChar w:fldCharType="separate"/>
        </w:r>
        <w:r>
          <w:t>8</w:t>
        </w:r>
        <w:r>
          <w:fldChar w:fldCharType="end"/>
        </w:r>
      </w:hyperlink>
    </w:p>
    <w:p>
      <w:pPr>
        <w:pStyle w:val="TOC2"/>
        <w:tabs>
          <w:tab w:val="right" w:leader="dot" w:pos="8306"/>
        </w:tabs>
      </w:pPr>
      <w:hyperlink w:anchor="_Toc307" w:history="1">
        <w:r>
          <w:rPr>
            <w:rFonts w:ascii="宋体" w:eastAsia="宋体" w:hAnsi="宋体" w:cs="宋体" w:hint="eastAsia"/>
            <w:bCs w:val="0"/>
            <w:szCs w:val="28"/>
            <w:lang w:eastAsia="zh-CN"/>
          </w:rPr>
          <w:t>(二)、生产过程控制与优化</w:t>
        </w:r>
        <w:r>
          <w:tab/>
        </w:r>
        <w:r>
          <w:fldChar w:fldCharType="begin"/>
        </w:r>
        <w:r>
          <w:instrText xml:space="preserve"> PAGEREF _Toc307 \h </w:instrText>
        </w:r>
        <w:r>
          <w:fldChar w:fldCharType="separate"/>
        </w:r>
        <w:r>
          <w:t>9</w:t>
        </w:r>
        <w:r>
          <w:fldChar w:fldCharType="end"/>
        </w:r>
      </w:hyperlink>
    </w:p>
    <w:p>
      <w:pPr>
        <w:pStyle w:val="TOC2"/>
        <w:tabs>
          <w:tab w:val="right" w:leader="dot" w:pos="8306"/>
        </w:tabs>
      </w:pPr>
      <w:hyperlink w:anchor="_Toc8811" w:history="1">
        <w:r>
          <w:rPr>
            <w:rFonts w:ascii="宋体" w:eastAsia="宋体" w:hAnsi="宋体" w:cs="宋体" w:hint="eastAsia"/>
            <w:bCs w:val="0"/>
            <w:szCs w:val="28"/>
            <w:lang w:eastAsia="zh-CN"/>
          </w:rPr>
          <w:t>(三)、产品质量检验与测试</w:t>
        </w:r>
        <w:r>
          <w:tab/>
        </w:r>
        <w:r>
          <w:fldChar w:fldCharType="begin"/>
        </w:r>
        <w:r>
          <w:instrText xml:space="preserve"> PAGEREF _Toc8811 \h </w:instrText>
        </w:r>
        <w:r>
          <w:fldChar w:fldCharType="separate"/>
        </w:r>
        <w:r>
          <w:t>10</w:t>
        </w:r>
        <w:r>
          <w:fldChar w:fldCharType="end"/>
        </w:r>
      </w:hyperlink>
    </w:p>
    <w:p>
      <w:pPr>
        <w:pStyle w:val="TOC2"/>
        <w:tabs>
          <w:tab w:val="right" w:leader="dot" w:pos="8306"/>
        </w:tabs>
      </w:pPr>
      <w:hyperlink w:anchor="_Toc15189" w:history="1">
        <w:r>
          <w:rPr>
            <w:rFonts w:ascii="宋体" w:eastAsia="宋体" w:hAnsi="宋体" w:cs="宋体" w:hint="eastAsia"/>
            <w:bCs w:val="0"/>
            <w:szCs w:val="28"/>
            <w:lang w:eastAsia="zh-CN"/>
          </w:rPr>
          <w:t>(四)、用户反馈与质量改进</w:t>
        </w:r>
        <w:r>
          <w:tab/>
        </w:r>
        <w:r>
          <w:fldChar w:fldCharType="begin"/>
        </w:r>
        <w:r>
          <w:instrText xml:space="preserve"> PAGEREF _Toc15189 \h </w:instrText>
        </w:r>
        <w:r>
          <w:fldChar w:fldCharType="separate"/>
        </w:r>
        <w:r>
          <w:t>10</w:t>
        </w:r>
        <w:r>
          <w:fldChar w:fldCharType="end"/>
        </w:r>
      </w:hyperlink>
    </w:p>
    <w:p>
      <w:pPr>
        <w:pStyle w:val="TOC1"/>
        <w:tabs>
          <w:tab w:val="right" w:leader="dot" w:pos="8306"/>
        </w:tabs>
      </w:pPr>
      <w:hyperlink w:anchor="_Toc3732" w:history="1">
        <w:r>
          <w:rPr>
            <w:rFonts w:ascii="微软雅黑" w:eastAsia="微软雅黑" w:hAnsi="微软雅黑" w:cs="微软雅黑" w:hint="eastAsia"/>
            <w:color w:val="001CAC" w:themeColor="hyperlink" w:themeShade="BF"/>
            <w:szCs w:val="32"/>
            <w:lang w:eastAsia="zh-CN"/>
          </w:rPr>
          <w:t>四、烟草行业运营管理及商业模式分析</w:t>
        </w:r>
        <w:r>
          <w:tab/>
        </w:r>
        <w:r>
          <w:fldChar w:fldCharType="begin"/>
        </w:r>
        <w:r>
          <w:instrText xml:space="preserve"> PAGEREF _Toc3732 \h </w:instrText>
        </w:r>
        <w:r>
          <w:fldChar w:fldCharType="separate"/>
        </w:r>
        <w:r>
          <w:t>11</w:t>
        </w:r>
        <w:r>
          <w:fldChar w:fldCharType="end"/>
        </w:r>
      </w:hyperlink>
    </w:p>
    <w:p>
      <w:pPr>
        <w:pStyle w:val="TOC2"/>
        <w:tabs>
          <w:tab w:val="right" w:leader="dot" w:pos="8306"/>
        </w:tabs>
      </w:pPr>
      <w:hyperlink w:anchor="_Toc16339" w:history="1">
        <w:r>
          <w:rPr>
            <w:rFonts w:ascii="宋体" w:eastAsia="宋体" w:hAnsi="宋体" w:cs="宋体" w:hint="eastAsia"/>
            <w:bCs w:val="0"/>
            <w:szCs w:val="28"/>
            <w:lang w:eastAsia="zh-CN"/>
          </w:rPr>
          <w:t>(一)、烟草行业数字化发展方案</w:t>
        </w:r>
        <w:r>
          <w:tab/>
        </w:r>
        <w:r>
          <w:fldChar w:fldCharType="begin"/>
        </w:r>
        <w:r>
          <w:instrText xml:space="preserve"> PAGEREF _Toc16339 \h </w:instrText>
        </w:r>
        <w:r>
          <w:fldChar w:fldCharType="separate"/>
        </w:r>
        <w:r>
          <w:t>11</w:t>
        </w:r>
        <w:r>
          <w:fldChar w:fldCharType="end"/>
        </w:r>
      </w:hyperlink>
    </w:p>
    <w:p>
      <w:pPr>
        <w:pStyle w:val="TOC2"/>
        <w:tabs>
          <w:tab w:val="right" w:leader="dot" w:pos="8306"/>
        </w:tabs>
      </w:pPr>
      <w:hyperlink w:anchor="_Toc23638" w:history="1">
        <w:r>
          <w:rPr>
            <w:rFonts w:ascii="宋体" w:eastAsia="宋体" w:hAnsi="宋体" w:cs="宋体" w:hint="eastAsia"/>
            <w:bCs w:val="0"/>
            <w:szCs w:val="28"/>
            <w:lang w:eastAsia="zh-CN"/>
          </w:rPr>
          <w:t>(二)、烟草行业新型运营方式</w:t>
        </w:r>
        <w:r>
          <w:tab/>
        </w:r>
        <w:r>
          <w:fldChar w:fldCharType="begin"/>
        </w:r>
        <w:r>
          <w:instrText xml:space="preserve"> PAGEREF _Toc23638 \h </w:instrText>
        </w:r>
        <w:r>
          <w:fldChar w:fldCharType="separate"/>
        </w:r>
        <w:r>
          <w:t>14</w:t>
        </w:r>
        <w:r>
          <w:fldChar w:fldCharType="end"/>
        </w:r>
      </w:hyperlink>
    </w:p>
    <w:p>
      <w:pPr>
        <w:pStyle w:val="TOC2"/>
        <w:tabs>
          <w:tab w:val="right" w:leader="dot" w:pos="8306"/>
        </w:tabs>
      </w:pPr>
      <w:hyperlink w:anchor="_Toc8827" w:history="1">
        <w:r>
          <w:rPr>
            <w:rFonts w:ascii="宋体" w:eastAsia="宋体" w:hAnsi="宋体" w:cs="宋体" w:hint="eastAsia"/>
            <w:bCs w:val="0"/>
            <w:szCs w:val="28"/>
            <w:lang w:eastAsia="zh-CN"/>
          </w:rPr>
          <w:t>(三)、烟草行业风险管理</w:t>
        </w:r>
        <w:r>
          <w:tab/>
        </w:r>
        <w:r>
          <w:fldChar w:fldCharType="begin"/>
        </w:r>
        <w:r>
          <w:instrText xml:space="preserve"> PAGEREF _Toc8827 \h </w:instrText>
        </w:r>
        <w:r>
          <w:fldChar w:fldCharType="separate"/>
        </w:r>
        <w:r>
          <w:t>17</w:t>
        </w:r>
        <w:r>
          <w:fldChar w:fldCharType="end"/>
        </w:r>
      </w:hyperlink>
    </w:p>
    <w:p>
      <w:pPr>
        <w:pStyle w:val="TOC1"/>
        <w:tabs>
          <w:tab w:val="right" w:leader="dot" w:pos="8306"/>
        </w:tabs>
      </w:pPr>
      <w:hyperlink w:anchor="_Toc14256" w:history="1">
        <w:r>
          <w:rPr>
            <w:rFonts w:ascii="微软雅黑" w:eastAsia="微软雅黑" w:hAnsi="微软雅黑" w:cs="微软雅黑" w:hint="eastAsia"/>
            <w:color w:val="001CAC" w:themeColor="hyperlink" w:themeShade="BF"/>
            <w:szCs w:val="32"/>
            <w:lang w:eastAsia="zh-CN"/>
          </w:rPr>
          <w:t>五、安全与劳动保护</w:t>
        </w:r>
        <w:r>
          <w:tab/>
        </w:r>
        <w:r>
          <w:fldChar w:fldCharType="begin"/>
        </w:r>
        <w:r>
          <w:instrText xml:space="preserve"> PAGEREF _Toc14256 \h </w:instrText>
        </w:r>
        <w:r>
          <w:fldChar w:fldCharType="separate"/>
        </w:r>
        <w:r>
          <w:t>20</w:t>
        </w:r>
        <w:r>
          <w:fldChar w:fldCharType="end"/>
        </w:r>
      </w:hyperlink>
    </w:p>
    <w:p>
      <w:pPr>
        <w:pStyle w:val="TOC2"/>
        <w:tabs>
          <w:tab w:val="right" w:leader="dot" w:pos="8306"/>
        </w:tabs>
      </w:pPr>
      <w:hyperlink w:anchor="_Toc20759" w:history="1">
        <w:r>
          <w:rPr>
            <w:rFonts w:ascii="宋体" w:eastAsia="宋体" w:hAnsi="宋体" w:cs="宋体" w:hint="eastAsia"/>
            <w:bCs w:val="0"/>
            <w:szCs w:val="28"/>
            <w:lang w:eastAsia="zh-CN"/>
          </w:rPr>
          <w:t>(一)、设计依据与法规合规</w:t>
        </w:r>
        <w:r>
          <w:tab/>
        </w:r>
        <w:r>
          <w:fldChar w:fldCharType="begin"/>
        </w:r>
        <w:r>
          <w:instrText xml:space="preserve"> PAGEREF _Toc20759 \h </w:instrText>
        </w:r>
        <w:r>
          <w:fldChar w:fldCharType="separate"/>
        </w:r>
        <w:r>
          <w:t>20</w:t>
        </w:r>
        <w:r>
          <w:fldChar w:fldCharType="end"/>
        </w:r>
      </w:hyperlink>
    </w:p>
    <w:p>
      <w:pPr>
        <w:pStyle w:val="TOC2"/>
        <w:tabs>
          <w:tab w:val="right" w:leader="dot" w:pos="8306"/>
        </w:tabs>
      </w:pPr>
      <w:hyperlink w:anchor="_Toc2559" w:history="1">
        <w:r>
          <w:rPr>
            <w:rFonts w:ascii="宋体" w:eastAsia="宋体" w:hAnsi="宋体" w:cs="宋体" w:hint="eastAsia"/>
            <w:bCs w:val="0"/>
            <w:szCs w:val="28"/>
            <w:lang w:eastAsia="zh-CN"/>
          </w:rPr>
          <w:t>(二)、劳动安全预期效果评价</w:t>
        </w:r>
        <w:r>
          <w:tab/>
        </w:r>
        <w:r>
          <w:fldChar w:fldCharType="begin"/>
        </w:r>
        <w:r>
          <w:instrText xml:space="preserve"> PAGEREF _Toc2559 \h </w:instrText>
        </w:r>
        <w:r>
          <w:fldChar w:fldCharType="separate"/>
        </w:r>
        <w:r>
          <w:t>21</w:t>
        </w:r>
        <w:r>
          <w:fldChar w:fldCharType="end"/>
        </w:r>
      </w:hyperlink>
    </w:p>
    <w:p>
      <w:pPr>
        <w:pStyle w:val="TOC2"/>
        <w:tabs>
          <w:tab w:val="right" w:leader="dot" w:pos="8306"/>
        </w:tabs>
      </w:pPr>
      <w:hyperlink w:anchor="_Toc24416" w:history="1">
        <w:r>
          <w:rPr>
            <w:rFonts w:ascii="宋体" w:eastAsia="宋体" w:hAnsi="宋体" w:cs="宋体" w:hint="eastAsia"/>
            <w:bCs w:val="0"/>
            <w:szCs w:val="28"/>
            <w:lang w:eastAsia="zh-CN"/>
          </w:rPr>
          <w:t>(三)、主要防范措施</w:t>
        </w:r>
        <w:r>
          <w:tab/>
        </w:r>
        <w:r>
          <w:fldChar w:fldCharType="begin"/>
        </w:r>
        <w:r>
          <w:instrText xml:space="preserve"> PAGEREF _Toc24416 \h </w:instrText>
        </w:r>
        <w:r>
          <w:fldChar w:fldCharType="separate"/>
        </w:r>
        <w:r>
          <w:t>21</w:t>
        </w:r>
        <w:r>
          <w:fldChar w:fldCharType="end"/>
        </w:r>
      </w:hyperlink>
    </w:p>
    <w:p>
      <w:pPr>
        <w:pStyle w:val="TOC1"/>
        <w:tabs>
          <w:tab w:val="right" w:leader="dot" w:pos="8306"/>
        </w:tabs>
      </w:pPr>
      <w:hyperlink w:anchor="_Toc28835" w:history="1">
        <w:r>
          <w:rPr>
            <w:rFonts w:ascii="微软雅黑" w:eastAsia="微软雅黑" w:hAnsi="微软雅黑" w:cs="微软雅黑" w:hint="eastAsia"/>
            <w:color w:val="001CAC" w:themeColor="hyperlink" w:themeShade="BF"/>
            <w:szCs w:val="32"/>
            <w:lang w:eastAsia="zh-CN"/>
          </w:rPr>
          <w:t>六、质量与技术管理</w:t>
        </w:r>
        <w:r>
          <w:tab/>
        </w:r>
        <w:r>
          <w:fldChar w:fldCharType="begin"/>
        </w:r>
        <w:r>
          <w:instrText xml:space="preserve"> PAGEREF _Toc28835 \h </w:instrText>
        </w:r>
        <w:r>
          <w:fldChar w:fldCharType="separate"/>
        </w:r>
        <w:r>
          <w:t>22</w:t>
        </w:r>
        <w:r>
          <w:fldChar w:fldCharType="end"/>
        </w:r>
      </w:hyperlink>
    </w:p>
    <w:p>
      <w:pPr>
        <w:pStyle w:val="TOC2"/>
        <w:tabs>
          <w:tab w:val="right" w:leader="dot" w:pos="8306"/>
        </w:tabs>
      </w:pPr>
      <w:hyperlink w:anchor="_Toc5014" w:history="1">
        <w:r>
          <w:rPr>
            <w:rFonts w:ascii="宋体" w:eastAsia="宋体" w:hAnsi="宋体" w:cs="宋体" w:hint="eastAsia"/>
            <w:bCs w:val="0"/>
            <w:szCs w:val="28"/>
            <w:lang w:eastAsia="zh-CN"/>
          </w:rPr>
          <w:t>(一)、质量管理体系建设</w:t>
        </w:r>
        <w:r>
          <w:tab/>
        </w:r>
        <w:r>
          <w:fldChar w:fldCharType="begin"/>
        </w:r>
        <w:r>
          <w:instrText xml:space="preserve"> PAGEREF _Toc5014 \h </w:instrText>
        </w:r>
        <w:r>
          <w:fldChar w:fldCharType="separate"/>
        </w:r>
        <w:r>
          <w:t>22</w:t>
        </w:r>
        <w:r>
          <w:fldChar w:fldCharType="end"/>
        </w:r>
      </w:hyperlink>
    </w:p>
    <w:p>
      <w:pPr>
        <w:pStyle w:val="TOC2"/>
        <w:tabs>
          <w:tab w:val="right" w:leader="dot" w:pos="8306"/>
        </w:tabs>
      </w:pPr>
      <w:hyperlink w:anchor="_Toc17843" w:history="1">
        <w:r>
          <w:rPr>
            <w:rFonts w:ascii="宋体" w:eastAsia="宋体" w:hAnsi="宋体" w:cs="宋体" w:hint="eastAsia"/>
            <w:bCs w:val="0"/>
            <w:szCs w:val="28"/>
            <w:lang w:eastAsia="zh-CN"/>
          </w:rPr>
          <w:t>(二)、技术标准与创新</w:t>
        </w:r>
        <w:r>
          <w:tab/>
        </w:r>
        <w:r>
          <w:fldChar w:fldCharType="begin"/>
        </w:r>
        <w:r>
          <w:instrText xml:space="preserve"> PAGEREF _Toc17843 \h </w:instrText>
        </w:r>
        <w:r>
          <w:fldChar w:fldCharType="separate"/>
        </w:r>
        <w:r>
          <w:t>23</w:t>
        </w:r>
        <w:r>
          <w:fldChar w:fldCharType="end"/>
        </w:r>
      </w:hyperlink>
    </w:p>
    <w:p>
      <w:pPr>
        <w:pStyle w:val="TOC1"/>
        <w:tabs>
          <w:tab w:val="right" w:leader="dot" w:pos="8306"/>
        </w:tabs>
      </w:pPr>
      <w:hyperlink w:anchor="_Toc16620" w:history="1">
        <w:r>
          <w:rPr>
            <w:rFonts w:ascii="微软雅黑" w:eastAsia="微软雅黑" w:hAnsi="微软雅黑" w:cs="微软雅黑" w:hint="eastAsia"/>
            <w:color w:val="001CAC" w:themeColor="hyperlink" w:themeShade="BF"/>
            <w:szCs w:val="32"/>
            <w:lang w:eastAsia="zh-CN"/>
          </w:rPr>
          <w:t>七、环境与社会责任</w:t>
        </w:r>
        <w:r>
          <w:tab/>
        </w:r>
        <w:r>
          <w:fldChar w:fldCharType="begin"/>
        </w:r>
        <w:r>
          <w:instrText xml:space="preserve"> PAGEREF _Toc16620 \h </w:instrText>
        </w:r>
        <w:r>
          <w:fldChar w:fldCharType="separate"/>
        </w:r>
        <w:r>
          <w:t>24</w:t>
        </w:r>
        <w:r>
          <w:fldChar w:fldCharType="end"/>
        </w:r>
      </w:hyperlink>
    </w:p>
    <w:p>
      <w:pPr>
        <w:pStyle w:val="TOC2"/>
        <w:tabs>
          <w:tab w:val="right" w:leader="dot" w:pos="8306"/>
        </w:tabs>
      </w:pPr>
      <w:hyperlink w:anchor="_Toc13125" w:history="1">
        <w:r>
          <w:rPr>
            <w:rFonts w:ascii="宋体" w:eastAsia="宋体" w:hAnsi="宋体" w:cs="宋体" w:hint="eastAsia"/>
            <w:bCs w:val="0"/>
            <w:szCs w:val="28"/>
            <w:lang w:eastAsia="zh-CN"/>
          </w:rPr>
          <w:t>(一)、环境影响评估</w:t>
        </w:r>
        <w:r>
          <w:tab/>
        </w:r>
        <w:r>
          <w:fldChar w:fldCharType="begin"/>
        </w:r>
        <w:r>
          <w:instrText xml:space="preserve"> PAGEREF _Toc13125 \h </w:instrText>
        </w:r>
        <w:r>
          <w:fldChar w:fldCharType="separate"/>
        </w:r>
        <w:r>
          <w:t>24</w:t>
        </w:r>
        <w:r>
          <w:fldChar w:fldCharType="end"/>
        </w:r>
      </w:hyperlink>
    </w:p>
    <w:p>
      <w:pPr>
        <w:pStyle w:val="TOC2"/>
        <w:tabs>
          <w:tab w:val="right" w:leader="dot" w:pos="8306"/>
        </w:tabs>
      </w:pPr>
      <w:hyperlink w:anchor="_Toc9757" w:history="1">
        <w:r>
          <w:rPr>
            <w:rFonts w:ascii="宋体" w:eastAsia="宋体" w:hAnsi="宋体" w:cs="宋体" w:hint="eastAsia"/>
            <w:bCs w:val="0"/>
            <w:szCs w:val="28"/>
            <w:lang w:eastAsia="zh-CN"/>
          </w:rPr>
          <w:t>(二)、社会责任与可持续发展</w:t>
        </w:r>
        <w:r>
          <w:tab/>
        </w:r>
        <w:r>
          <w:fldChar w:fldCharType="begin"/>
        </w:r>
        <w:r>
          <w:instrText xml:space="preserve"> PAGEREF _Toc9757 \h </w:instrText>
        </w:r>
        <w:r>
          <w:fldChar w:fldCharType="separate"/>
        </w:r>
        <w:r>
          <w:t>24</w:t>
        </w:r>
        <w:r>
          <w:fldChar w:fldCharType="end"/>
        </w:r>
      </w:hyperlink>
    </w:p>
    <w:p>
      <w:pPr>
        <w:pStyle w:val="TOC1"/>
        <w:tabs>
          <w:tab w:val="right" w:leader="dot" w:pos="8306"/>
        </w:tabs>
      </w:pPr>
      <w:hyperlink w:anchor="_Toc19999" w:history="1">
        <w:r>
          <w:rPr>
            <w:rFonts w:ascii="微软雅黑" w:eastAsia="微软雅黑" w:hAnsi="微软雅黑" w:cs="微软雅黑" w:hint="eastAsia"/>
            <w:color w:val="001CAC" w:themeColor="hyperlink" w:themeShade="BF"/>
            <w:szCs w:val="32"/>
            <w:lang w:eastAsia="zh-CN"/>
          </w:rPr>
          <w:t>八、烟草行业选址方案分析</w:t>
        </w:r>
        <w:r>
          <w:tab/>
        </w:r>
        <w:r>
          <w:fldChar w:fldCharType="begin"/>
        </w:r>
        <w:r>
          <w:instrText xml:space="preserve"> PAGEREF _Toc19999 \h </w:instrText>
        </w:r>
        <w:r>
          <w:fldChar w:fldCharType="separate"/>
        </w:r>
        <w:r>
          <w:t>25</w:t>
        </w:r>
        <w:r>
          <w:fldChar w:fldCharType="end"/>
        </w:r>
      </w:hyperlink>
    </w:p>
    <w:p>
      <w:pPr>
        <w:pStyle w:val="TOC2"/>
        <w:tabs>
          <w:tab w:val="right" w:leader="dot" w:pos="8306"/>
        </w:tabs>
      </w:pPr>
      <w:hyperlink w:anchor="_Toc31208" w:history="1">
        <w:r>
          <w:rPr>
            <w:rFonts w:ascii="宋体" w:eastAsia="宋体" w:hAnsi="宋体" w:cs="宋体" w:hint="eastAsia"/>
            <w:bCs w:val="0"/>
            <w:szCs w:val="28"/>
            <w:lang w:eastAsia="zh-CN"/>
          </w:rPr>
          <w:t>(一)、烟草行业选址影响因素</w:t>
        </w:r>
        <w:r>
          <w:tab/>
        </w:r>
        <w:r>
          <w:fldChar w:fldCharType="begin"/>
        </w:r>
        <w:r>
          <w:instrText xml:space="preserve"> PAGEREF _Toc31208 \h </w:instrText>
        </w:r>
        <w:r>
          <w:fldChar w:fldCharType="separate"/>
        </w:r>
        <w:r>
          <w:t>25</w:t>
        </w:r>
        <w:r>
          <w:fldChar w:fldCharType="end"/>
        </w:r>
      </w:hyperlink>
    </w:p>
    <w:p>
      <w:pPr>
        <w:pStyle w:val="TOC2"/>
        <w:tabs>
          <w:tab w:val="right" w:leader="dot" w:pos="8306"/>
        </w:tabs>
      </w:pPr>
      <w:hyperlink w:anchor="_Toc23245" w:history="1">
        <w:r>
          <w:rPr>
            <w:rFonts w:ascii="宋体" w:eastAsia="宋体" w:hAnsi="宋体" w:cs="宋体" w:hint="eastAsia"/>
            <w:bCs w:val="0"/>
            <w:szCs w:val="28"/>
            <w:lang w:eastAsia="zh-CN"/>
          </w:rPr>
          <w:t>(二)、烟草行业选址原则</w:t>
        </w:r>
        <w:r>
          <w:tab/>
        </w:r>
        <w:r>
          <w:fldChar w:fldCharType="begin"/>
        </w:r>
        <w:r>
          <w:instrText xml:space="preserve"> PAGEREF _Toc23245 \h </w:instrText>
        </w:r>
        <w:r>
          <w:fldChar w:fldCharType="separate"/>
        </w:r>
        <w:r>
          <w:t>27</w:t>
        </w:r>
        <w:r>
          <w:fldChar w:fldCharType="end"/>
        </w:r>
      </w:hyperlink>
    </w:p>
    <w:p>
      <w:pPr>
        <w:pStyle w:val="TOC2"/>
        <w:tabs>
          <w:tab w:val="right" w:leader="dot" w:pos="8306"/>
        </w:tabs>
      </w:pPr>
      <w:hyperlink w:anchor="_Toc23631" w:history="1">
        <w:r>
          <w:rPr>
            <w:rFonts w:ascii="宋体" w:eastAsia="宋体" w:hAnsi="宋体" w:cs="宋体" w:hint="eastAsia"/>
            <w:bCs w:val="0"/>
            <w:szCs w:val="28"/>
            <w:lang w:eastAsia="zh-CN"/>
          </w:rPr>
          <w:t>(三)、消费习惯对烟草行业选址的影响</w:t>
        </w:r>
        <w:r>
          <w:tab/>
        </w:r>
        <w:r>
          <w:fldChar w:fldCharType="begin"/>
        </w:r>
        <w:r>
          <w:instrText xml:space="preserve"> PAGEREF _Toc23631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8" w:history="1">
        <w:r>
          <w:rPr>
            <w:rFonts w:ascii="宋体" w:eastAsia="宋体" w:hAnsi="宋体" w:cs="宋体" w:hint="eastAsia"/>
            <w:bCs w:val="0"/>
            <w:szCs w:val="28"/>
            <w:lang w:eastAsia="zh-CN"/>
          </w:rPr>
          <w:t>(四)、消费能力对烟草行业选址的影响</w:t>
        </w:r>
        <w:r>
          <w:tab/>
        </w:r>
        <w:r>
          <w:fldChar w:fldCharType="begin"/>
        </w:r>
        <w:r>
          <w:instrText xml:space="preserve"> PAGEREF _Toc14438 \h </w:instrText>
        </w:r>
        <w:r>
          <w:fldChar w:fldCharType="separate"/>
        </w:r>
        <w:r>
          <w:t>30</w:t>
        </w:r>
        <w:r>
          <w:fldChar w:fldCharType="end"/>
        </w:r>
      </w:hyperlink>
    </w:p>
    <w:p>
      <w:pPr>
        <w:pStyle w:val="TOC2"/>
        <w:tabs>
          <w:tab w:val="right" w:leader="dot" w:pos="8306"/>
        </w:tabs>
      </w:pPr>
      <w:hyperlink w:anchor="_Toc23230" w:history="1">
        <w:r>
          <w:rPr>
            <w:rFonts w:ascii="宋体" w:eastAsia="宋体" w:hAnsi="宋体" w:cs="宋体" w:hint="eastAsia"/>
            <w:bCs w:val="0"/>
            <w:szCs w:val="28"/>
            <w:lang w:eastAsia="zh-CN"/>
          </w:rPr>
          <w:t>(五)、经营成本对烟草行业选址的影响</w:t>
        </w:r>
        <w:r>
          <w:tab/>
        </w:r>
        <w:r>
          <w:fldChar w:fldCharType="begin"/>
        </w:r>
        <w:r>
          <w:instrText xml:space="preserve"> PAGEREF _Toc23230 \h </w:instrText>
        </w:r>
        <w:r>
          <w:fldChar w:fldCharType="separate"/>
        </w:r>
        <w:r>
          <w:t>32</w:t>
        </w:r>
        <w:r>
          <w:fldChar w:fldCharType="end"/>
        </w:r>
      </w:hyperlink>
    </w:p>
    <w:p>
      <w:pPr>
        <w:pStyle w:val="TOC2"/>
        <w:tabs>
          <w:tab w:val="right" w:leader="dot" w:pos="8306"/>
        </w:tabs>
      </w:pPr>
      <w:hyperlink w:anchor="_Toc1677" w:history="1">
        <w:r>
          <w:rPr>
            <w:rFonts w:ascii="宋体" w:eastAsia="宋体" w:hAnsi="宋体" w:cs="宋体" w:hint="eastAsia"/>
            <w:bCs w:val="0"/>
            <w:szCs w:val="28"/>
            <w:lang w:eastAsia="zh-CN"/>
          </w:rPr>
          <w:t>(六)、交通条件对烟草行业选址的影响</w:t>
        </w:r>
        <w:r>
          <w:tab/>
        </w:r>
        <w:r>
          <w:fldChar w:fldCharType="begin"/>
        </w:r>
        <w:r>
          <w:instrText xml:space="preserve"> PAGEREF _Toc1677 \h </w:instrText>
        </w:r>
        <w:r>
          <w:fldChar w:fldCharType="separate"/>
        </w:r>
        <w:r>
          <w:t>33</w:t>
        </w:r>
        <w:r>
          <w:fldChar w:fldCharType="end"/>
        </w:r>
      </w:hyperlink>
    </w:p>
    <w:p>
      <w:pPr>
        <w:pStyle w:val="TOC1"/>
        <w:tabs>
          <w:tab w:val="right" w:leader="dot" w:pos="8306"/>
        </w:tabs>
      </w:pPr>
      <w:hyperlink w:anchor="_Toc26254" w:history="1">
        <w:r>
          <w:rPr>
            <w:rFonts w:ascii="微软雅黑" w:eastAsia="微软雅黑" w:hAnsi="微软雅黑" w:cs="微软雅黑" w:hint="eastAsia"/>
            <w:color w:val="001CAC" w:themeColor="hyperlink" w:themeShade="BF"/>
            <w:szCs w:val="32"/>
            <w:lang w:eastAsia="zh-CN"/>
          </w:rPr>
          <w:t>九、制度运行与优化</w:t>
        </w:r>
        <w:r>
          <w:tab/>
        </w:r>
        <w:r>
          <w:fldChar w:fldCharType="begin"/>
        </w:r>
        <w:r>
          <w:instrText xml:space="preserve"> PAGEREF _Toc26254 \h </w:instrText>
        </w:r>
        <w:r>
          <w:fldChar w:fldCharType="separate"/>
        </w:r>
        <w:r>
          <w:t>34</w:t>
        </w:r>
        <w:r>
          <w:fldChar w:fldCharType="end"/>
        </w:r>
      </w:hyperlink>
    </w:p>
    <w:p>
      <w:pPr>
        <w:pStyle w:val="TOC2"/>
        <w:tabs>
          <w:tab w:val="right" w:leader="dot" w:pos="8306"/>
        </w:tabs>
      </w:pPr>
      <w:hyperlink w:anchor="_Toc2161" w:history="1">
        <w:r>
          <w:rPr>
            <w:rFonts w:ascii="宋体" w:eastAsia="宋体" w:hAnsi="宋体" w:cs="宋体" w:hint="eastAsia"/>
            <w:bCs w:val="0"/>
            <w:szCs w:val="28"/>
            <w:lang w:eastAsia="zh-CN"/>
          </w:rPr>
          <w:t>(一)、制度执行与监督</w:t>
        </w:r>
        <w:r>
          <w:tab/>
        </w:r>
        <w:r>
          <w:fldChar w:fldCharType="begin"/>
        </w:r>
        <w:r>
          <w:instrText xml:space="preserve"> PAGEREF _Toc2161 \h </w:instrText>
        </w:r>
        <w:r>
          <w:fldChar w:fldCharType="separate"/>
        </w:r>
        <w:r>
          <w:t>34</w:t>
        </w:r>
        <w:r>
          <w:fldChar w:fldCharType="end"/>
        </w:r>
      </w:hyperlink>
    </w:p>
    <w:p>
      <w:pPr>
        <w:pStyle w:val="TOC2"/>
        <w:tabs>
          <w:tab w:val="right" w:leader="dot" w:pos="8306"/>
        </w:tabs>
      </w:pPr>
      <w:hyperlink w:anchor="_Toc22656" w:history="1">
        <w:r>
          <w:rPr>
            <w:rFonts w:ascii="宋体" w:eastAsia="宋体" w:hAnsi="宋体" w:cs="宋体" w:hint="eastAsia"/>
            <w:bCs w:val="0"/>
            <w:szCs w:val="28"/>
            <w:lang w:eastAsia="zh-CN"/>
          </w:rPr>
          <w:t>(二)、制度优化与更新</w:t>
        </w:r>
        <w:r>
          <w:tab/>
        </w:r>
        <w:r>
          <w:fldChar w:fldCharType="begin"/>
        </w:r>
        <w:r>
          <w:instrText xml:space="preserve"> PAGEREF _Toc22656 \h </w:instrText>
        </w:r>
        <w:r>
          <w:fldChar w:fldCharType="separate"/>
        </w:r>
        <w:r>
          <w:t>35</w:t>
        </w:r>
        <w:r>
          <w:fldChar w:fldCharType="end"/>
        </w:r>
      </w:hyperlink>
    </w:p>
    <w:p>
      <w:pPr>
        <w:pStyle w:val="TOC1"/>
        <w:tabs>
          <w:tab w:val="right" w:leader="dot" w:pos="8306"/>
        </w:tabs>
      </w:pPr>
      <w:hyperlink w:anchor="_Toc5340" w:history="1">
        <w:r>
          <w:rPr>
            <w:rFonts w:ascii="微软雅黑" w:eastAsia="微软雅黑" w:hAnsi="微软雅黑" w:cs="微软雅黑" w:hint="eastAsia"/>
            <w:color w:val="001CAC" w:themeColor="hyperlink" w:themeShade="BF"/>
            <w:szCs w:val="32"/>
            <w:lang w:eastAsia="zh-CN"/>
          </w:rPr>
          <w:t>十、资金筹措与投资分析</w:t>
        </w:r>
        <w:r>
          <w:tab/>
        </w:r>
        <w:r>
          <w:fldChar w:fldCharType="begin"/>
        </w:r>
        <w:r>
          <w:instrText xml:space="preserve"> PAGEREF _Toc5340 \h </w:instrText>
        </w:r>
        <w:r>
          <w:fldChar w:fldCharType="separate"/>
        </w:r>
        <w:r>
          <w:t>36</w:t>
        </w:r>
        <w:r>
          <w:fldChar w:fldCharType="end"/>
        </w:r>
      </w:hyperlink>
    </w:p>
    <w:p>
      <w:pPr>
        <w:pStyle w:val="TOC2"/>
        <w:tabs>
          <w:tab w:val="right" w:leader="dot" w:pos="8306"/>
        </w:tabs>
      </w:pPr>
      <w:hyperlink w:anchor="_Toc12575" w:history="1">
        <w:r>
          <w:rPr>
            <w:rFonts w:ascii="宋体" w:eastAsia="宋体" w:hAnsi="宋体" w:cs="宋体" w:hint="eastAsia"/>
            <w:bCs w:val="0"/>
            <w:szCs w:val="28"/>
            <w:lang w:eastAsia="zh-CN"/>
          </w:rPr>
          <w:t>(一)、资金需求与筹措计划</w:t>
        </w:r>
        <w:r>
          <w:tab/>
        </w:r>
        <w:r>
          <w:fldChar w:fldCharType="begin"/>
        </w:r>
        <w:r>
          <w:instrText xml:space="preserve"> PAGEREF _Toc12575 \h </w:instrText>
        </w:r>
        <w:r>
          <w:fldChar w:fldCharType="separate"/>
        </w:r>
        <w:r>
          <w:t>36</w:t>
        </w:r>
        <w:r>
          <w:fldChar w:fldCharType="end"/>
        </w:r>
      </w:hyperlink>
    </w:p>
    <w:p>
      <w:pPr>
        <w:pStyle w:val="TOC2"/>
        <w:tabs>
          <w:tab w:val="right" w:leader="dot" w:pos="8306"/>
        </w:tabs>
      </w:pPr>
      <w:hyperlink w:anchor="_Toc9095" w:history="1">
        <w:r>
          <w:rPr>
            <w:rFonts w:ascii="宋体" w:eastAsia="宋体" w:hAnsi="宋体" w:cs="宋体" w:hint="eastAsia"/>
            <w:bCs w:val="0"/>
            <w:szCs w:val="28"/>
            <w:lang w:eastAsia="zh-CN"/>
          </w:rPr>
          <w:t>(二)、投资分析与回报预期</w:t>
        </w:r>
        <w:r>
          <w:tab/>
        </w:r>
        <w:r>
          <w:fldChar w:fldCharType="begin"/>
        </w:r>
        <w:r>
          <w:instrText xml:space="preserve"> PAGEREF _Toc9095 \h </w:instrText>
        </w:r>
        <w:r>
          <w:fldChar w:fldCharType="separate"/>
        </w:r>
        <w:r>
          <w:t>36</w:t>
        </w:r>
        <w:r>
          <w:fldChar w:fldCharType="end"/>
        </w:r>
      </w:hyperlink>
    </w:p>
    <w:p>
      <w:pPr>
        <w:pStyle w:val="TOC1"/>
        <w:tabs>
          <w:tab w:val="right" w:leader="dot" w:pos="8306"/>
        </w:tabs>
      </w:pPr>
      <w:hyperlink w:anchor="_Toc1324" w:history="1">
        <w:r>
          <w:rPr>
            <w:rFonts w:ascii="微软雅黑" w:eastAsia="微软雅黑" w:hAnsi="微软雅黑" w:cs="微软雅黑" w:hint="eastAsia"/>
            <w:color w:val="001CAC" w:themeColor="hyperlink" w:themeShade="BF"/>
            <w:szCs w:val="32"/>
            <w:lang w:eastAsia="zh-CN"/>
          </w:rPr>
          <w:t>十一、烟草行业背景及市场分析</w:t>
        </w:r>
        <w:r>
          <w:tab/>
        </w:r>
        <w:r>
          <w:fldChar w:fldCharType="begin"/>
        </w:r>
        <w:r>
          <w:instrText xml:space="preserve"> PAGEREF _Toc1324 \h </w:instrText>
        </w:r>
        <w:r>
          <w:fldChar w:fldCharType="separate"/>
        </w:r>
        <w:r>
          <w:t>37</w:t>
        </w:r>
        <w:r>
          <w:fldChar w:fldCharType="end"/>
        </w:r>
      </w:hyperlink>
    </w:p>
    <w:p>
      <w:pPr>
        <w:pStyle w:val="TOC2"/>
        <w:tabs>
          <w:tab w:val="right" w:leader="dot" w:pos="8306"/>
        </w:tabs>
      </w:pPr>
      <w:hyperlink w:anchor="_Toc19027" w:history="1">
        <w:r>
          <w:rPr>
            <w:rFonts w:ascii="宋体" w:eastAsia="宋体" w:hAnsi="宋体" w:cs="宋体" w:hint="eastAsia"/>
            <w:bCs w:val="0"/>
            <w:szCs w:val="28"/>
            <w:lang w:eastAsia="zh-CN"/>
          </w:rPr>
          <w:t>(一)、烟草行业创新驱动</w:t>
        </w:r>
        <w:r>
          <w:tab/>
        </w:r>
        <w:r>
          <w:fldChar w:fldCharType="begin"/>
        </w:r>
        <w:r>
          <w:instrText xml:space="preserve"> PAGEREF _Toc19027 \h </w:instrText>
        </w:r>
        <w:r>
          <w:fldChar w:fldCharType="separate"/>
        </w:r>
        <w:r>
          <w:t>37</w:t>
        </w:r>
        <w:r>
          <w:fldChar w:fldCharType="end"/>
        </w:r>
      </w:hyperlink>
    </w:p>
    <w:p>
      <w:pPr>
        <w:pStyle w:val="TOC2"/>
        <w:tabs>
          <w:tab w:val="right" w:leader="dot" w:pos="8306"/>
        </w:tabs>
      </w:pPr>
      <w:hyperlink w:anchor="_Toc16008" w:history="1">
        <w:r>
          <w:rPr>
            <w:rFonts w:ascii="宋体" w:eastAsia="宋体" w:hAnsi="宋体" w:cs="宋体" w:hint="eastAsia"/>
            <w:bCs w:val="0"/>
            <w:szCs w:val="28"/>
            <w:lang w:eastAsia="zh-CN"/>
          </w:rPr>
          <w:t>(二)、烟草行业发展现状</w:t>
        </w:r>
        <w:r>
          <w:tab/>
        </w:r>
        <w:r>
          <w:fldChar w:fldCharType="begin"/>
        </w:r>
        <w:r>
          <w:instrText xml:space="preserve"> PAGEREF _Toc16008 \h </w:instrText>
        </w:r>
        <w:r>
          <w:fldChar w:fldCharType="separate"/>
        </w:r>
        <w:r>
          <w:t>38</w:t>
        </w:r>
        <w:r>
          <w:fldChar w:fldCharType="end"/>
        </w:r>
      </w:hyperlink>
    </w:p>
    <w:p>
      <w:pPr>
        <w:pStyle w:val="TOC2"/>
        <w:tabs>
          <w:tab w:val="right" w:leader="dot" w:pos="8306"/>
        </w:tabs>
      </w:pPr>
      <w:hyperlink w:anchor="_Toc20765" w:history="1">
        <w:r>
          <w:rPr>
            <w:rFonts w:ascii="宋体" w:eastAsia="宋体" w:hAnsi="宋体" w:cs="宋体" w:hint="eastAsia"/>
            <w:bCs w:val="0"/>
            <w:szCs w:val="28"/>
            <w:lang w:eastAsia="zh-CN"/>
          </w:rPr>
          <w:t>(三)、烟草行业高质量发展</w:t>
        </w:r>
        <w:r>
          <w:tab/>
        </w:r>
        <w:r>
          <w:fldChar w:fldCharType="begin"/>
        </w:r>
        <w:r>
          <w:instrText xml:space="preserve"> PAGEREF _Toc20765 \h </w:instrText>
        </w:r>
        <w:r>
          <w:fldChar w:fldCharType="separate"/>
        </w:r>
        <w:r>
          <w:t>38</w:t>
        </w:r>
        <w:r>
          <w:fldChar w:fldCharType="end"/>
        </w:r>
      </w:hyperlink>
    </w:p>
    <w:p>
      <w:pPr>
        <w:pStyle w:val="TOC2"/>
        <w:tabs>
          <w:tab w:val="right" w:leader="dot" w:pos="8306"/>
        </w:tabs>
      </w:pPr>
      <w:hyperlink w:anchor="_Toc23855" w:history="1">
        <w:r>
          <w:rPr>
            <w:rFonts w:ascii="宋体" w:eastAsia="宋体" w:hAnsi="宋体" w:cs="宋体" w:hint="eastAsia"/>
            <w:bCs w:val="0"/>
            <w:szCs w:val="28"/>
            <w:lang w:eastAsia="zh-CN"/>
          </w:rPr>
          <w:t>(四)、烟草行业产业链分析</w:t>
        </w:r>
        <w:r>
          <w:tab/>
        </w:r>
        <w:r>
          <w:fldChar w:fldCharType="begin"/>
        </w:r>
        <w:r>
          <w:instrText xml:space="preserve"> PAGEREF _Toc23855 \h </w:instrText>
        </w:r>
        <w:r>
          <w:fldChar w:fldCharType="separate"/>
        </w:r>
        <w:r>
          <w:t>39</w:t>
        </w:r>
        <w:r>
          <w:fldChar w:fldCharType="end"/>
        </w:r>
      </w:hyperlink>
    </w:p>
    <w:p>
      <w:pPr>
        <w:pStyle w:val="TOC2"/>
        <w:tabs>
          <w:tab w:val="right" w:leader="dot" w:pos="8306"/>
        </w:tabs>
      </w:pPr>
      <w:hyperlink w:anchor="_Toc31036" w:history="1">
        <w:r>
          <w:rPr>
            <w:rFonts w:ascii="宋体" w:eastAsia="宋体" w:hAnsi="宋体" w:cs="宋体" w:hint="eastAsia"/>
            <w:bCs w:val="0"/>
            <w:szCs w:val="28"/>
            <w:lang w:eastAsia="zh-CN"/>
          </w:rPr>
          <w:t>(五)、烟草行业发展方向</w:t>
        </w:r>
        <w:r>
          <w:tab/>
        </w:r>
        <w:r>
          <w:fldChar w:fldCharType="begin"/>
        </w:r>
        <w:r>
          <w:instrText xml:space="preserve"> PAGEREF _Toc31036 \h </w:instrText>
        </w:r>
        <w:r>
          <w:fldChar w:fldCharType="separate"/>
        </w:r>
        <w:r>
          <w:t>40</w:t>
        </w:r>
        <w:r>
          <w:fldChar w:fldCharType="end"/>
        </w:r>
      </w:hyperlink>
    </w:p>
    <w:p>
      <w:pPr>
        <w:pStyle w:val="TOC2"/>
        <w:tabs>
          <w:tab w:val="right" w:leader="dot" w:pos="8306"/>
        </w:tabs>
      </w:pPr>
      <w:hyperlink w:anchor="_Toc317" w:history="1">
        <w:r>
          <w:rPr>
            <w:rFonts w:ascii="宋体" w:eastAsia="宋体" w:hAnsi="宋体" w:cs="宋体" w:hint="eastAsia"/>
            <w:bCs w:val="0"/>
            <w:szCs w:val="28"/>
            <w:lang w:eastAsia="zh-CN"/>
          </w:rPr>
          <w:t>(六)、烟草行业前景</w:t>
        </w:r>
        <w:r>
          <w:tab/>
        </w:r>
        <w:r>
          <w:fldChar w:fldCharType="begin"/>
        </w:r>
        <w:r>
          <w:instrText xml:space="preserve"> PAGEREF _Toc317 \h </w:instrText>
        </w:r>
        <w:r>
          <w:fldChar w:fldCharType="separate"/>
        </w:r>
        <w:r>
          <w:t>43</w:t>
        </w:r>
        <w:r>
          <w:fldChar w:fldCharType="end"/>
        </w:r>
      </w:hyperlink>
    </w:p>
    <w:p>
      <w:pPr>
        <w:pStyle w:val="TOC2"/>
        <w:tabs>
          <w:tab w:val="right" w:leader="dot" w:pos="8306"/>
        </w:tabs>
      </w:pPr>
      <w:hyperlink w:anchor="_Toc15855" w:history="1">
        <w:r>
          <w:rPr>
            <w:rFonts w:ascii="宋体" w:eastAsia="宋体" w:hAnsi="宋体" w:cs="宋体" w:hint="eastAsia"/>
            <w:bCs w:val="0"/>
            <w:szCs w:val="28"/>
            <w:lang w:eastAsia="zh-CN"/>
          </w:rPr>
          <w:t>(七)、烟草行业发展趋势</w:t>
        </w:r>
        <w:r>
          <w:tab/>
        </w:r>
        <w:r>
          <w:fldChar w:fldCharType="begin"/>
        </w:r>
        <w:r>
          <w:instrText xml:space="preserve"> PAGEREF _Toc15855 \h </w:instrText>
        </w:r>
        <w:r>
          <w:fldChar w:fldCharType="separate"/>
        </w:r>
        <w:r>
          <w:t>45</w:t>
        </w:r>
        <w:r>
          <w:fldChar w:fldCharType="end"/>
        </w:r>
      </w:hyperlink>
    </w:p>
    <w:p>
      <w:pPr>
        <w:pStyle w:val="TOC1"/>
        <w:tabs>
          <w:tab w:val="right" w:leader="dot" w:pos="8306"/>
        </w:tabs>
      </w:pPr>
      <w:hyperlink w:anchor="_Toc3623" w:history="1">
        <w:r>
          <w:rPr>
            <w:rFonts w:ascii="微软雅黑" w:eastAsia="微软雅黑" w:hAnsi="微软雅黑" w:cs="微软雅黑" w:hint="eastAsia"/>
            <w:color w:val="001CAC" w:themeColor="hyperlink" w:themeShade="BF"/>
            <w:szCs w:val="32"/>
            <w:lang w:eastAsia="zh-CN"/>
          </w:rPr>
          <w:t>十二、烟草行业财务管理分析</w:t>
        </w:r>
        <w:r>
          <w:tab/>
        </w:r>
        <w:r>
          <w:fldChar w:fldCharType="begin"/>
        </w:r>
        <w:r>
          <w:instrText xml:space="preserve"> PAGEREF _Toc3623 \h </w:instrText>
        </w:r>
        <w:r>
          <w:fldChar w:fldCharType="separate"/>
        </w:r>
        <w:r>
          <w:t>46</w:t>
        </w:r>
        <w:r>
          <w:fldChar w:fldCharType="end"/>
        </w:r>
      </w:hyperlink>
    </w:p>
    <w:p>
      <w:pPr>
        <w:pStyle w:val="TOC2"/>
        <w:tabs>
          <w:tab w:val="right" w:leader="dot" w:pos="8306"/>
        </w:tabs>
      </w:pPr>
      <w:hyperlink w:anchor="_Toc15687" w:history="1">
        <w:r>
          <w:rPr>
            <w:rFonts w:ascii="宋体" w:eastAsia="宋体" w:hAnsi="宋体" w:cs="宋体" w:hint="eastAsia"/>
            <w:bCs w:val="0"/>
            <w:szCs w:val="28"/>
            <w:lang w:eastAsia="zh-CN"/>
          </w:rPr>
          <w:t>(一)、烟草行业财务管理制度</w:t>
        </w:r>
        <w:r>
          <w:tab/>
        </w:r>
        <w:r>
          <w:fldChar w:fldCharType="begin"/>
        </w:r>
        <w:r>
          <w:instrText xml:space="preserve"> PAGEREF _Toc15687 \h </w:instrText>
        </w:r>
        <w:r>
          <w:fldChar w:fldCharType="separate"/>
        </w:r>
        <w:r>
          <w:t>46</w:t>
        </w:r>
        <w:r>
          <w:fldChar w:fldCharType="end"/>
        </w:r>
      </w:hyperlink>
    </w:p>
    <w:p>
      <w:pPr>
        <w:pStyle w:val="TOC2"/>
        <w:tabs>
          <w:tab w:val="right" w:leader="dot" w:pos="8306"/>
        </w:tabs>
      </w:pPr>
      <w:hyperlink w:anchor="_Toc30844" w:history="1">
        <w:r>
          <w:rPr>
            <w:rFonts w:ascii="宋体" w:eastAsia="宋体" w:hAnsi="宋体" w:cs="宋体" w:hint="eastAsia"/>
            <w:bCs w:val="0"/>
            <w:szCs w:val="28"/>
            <w:lang w:eastAsia="zh-CN"/>
          </w:rPr>
          <w:t>(二)、烟草行业经济效益分析</w:t>
        </w:r>
        <w:r>
          <w:tab/>
        </w:r>
        <w:r>
          <w:fldChar w:fldCharType="begin"/>
        </w:r>
        <w:r>
          <w:instrText xml:space="preserve"> PAGEREF _Toc30844 \h </w:instrText>
        </w:r>
        <w:r>
          <w:fldChar w:fldCharType="separate"/>
        </w:r>
        <w:r>
          <w:t>48</w:t>
        </w:r>
        <w:r>
          <w:fldChar w:fldCharType="end"/>
        </w:r>
      </w:hyperlink>
    </w:p>
    <w:p>
      <w:pPr>
        <w:pStyle w:val="TOC2"/>
        <w:tabs>
          <w:tab w:val="right" w:leader="dot" w:pos="8306"/>
        </w:tabs>
      </w:pPr>
      <w:hyperlink w:anchor="_Toc13647" w:history="1">
        <w:r>
          <w:rPr>
            <w:rFonts w:ascii="宋体" w:eastAsia="宋体" w:hAnsi="宋体" w:cs="宋体" w:hint="eastAsia"/>
            <w:bCs w:val="0"/>
            <w:szCs w:val="28"/>
            <w:lang w:eastAsia="zh-CN"/>
          </w:rPr>
          <w:t>(三)、烟草行业收入及成本核算</w:t>
        </w:r>
        <w:r>
          <w:tab/>
        </w:r>
        <w:r>
          <w:fldChar w:fldCharType="begin"/>
        </w:r>
        <w:r>
          <w:instrText xml:space="preserve"> PAGEREF _Toc13647 \h </w:instrText>
        </w:r>
        <w:r>
          <w:fldChar w:fldCharType="separate"/>
        </w:r>
        <w:r>
          <w:t>49</w:t>
        </w:r>
        <w:r>
          <w:fldChar w:fldCharType="end"/>
        </w:r>
      </w:hyperlink>
    </w:p>
    <w:p>
      <w:pPr>
        <w:pStyle w:val="TOC2"/>
        <w:tabs>
          <w:tab w:val="right" w:leader="dot" w:pos="8306"/>
        </w:tabs>
      </w:pPr>
      <w:hyperlink w:anchor="_Toc6893" w:history="1">
        <w:r>
          <w:rPr>
            <w:rFonts w:ascii="宋体" w:eastAsia="宋体" w:hAnsi="宋体" w:cs="宋体" w:hint="eastAsia"/>
            <w:bCs w:val="0"/>
            <w:szCs w:val="28"/>
            <w:lang w:eastAsia="zh-CN"/>
          </w:rPr>
          <w:t>(四)、烟草行业成本管理</w:t>
        </w:r>
        <w:r>
          <w:tab/>
        </w:r>
        <w:r>
          <w:fldChar w:fldCharType="begin"/>
        </w:r>
        <w:r>
          <w:instrText xml:space="preserve"> PAGEREF _Toc6893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3133"/>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烟草行业研究报告致力于对烟草行业进行详尽研究和分析，旨在为烟草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5316"/>
      <w:r>
        <w:rPr>
          <w:rFonts w:ascii="微软雅黑" w:eastAsia="微软雅黑" w:hAnsi="微软雅黑" w:cs="微软雅黑" w:hint="eastAsia"/>
          <w:color w:val="2E54A1" w:themeColor="accent1" w:themeShade="BF"/>
          <w:sz w:val="32"/>
          <w:szCs w:val="32"/>
          <w:lang w:eastAsia="zh-CN"/>
        </w:rPr>
        <w:t>一、制度建设与管理</w:t>
      </w:r>
      <w:bookmarkEnd w:id="2"/>
    </w:p>
    <w:p>
      <w:pPr>
        <w:pStyle w:val="Heading2"/>
        <w:spacing w:line="480" w:lineRule="auto"/>
        <w:rPr>
          <w:rFonts w:ascii="宋体" w:eastAsia="宋体" w:hAnsi="宋体" w:cs="宋体" w:hint="eastAsia"/>
          <w:bCs w:val="0"/>
          <w:sz w:val="28"/>
          <w:szCs w:val="28"/>
          <w:lang w:eastAsia="zh-CN"/>
        </w:rPr>
      </w:pPr>
      <w:bookmarkStart w:id="3" w:name="_Toc3453"/>
      <w:r>
        <w:rPr>
          <w:rFonts w:ascii="宋体" w:eastAsia="宋体" w:hAnsi="宋体" w:cs="宋体" w:hint="eastAsia"/>
          <w:b/>
          <w:bCs w:val="0"/>
          <w:sz w:val="28"/>
          <w:szCs w:val="28"/>
          <w:lang w:eastAsia="zh-CN"/>
        </w:rPr>
        <w:t>(一)、公司治理结构</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结构的建设中，我们坚持科学合理的原则，通过精心设计的治理框架，确保公司内部管理层次清晰，权责明晰。通过这一结构，我们在公司的各个层级建立了有效的沟通和反馈机制，使得信息能够迅速传递，决策能够得到及时的执行。高效透明的治理体系是公司健康发展的基石，我们追求创新，不断引入现代治理理念，确保公司在竞争激烈的市场环境中保持灵活性和应变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结构的科学建设也在于为公司各层级提供明确的指导和监督机制。通过规范的公司治理程序，我们确保公司各级管理层都能够明白公司的整体战略和目标,以及自身在这个体系中的具体职责。这不仅有助于激发每个管理层的积极性,更有助于实现整个公司的协同运作。同时，监督机制的建立让公司管理更具透明性，确保了决策的合法性和公正性。</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公司治理方面不仅注重结构的完备，更注重其创新性。随着市场和公司自身的发展，我们不断优化治理机制，引入先进的管理理念和方法，以适应不断变化的环境。这种创新性的治理结构使公司能够更好地应对挑战，更灵活地调整战略，更高效地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整个公司治理结构建设的过程中,我们将一切努力都用于确保公司能够在不断变化的商业环境中保持竞争力。高效透明、科学创新的治理体系为公司提供了强大的支持，使得我们能够更好地实现公司战略目标，确保公司长期稳健发展。</w:t>
      </w:r>
    </w:p>
    <w:p>
      <w:pPr>
        <w:pStyle w:val="Heading2"/>
        <w:spacing w:line="480" w:lineRule="auto"/>
        <w:rPr>
          <w:rFonts w:ascii="宋体" w:eastAsia="宋体" w:hAnsi="宋体" w:cs="宋体" w:hint="eastAsia"/>
          <w:bCs w:val="0"/>
          <w:sz w:val="28"/>
          <w:szCs w:val="28"/>
          <w:lang w:eastAsia="zh-CN"/>
        </w:rPr>
      </w:pPr>
      <w:bookmarkStart w:id="4" w:name="_Toc5572"/>
      <w:r>
        <w:rPr>
          <w:rFonts w:ascii="宋体" w:eastAsia="宋体" w:hAnsi="宋体" w:cs="宋体" w:hint="eastAsia"/>
          <w:b/>
          <w:bCs w:val="0"/>
          <w:sz w:val="28"/>
          <w:szCs w:val="28"/>
          <w:lang w:eastAsia="zh-CN"/>
        </w:rPr>
        <w:t>(二)、内部控制与审计</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在公司的持续稳健经营中扮演着至关重要的角色。我们不仅建立了严谨完善的内部控制制度，还通过科学合理的内部流程和规范来确保公司各项运营活动的合规性和规范性。内部控制的建立不仅仅是为了规遍管理，更是为了预防潜在的风险，保障公司业务的可持续性。通过明确的职责分工和审批流程，我们建立了一个严密的内部控制网络，以确保公司在日常运营中不受到内部瑕疵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加全面地了解和评估公司的内部运营情况,我们实施定期的内部审计。通过这一审计过程，我们对公司内部控制的有效性进行评估，及时发现潜在的问题并加以解决。内部审计不仅关注业务过程的执行，还关注财务信息的真实性和准确性。通过审计，我们确保公司财务报告的透明度和准确性,提高了决策的科学性和公司的整体运营效率。</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的相互配合形成了一个相对完备的监督和检查体系。内部控制是日常运营的保障，而审计则是对内控有效性的验证和完善。通过这两者的有机结合，我们能够更全面地把握公司的运营状况，及时纠正存在的问题，降低内部操作风险，确保公司运营活动的正常有序进行。内部控制与审计的不断完善与提升将持续推动公司的持续稳健经营。</w:t>
      </w:r>
    </w:p>
    <w:p>
      <w:pPr>
        <w:pStyle w:val="Heading2"/>
        <w:spacing w:line="480" w:lineRule="auto"/>
        <w:rPr>
          <w:rFonts w:ascii="宋体" w:eastAsia="宋体" w:hAnsi="宋体" w:cs="宋体" w:hint="eastAsia"/>
          <w:bCs w:val="0"/>
          <w:sz w:val="28"/>
          <w:szCs w:val="28"/>
          <w:lang w:eastAsia="zh-CN"/>
        </w:rPr>
      </w:pPr>
      <w:bookmarkStart w:id="5" w:name="_Toc2090"/>
      <w:r>
        <w:rPr>
          <w:rFonts w:ascii="宋体" w:eastAsia="宋体" w:hAnsi="宋体" w:cs="宋体" w:hint="eastAsia"/>
          <w:b/>
          <w:bCs w:val="0"/>
          <w:sz w:val="28"/>
          <w:szCs w:val="28"/>
          <w:lang w:eastAsia="zh-CN"/>
        </w:rPr>
        <w:t>(三)、法律法规合规体系</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律法规合规体系的建设方面,我们始终秉持着遵纪守法的原则，全面建设法律法规合规体系，以确保公司的各项经营活动在法律框架内合法合规进行。为了更好地达到这一目标，我们与专业的法律团队合作，进行全面的法律风险评估，以确保公司在运营过程中不会触碰到任何法律法规的红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规范公司的经营活动,我们建立了一套严格的合规管理体系。该体系涵盖了公司所有的业务领域,确保在执行各项业务时能够遵循相关法规的要求，防范法律风险。通过合规管理体系，我们能够及时发现并纠正不符合法规的行为，确保公司经营的合法性和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审查和更新法律法规合规体系是我们持续关注的一项工作。鉴于法规环境的不断变化,我们定期对公司的合规管理体系进行审查，确保其与最新的法规相符。同时,我们通过法律专业培训和信息发布，使公司内部的各级管理人员始终了解并遵循最新的法规要求。通过这一持续的法律法规合规体系建设,我们能够确保公司在竞争激烈的市场中始终保持经营的合法性、合规性和稳健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25849"/>
      <w:r>
        <w:rPr>
          <w:rFonts w:ascii="微软雅黑" w:eastAsia="微软雅黑" w:hAnsi="微软雅黑" w:cs="微软雅黑" w:hint="eastAsia"/>
          <w:color w:val="2E54A1" w:themeColor="accent1" w:themeShade="BF"/>
          <w:sz w:val="32"/>
          <w:szCs w:val="32"/>
          <w:lang w:eastAsia="zh-CN"/>
        </w:rPr>
        <w:t>二、公司文化与社会责任</w:t>
      </w:r>
      <w:bookmarkEnd w:id="6"/>
    </w:p>
    <w:p>
      <w:pPr>
        <w:pStyle w:val="Heading2"/>
        <w:spacing w:line="480" w:lineRule="auto"/>
        <w:rPr>
          <w:rFonts w:ascii="宋体" w:eastAsia="宋体" w:hAnsi="宋体" w:cs="宋体" w:hint="eastAsia"/>
          <w:bCs w:val="0"/>
          <w:sz w:val="28"/>
          <w:szCs w:val="28"/>
          <w:lang w:eastAsia="zh-CN"/>
        </w:rPr>
      </w:pPr>
      <w:bookmarkStart w:id="7" w:name="_Toc29044"/>
      <w:r>
        <w:rPr>
          <w:rFonts w:ascii="宋体" w:eastAsia="宋体" w:hAnsi="宋体" w:cs="宋体" w:hint="eastAsia"/>
          <w:b/>
          <w:bCs w:val="0"/>
          <w:sz w:val="28"/>
          <w:szCs w:val="28"/>
          <w:lang w:eastAsia="zh-CN"/>
        </w:rPr>
        <w:t>(一)、公司文化建设</w:t>
      </w:r>
      <w:bookmarkEnd w:id="7"/>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塑造公司文化的过程中，我们强调共同的价值观和团队协作，旨在创造积极向上、充满活力的工作氛围。核心价值体现在对员工的尊重和关爱，鼓励创新和开放沟通。通过持续的文化建设活动，如文化培训、团队建设、员工互动等，我们致力于激发员工的工作激情和创造力，形成共同的企业文化认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烟草行业公司文化建设的过程中,我们强调领导层的引领作用。通过领导者的言行和榜样力量,将企业核心价值观融入组织的各个层面，引导员工在日常工作中体现公司文化的核心精神。这有助于形成一支高度凝聚力的团队，共同追求公司的使命和愿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此外，我们注重将公司文化融入日常工作中，通过设立相关奖励机制、文化传承活动等形式，让员工更深入地体验和理解公司文化。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在烟草行业公司文化建设中，我们视员工为企业文化的传播者和参与者，通过激励和认可，营造积极的文化氛围，使每个员工都成为公司文化的倡导者和践行者。</w:t>
      </w:r>
    </w:p>
    <w:p>
      <w:pPr>
        <w:pStyle w:val="Heading2"/>
        <w:spacing w:line="480" w:lineRule="auto"/>
        <w:rPr>
          <w:rFonts w:ascii="宋体" w:eastAsia="宋体" w:hAnsi="宋体" w:cs="宋体" w:hint="eastAsia"/>
          <w:bCs w:val="0"/>
          <w:sz w:val="28"/>
          <w:szCs w:val="28"/>
          <w:lang w:eastAsia="zh-CN"/>
        </w:rPr>
      </w:pPr>
      <w:bookmarkStart w:id="8" w:name="_Toc26237"/>
      <w:r>
        <w:rPr>
          <w:rFonts w:ascii="宋体" w:eastAsia="宋体" w:hAnsi="宋体" w:cs="宋体" w:hint="eastAsia"/>
          <w:b/>
          <w:bCs w:val="0"/>
          <w:sz w:val="28"/>
          <w:szCs w:val="28"/>
          <w:lang w:eastAsia="zh-CN"/>
        </w:rPr>
        <w:t>(二)、企业社会责任与可持续发展</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在履行企业社会责任方面，我们积极参与社会公益事业，支持当地社区的发展。通过设立基金、捐赠物资、参与慈善活动等方式，我们关心社会弱势群体的福祉，致力于为社会创造更多的价值。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可持续发展方面，我们将可持续性纳入业务战略中，采取切实可行的措施减少环境影响。我们致力于提高资源利用效率，推动绿色生产，降低碳排放，从而实现经济、社会和环境的三重可持续发展目标。通过制定并执行可持续发展计划，我们在业务成长的同时最大限度地减少了对环境的负面影响。</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在推动可持续发展的过程中，我们与供应链伙伴共同努力，倡导合作共赢的理念。通过建立透明的供应链管理体系，我们要求供应商也遵循相应的环保和社会责任标准,共同推动整个产业链的可持续发展。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总体而言，烟草行业企业在社会责任与可持续发展方面的努力不仅体现了企业的社会担当,更将为未来的可持续性发展翼定坚实基础。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我们将继续不懈努力,为社会、环境和业务的共同繁荣贡献一份力量。</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9" w:name="_Toc28258"/>
      <w:r>
        <w:rPr>
          <w:rFonts w:ascii="微软雅黑" w:eastAsia="微软雅黑" w:hAnsi="微软雅黑" w:cs="微软雅黑" w:hint="eastAsia"/>
          <w:color w:val="2E54A1" w:themeColor="accent1" w:themeShade="BF"/>
          <w:sz w:val="32"/>
          <w:szCs w:val="32"/>
          <w:lang w:eastAsia="zh-CN"/>
        </w:rPr>
        <w:t>三、质量管理与持续改进</w:t>
      </w:r>
      <w:bookmarkEnd w:id="9"/>
    </w:p>
    <w:p>
      <w:pPr>
        <w:pStyle w:val="Heading2"/>
        <w:spacing w:line="480" w:lineRule="auto"/>
        <w:rPr>
          <w:rFonts w:ascii="宋体" w:eastAsia="宋体" w:hAnsi="宋体" w:cs="宋体" w:hint="eastAsia"/>
          <w:bCs w:val="0"/>
          <w:sz w:val="28"/>
          <w:szCs w:val="28"/>
          <w:lang w:eastAsia="zh-CN"/>
        </w:rPr>
      </w:pPr>
      <w:bookmarkStart w:id="10" w:name="_Toc15974"/>
      <w:r>
        <w:rPr>
          <w:rFonts w:ascii="宋体" w:eastAsia="宋体" w:hAnsi="宋体" w:cs="宋体" w:hint="eastAsia"/>
          <w:b/>
          <w:bCs w:val="0"/>
          <w:sz w:val="28"/>
          <w:szCs w:val="28"/>
          <w:lang w:eastAsia="zh-CN"/>
        </w:rPr>
        <w:t>(一)、质量管理体系建设</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体系的构建中,我们致力于确立一套科学而全面的管理框架，以确保公司产品或服务的高质量交付。质量管理体系的建设是一个综合性的过程，需要各个层面的协同作用，以确保产品和服务能够满足客户的期望并达到预期的质量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深入分析市场需求和客户期望，我们制定了明确而具体的质量目标，以确保产品或服务在各个方面都能够达到高标准。这些目标不仅仅关注产品的基本质量特征，还包括客户体验、交付时间等多个维度，使得质量管理体系更全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确立规范的生产和服务流程,我们能够减少因流程不规范而导致的错误和变异。流程规范化有助于提高生产效率，降低不合格品率，并为员工提供清晰的工作指引。规范的流程也有利于质量问题的追溯和纠正，确保每一步都符合既定的质量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另外，我们强调责任的明确分工。在整个质量管理体系中，每个员工都被赋予明确的责任,以确保他们能够全程参与并负责质量管理的不同环节。通过建立明确的责任体系，我们鼓励员工主动参与质量管理，形成全员参与的质量文化，从而使得每个环节都有人员进行有效监控和管理。</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不断的培训和沟通，我们确保员工充分认识到质量管理对公司和客户的重要性。通过提供相关的培训课程，我们提升员工的专业水平和质量意识，使其能够更好地理解和执行公司的质量政策，从而确保整个生产过程的稳定性和可控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这样的全面质量管理体系建设有助于公司更好地适应市场竞争，提升产品和服务的竞争力，为客户提供更为可靠和高质量的解决方案。</w:t>
      </w:r>
    </w:p>
    <w:p>
      <w:pPr>
        <w:pStyle w:val="Heading2"/>
        <w:spacing w:line="480" w:lineRule="auto"/>
        <w:rPr>
          <w:rFonts w:ascii="宋体" w:eastAsia="宋体" w:hAnsi="宋体" w:cs="宋体" w:hint="eastAsia"/>
          <w:bCs w:val="0"/>
          <w:sz w:val="28"/>
          <w:szCs w:val="28"/>
          <w:lang w:eastAsia="zh-CN"/>
        </w:rPr>
      </w:pPr>
      <w:bookmarkStart w:id="11" w:name="_Toc307"/>
      <w:r>
        <w:rPr>
          <w:rFonts w:ascii="宋体" w:eastAsia="宋体" w:hAnsi="宋体" w:cs="宋体" w:hint="eastAsia"/>
          <w:b/>
          <w:bCs w:val="0"/>
          <w:sz w:val="28"/>
          <w:szCs w:val="28"/>
          <w:lang w:eastAsia="zh-CN"/>
        </w:rPr>
        <w:t>(二)、生产过程控制与优化</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过程控制与优化方面，我们充分应用了先进的生产管理技术和方法，以实现对生产过程的全面监控和精细化管理。通过实时监测和数据分析，我们能够及时发现潜在问题，确保生产过程的稳定性和高效性。从原材料采购开始，我们就对生产环节中的每个细节进行严格的控制，以确保产品的质量符合标准，满足客户的期望。</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我们注重生产过程中每个细节的控制,从原材料的质量检测到生产工艺的规范执行，都严格按照公司的标准进行。通过精益求精的理念，我们努力提高每一个生产环节的效率，减少资源的浪费，确保产品在每个阶段都能够保持高质量水平。这不仅有助于降低生产成本，还提高了公司对市场变化的应对能力。与此同时，我们持续进行生产流程的优化。通过引入创新技术和工艺，我们不断寻求生产过程的改进点，以提高整体生产效率。优化生产流程不仅能够提高产品的制造速度,还能够减少生产中的能源消耗，降低碳排放，符合公司的可持续发展战略。这种持续优化的方式有助于确保我们的生产更为环保、高效，并为客户提供更具竞争力的产品。</w:t>
      </w:r>
    </w:p>
    <w:p>
      <w:pPr>
        <w:pStyle w:val="Heading2"/>
        <w:spacing w:line="480" w:lineRule="auto"/>
        <w:rPr>
          <w:rFonts w:ascii="宋体" w:eastAsia="宋体" w:hAnsi="宋体" w:cs="宋体" w:hint="eastAsia"/>
          <w:bCs w:val="0"/>
          <w:sz w:val="28"/>
          <w:szCs w:val="28"/>
          <w:lang w:eastAsia="zh-CN"/>
        </w:rPr>
      </w:pPr>
      <w:bookmarkStart w:id="12" w:name="_Toc8811"/>
      <w:r>
        <w:rPr>
          <w:rFonts w:ascii="宋体" w:eastAsia="宋体" w:hAnsi="宋体" w:cs="宋体" w:hint="eastAsia"/>
          <w:b/>
          <w:bCs w:val="0"/>
          <w:sz w:val="28"/>
          <w:szCs w:val="28"/>
          <w:lang w:eastAsia="zh-CN"/>
        </w:rPr>
        <w:t>(三)、产品质量检验与测试</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品质量检验与测试是确保产品符合质量标准的关键步骤。我们建立了严格的检验与测试标准，对每个生产阶段进行全面检测，确保不合格产品不会流入下一道工序。采用先进的检测设备和技术，我们能够对产品的各项指标进行精准测量,确保产品质量的稳定性和可靠性。</w:t>
      </w:r>
    </w:p>
    <w:p>
      <w:pPr>
        <w:pStyle w:val="Heading2"/>
        <w:spacing w:line="480" w:lineRule="auto"/>
        <w:rPr>
          <w:rFonts w:ascii="宋体" w:eastAsia="宋体" w:hAnsi="宋体" w:cs="宋体" w:hint="eastAsia"/>
          <w:bCs w:val="0"/>
          <w:sz w:val="28"/>
          <w:szCs w:val="28"/>
          <w:lang w:eastAsia="zh-CN"/>
        </w:rPr>
      </w:pPr>
      <w:bookmarkStart w:id="13" w:name="_Toc15189"/>
      <w:r>
        <w:rPr>
          <w:rFonts w:ascii="宋体" w:eastAsia="宋体" w:hAnsi="宋体" w:cs="宋体" w:hint="eastAsia"/>
          <w:b/>
          <w:bCs w:val="0"/>
          <w:sz w:val="28"/>
          <w:szCs w:val="28"/>
          <w:lang w:eastAsia="zh-CN"/>
        </w:rPr>
        <w:t>(四)、用户反馈与质量改进</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用户的反馈对于我们的质量改进至关重要。我们通过鼓励用户提出意见和建议，建立了便捷的反馈渠道，使用户能够方便地分享他们的使用体验和感受。这种开放性的沟通机制有助于我们更深入地了解用户的需求和期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收集和分析用户反馈是我们质量管理体系的一部分。通过对用户的反馈进行系统性的整理和评估,我们能够及时发现产品可能存在的问题或不足之处。一旦发现问题，我们将迅速采取措施，包括但不限于调整生产流程、修正设计方案等，以解决潜在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的框架下,我们实施了持续改进的机制。用户反馈不仅是问题的指示器，也是我们改善产品和服务的动力。我们不断优化生产流程，提高产品设计的质量，以更好地满足用户的需求。这种持续改进的理念贯穿于整个质量管理体系,确保我们的产品始终保持在烟草行业的领先水平。</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通过用户的参与和反馈，我们建立了更加紧密的用户关系，树立了用户至上的企业形象。用户的满意度是我们最终追求的目标，而通过持续改进，我们能够不断提升产品质量，为用户提供更加优质的产品和服务。这也使我们在市场竞争中保持了稳固的竞争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4" w:name="_Toc3732"/>
      <w:r>
        <w:rPr>
          <w:rFonts w:ascii="微软雅黑" w:eastAsia="微软雅黑" w:hAnsi="微软雅黑" w:cs="微软雅黑" w:hint="eastAsia"/>
          <w:color w:val="2E54A1" w:themeColor="accent1" w:themeShade="BF"/>
          <w:sz w:val="32"/>
          <w:szCs w:val="32"/>
          <w:lang w:eastAsia="zh-CN"/>
        </w:rPr>
        <w:t>四、烟草行业运营管理及商业模式分析</w:t>
      </w:r>
      <w:bookmarkEnd w:id="14"/>
    </w:p>
    <w:p>
      <w:pPr>
        <w:pStyle w:val="Heading2"/>
        <w:spacing w:line="480" w:lineRule="auto"/>
        <w:rPr>
          <w:rFonts w:ascii="宋体" w:eastAsia="宋体" w:hAnsi="宋体" w:cs="宋体" w:hint="eastAsia"/>
          <w:bCs w:val="0"/>
          <w:sz w:val="28"/>
          <w:szCs w:val="28"/>
          <w:lang w:eastAsia="zh-CN"/>
        </w:rPr>
      </w:pPr>
      <w:bookmarkStart w:id="15" w:name="_Toc16339"/>
      <w:r>
        <w:rPr>
          <w:rFonts w:ascii="宋体" w:eastAsia="宋体" w:hAnsi="宋体" w:cs="宋体" w:hint="eastAsia"/>
          <w:b/>
          <w:bCs w:val="0"/>
          <w:sz w:val="28"/>
          <w:szCs w:val="28"/>
          <w:lang w:eastAsia="zh-CN"/>
        </w:rPr>
        <w:t>(一)、烟草行业数字化发展方案</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伴随着互联网的高速蓬勃发展，烟草行业计划构建一体化的线上销售平台，以拓展销售渠道，为消费者提供更为便捷的购物体验。此平台的关键特点包括：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1.产品展示：在该平台上展示烟草行业多款式、多颜色和不同材质的产品，以迎合各类消费者的个性需求。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2.在线购买：消费者可直接在平台上选择并购买产品，提供多样支付方式，并提供可靠的物流服务。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3.个性化定制：烟草行业将提供个性化定制服务，使消费者可以根据需求选择产品的尺寸、颜色和款式，满足其独特的装饰要求。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4.用户评价和推荐：平台将开放用户对购买产品的评价和推荐功能，为其他消费者提供可信的购物建议。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5.促销活动：通过平台进行促销活动，吸引消费者关注，提高销售额，例如限时特惠、打折促销等。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(二)数据分析技术在运营中的应用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烟草行业将充分运用数据分析技术,深入了解消费者的购物习惯、偏好和需求，以更有效地管理和运营业务。核心的数据分析技术应用有：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1.人工智能和机器学习：运用人工智能和机器学习算法，分析消费者的购物历史和行为模式，预测未来购买倾向，为消费者提供个性化的推荐和服务。</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2.用户数据收集：烟草行业将收集并分析消费者在平台上的浏览、购买和评价等数据，深入了解产品受欢迎度和需求，以优化产品策略和市场定位。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3.运营效率提升：通过分析供应链和物流数据，烟草行业将优化库存管理和订单处理流程，提升运营效率和客户满意度。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4.市场趋势分析：敏锐分析市场趋势和竞争对手动态，及时调整产品策略和定价，以保持市场的高度敏感性。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(三)线上线下体验的整合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尽管数字化发展为烟草行业带来更多销售机会,但由于产品的独特性，线上线下体验的有机整合仍然至关重要：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1.实体店展示：在实体店内设置样品展示区，呈现出不同风格和材质的产品，使消费者亲身感受产品的品质和设计。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2.虚拟试装：发展虚拟试装应用程序，让消费者通过上传个人照片，在应用程序中试穿不同款式的产品，更好地了解搭配效果，辅助购物决策。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3.线上预约与线下服务：提供线上预约服务，使消费者在实体店内享受更个性化的服务,例如专业的装饰建议和对定制需求的深入沟通。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4.活动整合：将线上线下活动有机结合，如线上促销活动与实体店联动，提升品牌曝光度，加深消费者对烟草行业的认知。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(四)提升用户互动体验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为了进一步增强与消费者之间的互动和黏性，烟草行业将采取以下措施：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1.社交媒体整合：将线上销售平台与主要社交媒体整合，通过分享、评论和点赞等社交功能，扩大品牌影响力，增加用户互动。</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2.品牌故事传播：通过生动有趣的品牌故事，向用户传达烟草行业的核心价值和文化，激发用户对品牌的情感认同，提升用户黏性。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3.虚拟活动举办：在线上平台定期举办虚拟活动，如线上时装秀、明星见面会等，吸引用户参与，拉近品牌与用户之间的距离。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(五)持续优化用户体验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烟草行业将不断优化用户体验，提高用户满意度，为此将进行以下方面的改进：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1.界面设计升级：不断升级线上销售平台的界面设计，使其更加直观、易用，提高用户在平台上的浏览和购物体验。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2.客户服务完善：建立全方位的客户服务体系，包括在线咨询、投诉处理等，确保用户在购物过程中能够获得及时、有效的帮助。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3.物流配送优化：与可靠的物流公司合作，优化配送流程，提高配送速度，确保产品及时送达，增强用户对烟草行业的信赖度。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(六)品牌社会责任推动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为深化品牌影响力，烟草行业将积极履行社会责任，推动可持续发展：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1.环保倡导：强调产品的环保特性，积极推动环保理念，关注原材料的可持续性，减少对环境的不良影响。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2.慈善合作：与慈善机构合作，进行公益活动，履行企业社会责任，为社会做出积极贡献。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3.员工培训：通过为员工提供培训，提高其社会责任意识，</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通过以上持续优化的措施，烟草行业旨在建立一个全方位、可持续发展的数字化体验，提升用户的购物满意度，巩固并扩大品牌的市场份额。</w:t>
      </w:r>
    </w:p>
    <w:p>
      <w:pPr>
        <w:pStyle w:val="Heading2"/>
        <w:spacing w:line="480" w:lineRule="auto"/>
        <w:rPr>
          <w:rFonts w:ascii="宋体" w:eastAsia="宋体" w:hAnsi="宋体" w:cs="宋体" w:hint="eastAsia"/>
          <w:bCs w:val="0"/>
          <w:sz w:val="28"/>
          <w:szCs w:val="28"/>
          <w:lang w:eastAsia="zh-CN"/>
        </w:rPr>
      </w:pPr>
      <w:bookmarkStart w:id="16" w:name="_Toc23638"/>
      <w:r>
        <w:rPr>
          <w:rFonts w:ascii="宋体" w:eastAsia="宋体" w:hAnsi="宋体" w:cs="宋体" w:hint="eastAsia"/>
          <w:b/>
          <w:bCs w:val="0"/>
          <w:sz w:val="28"/>
          <w:szCs w:val="28"/>
          <w:lang w:eastAsia="zh-CN"/>
        </w:rPr>
        <w:t>(二)、烟草行业新型运营方式</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(一)智能化产品推广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为适应市场趋势，烟草行业致力于采用智能化的产品推广方式，通过创新手段提升产品曝光和推广效果：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1.精准广告策略：运用先进的人工智能技术，制定精准的广告投放策略，确保广告更精准地触达目标受众，提高点击率和转化率。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2.虚拟购物助手升级：深化虚拟购物助手应用，引入更先进的对话系统和推荐算法，使其成为用户在购物过程中的智能伙伴，提供个性化推荐和定制建议。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3.沉浸式体验技术：进一步整合增强现实(AR)和虚拟现实(VR)技术，为消费者创造沉浸式的产品展示体验，使其更全面地了解产品特色与优势。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4.社交媒体创新宣传：在社交媒体平台上探索创新宣传形式，如短视频、互动内容等，增加用户参与度，形成有趣且引人注目的品牌形象。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(二)线上线下结合销售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烟草行业将深化线上线下融合，通过巧妙结合实现销售渠道的多元化和销售效果的互补：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1.全渠道互动体验：搭建全渠道互动平台，通过线上引流，线下店铺体验,实现全方位的产品展示与销售，提升用户购物的多样性体验。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2.智能化购物引导：利用智能化技术，在线上平台为消费者提供个性化的购物引导,同时引导线下店铺的销售人员更好地满足顾客需求。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3.数据共享与互通：优化线上线下数据管理系统，实现销售数据的实时共享，确保库存、订单等信息的及时互通，提升供应链效率。</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(三)增值服务和个性定制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为满足不断升级的消费者需求，烟草行业将不断升级增值服务和个性定制方案：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1.全方位个性化定制：拓展个性化定制服务，提供更多元化的选择，如个性化包装、刻字定制等，满足不同层次的个性需求。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2.Al驱动的增值体验：引入人工智能技术，通过对消费者行为的深度分析，提供更具针对性的增值服务，如个性化推荐、定期产品更新等。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3.增值服务会员计划：推出更完善的增值服务会员计划，为会员提供独特的福利和服务，提高会员忠诚度。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(四)绿色环保理念倡导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作为社会责任的践行者，烟草行业将进一步倡导绿色环保理念，通过以下方式积极实践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1.可持续包装创新：不断创新绿色包装设计，采用可降解、可回收的材料，降低对环境的影响。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2.供应链绿色标准：要求供应商符合绿色生产标准，选择环保材料，推动整个供应链的绿色化。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3.员工环保培训：通过培训员工环保理念，提高员工对环保问题的认识，使其成为绿色生产的积极推动者。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(五)品牌联合和跨界合作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为扩大品牌影响力，烟草行业将积极寻求品牌联合和跨界合作的机会：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1.全球设计师合作：寻求与国际知名设计师的合作，共同推出独特的设计系列产品，提升品牌设计水平。</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2.烟草行业创新合作：与其他烟草行业进行更深度的创新合作，如科技、艺术等，推出更具前瞻性的产品。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3.社交媒体平台深度合作：与社交媒体平台展开深度合作，通过社交媒体渠道推动品牌传播，提高品牌知名度和用户黏性。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(六)新型运营方式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为推动烟草行业的全面发展,新型运营方式将进一步塑造品牌形象和提升市场竞争力：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1.智能化产品推广：强化智能化产品推广，通过人工智能技术提高广告的个性化和用户体验。引入语音搜索技术，使消费者可以更便捷地搜索和了解产品信息。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2.线上线下结合销售：深入挖掘线上线下结合的潜力，通过大数据分析，调整产品在不同渠道的定位，实现更精准的销售策略。引入虚拟现实(VR)和实际体验相结合的线下展示，营造独特购物氛围。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3.增值服务和个性定制：拓展增值服务范围，包括定期更新的增值服务包，为消费者提供更多专属福利。推出更多Al智能建议，根据用户的购物历史和喜好，提供个性化产品推荐。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4.绿色环保理念倡导：深化绿色环保理念，建立全球环保倡议，与其他企业合作推动产业的绿色升级。积极参与环保公益活动，提高品牌的社会责任感。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5.品牌联合和跨界合作：不断寻求创新性的品牌联合和跨界合作，与环保组织、艺术家和科技公司等展开深度合作，推动品牌更多元化的发展。</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烟草行业将巩固其在市场上的地位，实现品牌的可持续增长和全球化发展。这不仅有助于满足消费者多元化的需求，同时也将促使企业在烟草行业中更具领导力和创新力。</w:t>
      </w:r>
    </w:p>
    <w:p>
      <w:pPr>
        <w:pStyle w:val="Heading2"/>
        <w:spacing w:line="480" w:lineRule="auto"/>
        <w:rPr>
          <w:rFonts w:ascii="宋体" w:eastAsia="宋体" w:hAnsi="宋体" w:cs="宋体" w:hint="eastAsia"/>
          <w:bCs w:val="0"/>
          <w:sz w:val="28"/>
          <w:szCs w:val="28"/>
          <w:lang w:eastAsia="zh-CN"/>
        </w:rPr>
      </w:pPr>
      <w:bookmarkStart w:id="17" w:name="_Toc8827"/>
      <w:r>
        <w:rPr>
          <w:rFonts w:ascii="宋体" w:eastAsia="宋体" w:hAnsi="宋体" w:cs="宋体" w:hint="eastAsia"/>
          <w:b/>
          <w:bCs w:val="0"/>
          <w:sz w:val="28"/>
          <w:szCs w:val="28"/>
          <w:lang w:eastAsia="zh-CN"/>
        </w:rPr>
        <w:t>(三)、烟草行业风险管理</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1.市场风险管理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市场的不确定性对烟草行业构成了潜在威胁。为了降低市场风险，公司将采用以下策略：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市场调研与趋势分析：定期进行全面的市场调研，深入了解客户需求和竞争态势，及时调整产品策略以适应市场变化。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多元化产品线：提供多样化的产品线，以迎合不同客户群体的需求，减轻单一产品或市场的风险。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快速响应机制：设立灵活的生产和供应链体系，使公司能够迅速应对市场变化，保持竞争力。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烟草行业的制品涉及复杂的供应链，因此对供应链的风险进行全面管理至关重要：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供应商多元化：建立多个供应商合作关系，减少对单一供应商的依赖，降低由供应链中断引起的潜在风险。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紧急计划和备货：制定完善的紧急计划，确保公司在面临供应链问题时能够及时调整，并保持足够的备货水平。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随着科技的快速发展，烟草行业需要不断创新以维持竞争优势。技术风险管理措施包括：</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技术团队建设：拥有高效的技术团队，持续跟踪烟草行业技术发展，确保产品技术水平和生产工艺的先进性。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技术创新投资：将资金投入研发和创新，引入最新技术，提高产品的技术含量，以适应市场的技术需求。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4.品牌声誉风险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管理品牌声誉是烟草行业最为珍贵的资产之一。为保护品牌声誉，公司将采取以下手段：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危机管理团队：建立专业的危机管理团队，制定详尽的危机管理计划，能够在危机发生时迅速做出反应。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透明沟通机制：建立透明的沟通渠道，及时向客户和合作伙伴传递准确信息，减少虚假信息传播对品牌声誉的负面影响。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5.法律合规风险管理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烟草行业在国际市场运营，因此法律合规风险管理尤为关键：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全球法务团队：组建专业的全球法务团队，及时了解并遵守各地法规，确保企业运营合法性。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合规培训：为员工提供法律合规培训，确保其在工作中能够识别和遵守相关法规。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法律风险评估：定期进行法律风险评估，以便及时应对潜在法律风险，确保公司的经营活动不受到不必要的法律纠纷。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6.金融风险管理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由于金融市场的波动，烟草行业可能面临着多种金融风险。为了有效管理这些风险，公司将采取以下措施：</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财务管理团队：组建专业的财务管理团队，密切关注汇率、利率等金融市场变化，及时制定应对方案。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风险对冲：使用金融工具进行风险对冲，降低由于外汇波动和利率变化带来的财务风险。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灵活财务计划：制定灵活的财务计划，根据市场环境变化，调整资金结构，确保公司的资金链畅通。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7.环境和社会责任风险管理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随着社会对环境和社会责任的关注不断提高，烟草行业将积极管理相关风险：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环保生产实践：推行环保生产政策，选择环保材料，减少生产过程中的环境污染。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社会责任项目：推动社会责任项目，参与公益活动,回馈社会，树立积极的企业形象。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员工培训：通过员工培训，提高员工对环境保护和社会责任的认识，促进全员参与公司的环保实践。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8.人才管理风险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烟草行业在业务运营中依赖于高素质的人才。为了有效管理人才风险，公司将采取以下策略：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人才招聘与培训：确保拥有招聘渠道多元化，同时注重培训和发展内部人才，以满足业务的不断发展需求。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员工福利与激励：提供有竞争力的员工福利和激励计划，以留住关键人才，确保业务的连续性和稳健性。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绩效评估与晋升机制：建立科学的绩效评估和晋升机制，激发员工的潜力，提高整体团队的执行力和竞争力。</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9.数据安全与隐私风险管理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随着数字化的推进，烟草行业在业务中处理大量敏感数据。为了保护数据安全与隐私，公司将采用以下措施：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信息安全政策：制定和实施严格的信息安全政策，确保数据在采集、传输和存储的过程中得到充分的保护。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员工培训与意识提升：向员工提供关于数据安全和隐私的培训，提高其对安全风险的认识，降低因人为因素引起的潜在风险。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技术防护措施：部署先进的技术防护手段，如加密技术和安全审计系统，以防范外部攻击和数据泄漏。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10.全球政治与地缘风险管理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烟草行业在国际市场运营，因此全球政治和地缘风险可能对业务产生影响。为了应对这些风险，公司将采取以下举措：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政治风险评估：定期评估全球各地的政治形势，了解可能对业务造成的政治风险，并制定相应的因应计划。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多元化市场布局：分散业务在不同地区的依赖，以降低因特定地区政治不稳定性而带来的潜在风险。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国际合作与关系建设：积极参与国际合作，建立良好的国际关系，以提高在不同地区的稳定性和可持续性。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8" w:name="_Toc14256"/>
      <w:r>
        <w:rPr>
          <w:rFonts w:ascii="微软雅黑" w:eastAsia="微软雅黑" w:hAnsi="微软雅黑" w:cs="微软雅黑" w:hint="eastAsia"/>
          <w:color w:val="2E54A1" w:themeColor="accent1" w:themeShade="BF"/>
          <w:sz w:val="32"/>
          <w:szCs w:val="32"/>
          <w:lang w:eastAsia="zh-CN"/>
        </w:rPr>
        <w:t>五、安全与劳动保护</w:t>
      </w:r>
      <w:bookmarkEnd w:id="18"/>
    </w:p>
    <w:p>
      <w:pPr>
        <w:pStyle w:val="Heading2"/>
        <w:spacing w:line="480" w:lineRule="auto"/>
        <w:rPr>
          <w:rFonts w:ascii="宋体" w:eastAsia="宋体" w:hAnsi="宋体" w:cs="宋体" w:hint="eastAsia"/>
          <w:bCs w:val="0"/>
          <w:sz w:val="28"/>
          <w:szCs w:val="28"/>
          <w:lang w:eastAsia="zh-CN"/>
        </w:rPr>
      </w:pPr>
      <w:bookmarkStart w:id="19" w:name="_Toc20759"/>
      <w:r>
        <w:rPr>
          <w:rFonts w:ascii="宋体" w:eastAsia="宋体" w:hAnsi="宋体" w:cs="宋体" w:hint="eastAsia"/>
          <w:b/>
          <w:bCs w:val="0"/>
          <w:sz w:val="28"/>
          <w:szCs w:val="28"/>
          <w:lang w:eastAsia="zh-CN"/>
        </w:rPr>
        <w:t>(一)、设计依据与法规合规</w:t>
      </w:r>
      <w:bookmarkEnd w:id="19"/>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过深入研究和全面了解相关的法规和标准，我们确保项目的设计与规划符合国家和地区的法规要求。这不仅有助于项目的合法合规运行，也为劳动保护提供了坚实的法律基础。我们注重对设计方案的审核，确保其符合各项法规的要求，以预防潜在的安全风险和劳动保护隐患。</w:t>
      </w:r>
    </w:p>
    <w:p>
      <w:pPr>
        <w:pStyle w:val="Heading2"/>
        <w:spacing w:line="480" w:lineRule="auto"/>
        <w:rPr>
          <w:rFonts w:ascii="宋体" w:eastAsia="宋体" w:hAnsi="宋体" w:cs="宋体" w:hint="eastAsia"/>
          <w:bCs w:val="0"/>
          <w:sz w:val="28"/>
          <w:szCs w:val="28"/>
          <w:lang w:eastAsia="zh-CN"/>
        </w:rPr>
      </w:pPr>
      <w:bookmarkStart w:id="20" w:name="_Toc2559"/>
      <w:r>
        <w:rPr>
          <w:rFonts w:ascii="宋体" w:eastAsia="宋体" w:hAnsi="宋体" w:cs="宋体" w:hint="eastAsia"/>
          <w:b/>
          <w:bCs w:val="0"/>
          <w:sz w:val="28"/>
          <w:szCs w:val="28"/>
          <w:lang w:eastAsia="zh-CN"/>
        </w:rPr>
        <w:t>(二)、劳动安全预期效果评价</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劳动安全预期效果评价是我们保障项目运营安全的重要手段之一。通过在项目运营前对潜在的风险和安全隐患进行充分评估，我们能够预见可能发生的问题，并制定相应的应对策略。这有助于提前排除潜在的安全隐患，保障项目运营的平稳进行。我们注重对每一项工作环节的风险评估，确保在项目的每个阶段都有科学可行的安全保障措施。</w:t>
      </w:r>
    </w:p>
    <w:p>
      <w:pPr>
        <w:pStyle w:val="Heading2"/>
        <w:spacing w:line="480" w:lineRule="auto"/>
        <w:rPr>
          <w:rFonts w:ascii="宋体" w:eastAsia="宋体" w:hAnsi="宋体" w:cs="宋体" w:hint="eastAsia"/>
          <w:bCs w:val="0"/>
          <w:sz w:val="28"/>
          <w:szCs w:val="28"/>
          <w:lang w:eastAsia="zh-CN"/>
        </w:rPr>
      </w:pPr>
      <w:bookmarkStart w:id="21" w:name="_Toc24416"/>
      <w:r>
        <w:rPr>
          <w:rFonts w:ascii="宋体" w:eastAsia="宋体" w:hAnsi="宋体" w:cs="宋体" w:hint="eastAsia"/>
          <w:b/>
          <w:bCs w:val="0"/>
          <w:sz w:val="28"/>
          <w:szCs w:val="28"/>
          <w:lang w:eastAsia="zh-CN"/>
        </w:rPr>
        <w:t>(三)、主要防范措施</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的过程中,我们对安全操作规程的执行持续严格把关，确保所有参与项目的人员都接受了相应的安全培训,掌握了必要的操作技能。我们认识到培训的重要性，因此通过定期的培训计划，不断提升团队成员的安全意识和紧急情况处理能力。这有助于在实际工作中做到心中有数，保障每位成员在项目中的工作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各类突发状况,我们在项目实施中设立了定期的安全检查与演练机制。通过模拟各类可能发生的安全问题，我们评估团队的应急响应能力，及时纠正不足之处，并优化应对方案。这种演练不仅提高了团队的整体素养，也使每位成员更加熟悉项目环境，为实际工作中的风险提前做好准备。</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场安全管理方面，我们建立了一套科学的安全生产责任制度。每位项目参与者都有明确的安全责任,包括对自己和他人的安全负责。我们强调团队协作，鼓励成员间相互监督，形成了一个紧密的安全管理网络。同时，我们加强了现场的安全监控和隐患排查机制，确保安全隐患能够及时发现、迅速处理,从而将潜在风险控制在最小范围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全面、有力的防范措施，我们不仅在项目实施中确保了高水平的安全管理，也向团队传递了对安全的高度重视。这种安全文化的建设不仅仅是符合法规要求,更是我们对团队成员生命安全的高度责任感的体现。在未来的项目中，我们将继续秉持着对安全的执着追求，为每个项目成员提供一个安全、稳定的工作环境。</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2" w:name="_Toc28835"/>
      <w:r>
        <w:rPr>
          <w:rFonts w:ascii="微软雅黑" w:eastAsia="微软雅黑" w:hAnsi="微软雅黑" w:cs="微软雅黑" w:hint="eastAsia"/>
          <w:color w:val="2E54A1" w:themeColor="accent1" w:themeShade="BF"/>
          <w:sz w:val="32"/>
          <w:szCs w:val="32"/>
          <w:lang w:eastAsia="zh-CN"/>
        </w:rPr>
        <w:t>六、质量与技术管理</w:t>
      </w:r>
      <w:bookmarkEnd w:id="22"/>
    </w:p>
    <w:p>
      <w:pPr>
        <w:pStyle w:val="Heading2"/>
        <w:spacing w:line="480" w:lineRule="auto"/>
        <w:rPr>
          <w:rFonts w:ascii="宋体" w:eastAsia="宋体" w:hAnsi="宋体" w:cs="宋体" w:hint="eastAsia"/>
          <w:bCs w:val="0"/>
          <w:sz w:val="28"/>
          <w:szCs w:val="28"/>
          <w:lang w:eastAsia="zh-CN"/>
        </w:rPr>
      </w:pPr>
      <w:bookmarkStart w:id="23" w:name="_Toc5014"/>
      <w:r>
        <w:rPr>
          <w:rFonts w:ascii="宋体" w:eastAsia="宋体" w:hAnsi="宋体" w:cs="宋体" w:hint="eastAsia"/>
          <w:b/>
          <w:bCs w:val="0"/>
          <w:sz w:val="28"/>
          <w:szCs w:val="28"/>
          <w:lang w:eastAsia="zh-CN"/>
        </w:rPr>
        <w:t>(一)、质量管理体系建设</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24" w:name="_Toc17843"/>
      <w:r>
        <w:rPr>
          <w:rFonts w:ascii="宋体" w:eastAsia="宋体" w:hAnsi="宋体" w:cs="宋体" w:hint="eastAsia"/>
          <w:b/>
          <w:bCs w:val="0"/>
          <w:sz w:val="28"/>
          <w:szCs w:val="28"/>
          <w:lang w:eastAsia="zh-CN"/>
        </w:rPr>
        <w:t>(二)、技术标准与创新</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烟草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烟草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5" w:name="_Toc16620"/>
      <w:r>
        <w:rPr>
          <w:rFonts w:ascii="微软雅黑" w:eastAsia="微软雅黑" w:hAnsi="微软雅黑" w:cs="微软雅黑" w:hint="eastAsia"/>
          <w:color w:val="2E54A1" w:themeColor="accent1" w:themeShade="BF"/>
          <w:sz w:val="32"/>
          <w:szCs w:val="32"/>
          <w:lang w:eastAsia="zh-CN"/>
        </w:rPr>
        <w:t>七、环境与社会责任</w:t>
      </w:r>
      <w:bookmarkEnd w:id="25"/>
    </w:p>
    <w:p>
      <w:pPr>
        <w:pStyle w:val="Heading2"/>
        <w:spacing w:line="480" w:lineRule="auto"/>
        <w:rPr>
          <w:rFonts w:ascii="宋体" w:eastAsia="宋体" w:hAnsi="宋体" w:cs="宋体" w:hint="eastAsia"/>
          <w:bCs w:val="0"/>
          <w:sz w:val="28"/>
          <w:szCs w:val="28"/>
          <w:lang w:eastAsia="zh-CN"/>
        </w:rPr>
      </w:pPr>
      <w:bookmarkStart w:id="26" w:name="_Toc13125"/>
      <w:r>
        <w:rPr>
          <w:rFonts w:ascii="宋体" w:eastAsia="宋体" w:hAnsi="宋体" w:cs="宋体" w:hint="eastAsia"/>
          <w:b/>
          <w:bCs w:val="0"/>
          <w:sz w:val="28"/>
          <w:szCs w:val="28"/>
          <w:lang w:eastAsia="zh-CN"/>
        </w:rPr>
        <w:t>(一)、环境影响评估</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烟草行业项目在实施过程中，积极进行环境影响评估，以确保项目对周边环境的最小化影响。首先，我们对项目的各个阶段进行了详细分析，包括生产、运输、使用和废弃等环节。通过对各项活动的影响进行评估,制定了一系列的环保措施,以减少对自然环境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在生产环节，我们采用了先进的生产工艺和环保技术，以提高资源利用效率，减少排放物的产生。对于可能产生的废弃物，我们制定了科学合理的处理方案，以确保废弃物不对周边环境造成负面影响。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在运输和使用阶段，我们通过优化供应链和产品设计，降低能耗和排放,减少对空气和水质的污染。同时,我们倡导并实施绿色运输，推动可再生能源的使用，以减缓气候变化对环境的不利影响。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在废弃阶段，我们致力于实现产品的循环利用和资源回收。通过建立回收网络和合作伙伴关系,最大限度地减少产品废弃对环境的压力，推动可持续发展理念的实施。</w:t>
      </w:r>
    </w:p>
    <w:p>
      <w:pPr>
        <w:pStyle w:val="Heading2"/>
        <w:spacing w:line="480" w:lineRule="auto"/>
        <w:rPr>
          <w:rFonts w:ascii="宋体" w:eastAsia="宋体" w:hAnsi="宋体" w:cs="宋体" w:hint="eastAsia"/>
          <w:bCs w:val="0"/>
          <w:sz w:val="28"/>
          <w:szCs w:val="28"/>
          <w:lang w:eastAsia="zh-CN"/>
        </w:rPr>
      </w:pPr>
      <w:bookmarkStart w:id="27" w:name="_Toc9757"/>
      <w:r>
        <w:rPr>
          <w:rFonts w:ascii="宋体" w:eastAsia="宋体" w:hAnsi="宋体" w:cs="宋体" w:hint="eastAsia"/>
          <w:b/>
          <w:bCs w:val="0"/>
          <w:sz w:val="28"/>
          <w:szCs w:val="28"/>
          <w:lang w:eastAsia="zh-CN"/>
        </w:rPr>
        <w:t>(二)、社会责任与可持续发展</w:t>
      </w:r>
      <w:bookmarkEnd w:id="2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是烟草行业项目的重要组成部分，我们致力于在项目实施过程中履行企业的社会责任，实现可持续发展。首先，我们积极参与社区建设和公益事业，回馈社会，提高当地居民的生活水平。通过与当地社区建立紧密联系，听取各方意见，确保项目的实施符合当地的社会文化和价值观。</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https://d.book118.com/816224032011010034</w:t>
        </w:r>
      </w:hyperlink>
    </w:p>
    <w:p>
      <w:pPr>
        <w:spacing w:line="480" w:lineRule="auto"/>
        <w:ind w:firstLine="420" w:firstLineChars="0"/>
        <w:rPr>
          <w:rFonts w:ascii="宋体" w:eastAsia="宋体" w:hAnsi="宋体" w:cs="宋体" w:hint="eastAsia"/>
          <w:sz w:val="24"/>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0CAA1CD1"/>
    <w:rsid w:val="13614867"/>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81622403201101003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