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spacing w:before="305" w:line="186" w:lineRule="auto"/>
        <w:ind w:left="2759" w:right="568" w:hanging="2160"/>
        <w:outlineLvl w:val="0"/>
        <w:rPr>
          <w:rFonts w:ascii="Microsoft YaHei" w:eastAsia="Microsoft YaHei" w:hAnsi="Microsoft YaHei" w:cs="Microsoft YaHei"/>
          <w:sz w:val="71"/>
          <w:szCs w:val="71"/>
        </w:rPr>
      </w:pPr>
      <w:r>
        <w:rPr>
          <w:rFonts w:ascii="Microsoft YaHei" w:eastAsia="Microsoft YaHei" w:hAnsi="Microsoft YaHei" w:cs="Microsoft YaHei"/>
          <w:spacing w:val="6"/>
          <w:sz w:val="71"/>
          <w:szCs w:val="71"/>
        </w:rPr>
        <w:t>全国职业院校技能大赛</w:t>
      </w:r>
      <w:r>
        <w:rPr>
          <w:rFonts w:ascii="Microsoft YaHei" w:eastAsia="Microsoft YaHei" w:hAnsi="Microsoft YaHei" w:cs="Microsoft YaHei"/>
          <w:spacing w:val="5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71"/>
          <w:szCs w:val="71"/>
        </w:rPr>
        <w:t>赛项规程</w:t>
      </w: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spacing w:before="133" w:line="190" w:lineRule="auto"/>
        <w:ind w:left="86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赛项名称：</w:t>
      </w:r>
      <w:r>
        <w:rPr>
          <w:rFonts w:ascii="Microsoft YaHei" w:eastAsia="Microsoft YaHei" w:hAnsi="Microsoft YaHei" w:cs="Microsoft YaHei"/>
          <w:sz w:val="31"/>
          <w:szCs w:val="31"/>
          <w:u w:val="single" w:color="auto"/>
        </w:rPr>
        <w:t xml:space="preserve">              </w:t>
      </w:r>
      <w:r>
        <w:rPr>
          <w:rFonts w:ascii="Microsoft YaHei" w:eastAsia="Microsoft YaHei" w:hAnsi="Microsoft YaHei" w:cs="Microsoft YaHei"/>
          <w:spacing w:val="7"/>
          <w:sz w:val="31"/>
          <w:szCs w:val="31"/>
          <w:u w:val="single" w:color="auto"/>
        </w:rPr>
        <w:t>康复治疗技术</w:t>
      </w:r>
      <w:r>
        <w:rPr>
          <w:rFonts w:ascii="Microsoft YaHei" w:eastAsia="Microsoft YaHei" w:hAnsi="Microsoft YaHei" w:cs="Microsoft YaHei"/>
          <w:sz w:val="31"/>
          <w:szCs w:val="31"/>
          <w:u w:val="single" w:color="auto"/>
        </w:rPr>
        <w:t xml:space="preserve">                  </w:t>
      </w:r>
    </w:p>
    <w:p>
      <w:pPr>
        <w:pStyle w:val="BodyText"/>
        <w:spacing w:line="243" w:lineRule="auto"/>
      </w:pPr>
    </w:p>
    <w:p>
      <w:pPr>
        <w:spacing w:before="133" w:line="178" w:lineRule="auto"/>
        <w:ind w:left="87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英文名称：</w:t>
      </w:r>
      <w:r>
        <w:rPr>
          <w:rFonts w:ascii="Microsoft YaHei" w:eastAsia="Microsoft YaHei" w:hAnsi="Microsoft YaHei" w:cs="Microsoft YaHei"/>
          <w:spacing w:val="-1"/>
          <w:sz w:val="28"/>
          <w:szCs w:val="28"/>
          <w:u w:val="single" w:color="auto"/>
        </w:rPr>
        <w:t>Rehabilitation</w:t>
      </w:r>
      <w:r>
        <w:rPr>
          <w:rFonts w:ascii="Microsoft YaHei" w:eastAsia="Microsoft YaHei" w:hAnsi="Microsoft YaHei" w:cs="Microsoft YaHei"/>
          <w:spacing w:val="63"/>
          <w:sz w:val="28"/>
          <w:szCs w:val="28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8"/>
          <w:szCs w:val="28"/>
          <w:u w:val="single" w:color="auto"/>
        </w:rPr>
        <w:t>treatmen</w:t>
      </w:r>
      <w:r>
        <w:rPr>
          <w:rFonts w:ascii="Microsoft YaHei" w:eastAsia="Microsoft YaHei" w:hAnsi="Microsoft YaHei" w:cs="Microsoft YaHei"/>
          <w:spacing w:val="-2"/>
          <w:sz w:val="28"/>
          <w:szCs w:val="28"/>
          <w:u w:val="single" w:color="auto"/>
        </w:rPr>
        <w:t>t</w:t>
      </w:r>
      <w:r>
        <w:rPr>
          <w:rFonts w:ascii="Microsoft YaHei" w:eastAsia="Microsoft YaHei" w:hAnsi="Microsoft YaHei" w:cs="Microsoft YaHei"/>
          <w:spacing w:val="65"/>
          <w:sz w:val="28"/>
          <w:szCs w:val="28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8"/>
          <w:szCs w:val="28"/>
          <w:u w:val="single" w:color="auto"/>
        </w:rPr>
        <w:t>technology</w:t>
      </w:r>
    </w:p>
    <w:p>
      <w:pPr>
        <w:pStyle w:val="BodyText"/>
        <w:spacing w:line="272" w:lineRule="auto"/>
      </w:pPr>
    </w:p>
    <w:p>
      <w:pPr>
        <w:spacing w:before="133" w:line="190" w:lineRule="auto"/>
        <w:ind w:left="869"/>
        <w:rPr>
          <w:rFonts w:ascii="Microsoft YaHei" w:eastAsia="Microsoft YaHei" w:hAnsi="Microsoft YaHei" w:cs="Microsoft YaHei"/>
          <w:sz w:val="31"/>
          <w:szCs w:val="31"/>
        </w:rPr>
        <w:sectPr>
          <w:pgSz w:w="11906" w:h="16839"/>
          <w:pgMar w:top="1431" w:right="1785" w:bottom="0" w:left="1785" w:header="0" w:footer="0" w:gutter="0"/>
          <w:cols w:space="708"/>
        </w:sectPr>
      </w:pP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赛项组别：</w:t>
      </w:r>
      <w:r>
        <w:rPr>
          <w:rFonts w:ascii="Microsoft YaHei" w:eastAsia="Microsoft YaHei" w:hAnsi="Microsoft YaHei" w:cs="Microsoft YaHei"/>
          <w:spacing w:val="1"/>
          <w:sz w:val="31"/>
          <w:szCs w:val="31"/>
          <w:u w:val="single" w:color="auto"/>
        </w:rPr>
        <w:t xml:space="preserve">              </w:t>
      </w:r>
      <w:r>
        <w:rPr>
          <w:rFonts w:ascii="Microsoft YaHei" w:eastAsia="Microsoft YaHei" w:hAnsi="Microsoft YaHei" w:cs="Microsoft YaHei"/>
          <w:spacing w:val="2"/>
          <w:sz w:val="31"/>
          <w:szCs w:val="31"/>
          <w:u w:val="single" w:color="auto"/>
        </w:rPr>
        <w:t xml:space="preserve">高等职业教育                     </w:t>
      </w:r>
    </w:p>
    <w:p>
      <w:pPr>
        <w:pStyle w:val="BodyText"/>
        <w:spacing w:line="243" w:lineRule="auto"/>
      </w:pPr>
    </w:p>
    <w:p>
      <w:pPr>
        <w:spacing w:before="133" w:line="190" w:lineRule="auto"/>
        <w:ind w:left="86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赛项编号：</w:t>
      </w:r>
      <w:r>
        <w:rPr>
          <w:rFonts w:ascii="Microsoft YaHei" w:eastAsia="Microsoft YaHei" w:hAnsi="Microsoft YaHei" w:cs="Microsoft YaHei"/>
          <w:spacing w:val="1"/>
          <w:sz w:val="31"/>
          <w:szCs w:val="31"/>
          <w:u w:val="single" w:color="auto"/>
        </w:rPr>
        <w:t xml:space="preserve">                   </w:t>
      </w:r>
      <w:r>
        <w:rPr>
          <w:rFonts w:ascii="Microsoft YaHei" w:eastAsia="Microsoft YaHei" w:hAnsi="Microsoft YaHei" w:cs="Microsoft YaHei"/>
          <w:spacing w:val="-8"/>
          <w:sz w:val="31"/>
          <w:szCs w:val="31"/>
          <w:u w:val="single" w:color="auto"/>
        </w:rPr>
        <w:t xml:space="preserve">GZ042                   </w:t>
      </w:r>
      <w:r>
        <w:rPr>
          <w:rFonts w:ascii="Microsoft YaHei" w:eastAsia="Microsoft YaHei" w:hAnsi="Microsoft YaHei" w:cs="Microsoft YaHei"/>
          <w:spacing w:val="-9"/>
          <w:sz w:val="31"/>
          <w:szCs w:val="31"/>
          <w:u w:val="single" w:color="auto"/>
        </w:rPr>
        <w:t xml:space="preserve">       </w:t>
      </w:r>
    </w:p>
    <w:p>
      <w:pPr>
        <w:spacing w:line="190" w:lineRule="auto"/>
        <w:rPr>
          <w:rFonts w:ascii="Microsoft YaHei" w:eastAsia="Microsoft YaHei" w:hAnsi="Microsoft YaHei" w:cs="Microsoft YaHei"/>
          <w:sz w:val="31"/>
          <w:szCs w:val="31"/>
        </w:rPr>
        <w:sectPr>
          <w:type w:val="nextPage"/>
          <w:pgSz w:w="11906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before="65" w:line="190" w:lineRule="auto"/>
        <w:ind w:left="13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-4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、赛项信息</w:t>
      </w:r>
    </w:p>
    <w:tbl>
      <w:tblPr>
        <w:tblStyle w:val="TableNormal0"/>
        <w:tblW w:w="90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1558"/>
        <w:gridCol w:w="1800"/>
        <w:gridCol w:w="4336"/>
      </w:tblGrid>
      <w:tr>
        <w:tblPrEx>
          <w:tblW w:w="90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9"/>
        </w:trPr>
        <w:tc>
          <w:tcPr>
            <w:tcW w:w="9082" w:type="dxa"/>
            <w:gridSpan w:val="4"/>
            <w:vAlign w:val="top"/>
          </w:tcPr>
          <w:p>
            <w:pPr>
              <w:spacing w:before="124" w:line="224" w:lineRule="auto"/>
              <w:ind w:left="3995"/>
              <w:rPr>
                <w:rFonts w:ascii="FangSong" w:eastAsia="FangSong" w:hAnsi="FangSong" w:cs="FangSong"/>
                <w:sz w:val="28"/>
                <w:szCs w:val="28"/>
              </w:rPr>
            </w:pPr>
            <w:r>
              <w:rPr>
                <w:rFonts w:ascii="FangSong" w:eastAsia="FangSong" w:hAnsi="FangSong" w:cs="FangSong"/>
                <w:spacing w:val="-4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赛项类别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525"/>
        </w:trPr>
        <w:tc>
          <w:tcPr>
            <w:tcW w:w="9082" w:type="dxa"/>
            <w:gridSpan w:val="4"/>
            <w:vAlign w:val="top"/>
          </w:tcPr>
          <w:p>
            <w:pPr>
              <w:spacing w:before="139" w:line="213" w:lineRule="auto"/>
              <w:ind w:left="215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position w:val="-5"/>
                <w:sz w:val="24"/>
                <w:szCs w:val="24"/>
              </w:rPr>
              <w:drawing>
                <wp:inline distT="0" distB="0" distL="0" distR="0">
                  <wp:extent cx="131324" cy="160477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324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>每年赛</w:t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 xml:space="preserve">    </w:t>
            </w:r>
            <w:r>
              <w:rPr>
                <w:position w:val="-5"/>
                <w:sz w:val="24"/>
                <w:szCs w:val="24"/>
              </w:rPr>
              <w:drawing>
                <wp:inline distT="0" distB="0" distL="0" distR="0">
                  <wp:extent cx="121883" cy="160477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83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>隔年赛（</w:t>
            </w:r>
            <w:r>
              <w:rPr>
                <w:position w:val="-5"/>
                <w:sz w:val="24"/>
                <w:szCs w:val="24"/>
              </w:rPr>
              <w:drawing>
                <wp:inline distT="0" distB="0" distL="0" distR="0">
                  <wp:extent cx="121883" cy="160477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83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>奇数年/</w:t>
            </w:r>
            <w:r>
              <w:rPr>
                <w:position w:val="-5"/>
                <w:sz w:val="24"/>
                <w:szCs w:val="24"/>
              </w:rPr>
              <w:drawing>
                <wp:inline distT="0" distB="0" distL="0" distR="0">
                  <wp:extent cx="121883" cy="160477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83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>偶数年）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525"/>
        </w:trPr>
        <w:tc>
          <w:tcPr>
            <w:tcW w:w="9082" w:type="dxa"/>
            <w:gridSpan w:val="4"/>
            <w:vAlign w:val="top"/>
          </w:tcPr>
          <w:p>
            <w:pPr>
              <w:spacing w:before="118" w:line="224" w:lineRule="auto"/>
              <w:ind w:left="3995"/>
              <w:rPr>
                <w:rFonts w:ascii="FangSong" w:eastAsia="FangSong" w:hAnsi="FangSong" w:cs="FangSong"/>
                <w:sz w:val="28"/>
                <w:szCs w:val="28"/>
              </w:rPr>
            </w:pPr>
            <w:r>
              <w:rPr>
                <w:rFonts w:ascii="FangSong" w:eastAsia="FangSong" w:hAnsi="FangSong" w:cs="FangSong"/>
                <w:spacing w:val="-4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赛项组别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525"/>
        </w:trPr>
        <w:tc>
          <w:tcPr>
            <w:tcW w:w="9082" w:type="dxa"/>
            <w:gridSpan w:val="4"/>
            <w:vAlign w:val="top"/>
          </w:tcPr>
          <w:p>
            <w:pPr>
              <w:spacing w:before="141" w:line="218" w:lineRule="auto"/>
              <w:ind w:left="272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□中等职业教育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 xml:space="preserve">   </w:t>
            </w:r>
            <w:r>
              <w:rPr>
                <w:position w:val="-4"/>
                <w:sz w:val="24"/>
                <w:szCs w:val="24"/>
              </w:rPr>
              <w:drawing>
                <wp:inline distT="0" distB="0" distL="0" distR="0">
                  <wp:extent cx="118719" cy="160477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19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高等职业教育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27"/>
        </w:trPr>
        <w:tc>
          <w:tcPr>
            <w:tcW w:w="9082" w:type="dxa"/>
            <w:gridSpan w:val="4"/>
            <w:vAlign w:val="top"/>
          </w:tcPr>
          <w:p>
            <w:pPr>
              <w:pStyle w:val="TableText"/>
              <w:spacing w:line="268" w:lineRule="auto"/>
            </w:pPr>
          </w:p>
          <w:p>
            <w:pPr>
              <w:spacing w:before="78" w:line="207" w:lineRule="auto"/>
              <w:ind w:left="80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position w:val="-4"/>
                <w:sz w:val="24"/>
                <w:szCs w:val="24"/>
              </w:rPr>
              <w:drawing>
                <wp:inline distT="0" distB="0" distL="0" distR="0">
                  <wp:extent cx="125120" cy="160477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120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>学生赛(□个人/</w:t>
            </w:r>
            <w:r>
              <w:rPr>
                <w:position w:val="-4"/>
                <w:sz w:val="24"/>
                <w:szCs w:val="24"/>
              </w:rPr>
              <w:drawing>
                <wp:inline distT="0" distB="0" distL="0" distR="0">
                  <wp:extent cx="125120" cy="160477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120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>团体）</w:t>
            </w:r>
            <w:r>
              <w:rPr>
                <w:rFonts w:ascii="FangSong" w:eastAsia="FangSong" w:hAnsi="FangSong" w:cs="FangSong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>□教师赛（试点）</w:t>
            </w:r>
            <w:r>
              <w:rPr>
                <w:rFonts w:ascii="FangSong" w:eastAsia="FangSong" w:hAnsi="FangSong" w:cs="FangSong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>□师生联队赛（试点）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525"/>
        </w:trPr>
        <w:tc>
          <w:tcPr>
            <w:tcW w:w="9082" w:type="dxa"/>
            <w:gridSpan w:val="4"/>
            <w:vAlign w:val="top"/>
          </w:tcPr>
          <w:p>
            <w:pPr>
              <w:spacing w:before="119" w:line="222" w:lineRule="auto"/>
              <w:ind w:left="2030"/>
              <w:rPr>
                <w:rFonts w:ascii="FangSong" w:eastAsia="FangSong" w:hAnsi="FangSong" w:cs="FangSong"/>
                <w:sz w:val="28"/>
                <w:szCs w:val="28"/>
              </w:rPr>
            </w:pPr>
            <w:r>
              <w:rPr>
                <w:rFonts w:ascii="FangSong" w:eastAsia="FangSong" w:hAnsi="FangSong" w:cs="FangSong"/>
                <w:spacing w:val="-1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涉及专业大类、专业类、专业及核心课程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879"/>
        </w:trPr>
        <w:tc>
          <w:tcPr>
            <w:tcW w:w="1388" w:type="dxa"/>
            <w:vAlign w:val="top"/>
          </w:tcPr>
          <w:p>
            <w:pPr>
              <w:spacing w:before="241" w:line="224" w:lineRule="auto"/>
              <w:ind w:left="22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专业大类</w:t>
            </w:r>
          </w:p>
        </w:tc>
        <w:tc>
          <w:tcPr>
            <w:tcW w:w="1558" w:type="dxa"/>
            <w:vAlign w:val="top"/>
          </w:tcPr>
          <w:p>
            <w:pPr>
              <w:spacing w:before="241" w:line="224" w:lineRule="auto"/>
              <w:ind w:left="43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专业类</w:t>
            </w:r>
          </w:p>
        </w:tc>
        <w:tc>
          <w:tcPr>
            <w:tcW w:w="1800" w:type="dxa"/>
            <w:vAlign w:val="top"/>
          </w:tcPr>
          <w:p>
            <w:pPr>
              <w:spacing w:before="241" w:line="221" w:lineRule="auto"/>
              <w:ind w:left="43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专业名称</w:t>
            </w:r>
          </w:p>
        </w:tc>
        <w:tc>
          <w:tcPr>
            <w:tcW w:w="4336" w:type="dxa"/>
            <w:vAlign w:val="top"/>
          </w:tcPr>
          <w:p>
            <w:pPr>
              <w:spacing w:before="36" w:line="222" w:lineRule="auto"/>
              <w:ind w:left="170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核心课程</w:t>
            </w:r>
          </w:p>
          <w:p>
            <w:pPr>
              <w:spacing w:before="173" w:line="230" w:lineRule="auto"/>
              <w:ind w:left="124"/>
              <w:rPr>
                <w:rFonts w:ascii="FangSong" w:eastAsia="FangSong" w:hAnsi="FangSong" w:cs="FangSong"/>
                <w:sz w:val="20"/>
                <w:szCs w:val="20"/>
              </w:rPr>
            </w:pPr>
            <w:r>
              <w:rPr>
                <w:rFonts w:ascii="FangSong" w:eastAsia="FangSong" w:hAnsi="FangSong" w:cs="FangSong"/>
                <w:spacing w:val="8"/>
                <w:sz w:val="20"/>
                <w:szCs w:val="20"/>
              </w:rPr>
              <w:t>（对应每个专业，明确涉及的专业核心课程）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19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spacing w:before="78" w:line="224" w:lineRule="auto"/>
              <w:ind w:left="24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医药卫生</w:t>
            </w:r>
          </w:p>
        </w:tc>
        <w:tc>
          <w:tcPr>
            <w:tcW w:w="155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spacing w:before="78" w:line="222" w:lineRule="auto"/>
              <w:ind w:left="18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康复治疗类</w:t>
            </w:r>
          </w:p>
        </w:tc>
        <w:tc>
          <w:tcPr>
            <w:tcW w:w="180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1" w:lineRule="auto"/>
            </w:pPr>
          </w:p>
          <w:p>
            <w:pPr>
              <w:pStyle w:val="TableText"/>
              <w:spacing w:line="271" w:lineRule="auto"/>
            </w:pPr>
          </w:p>
          <w:p>
            <w:pPr>
              <w:pStyle w:val="TableText"/>
              <w:spacing w:line="271" w:lineRule="auto"/>
            </w:pPr>
          </w:p>
          <w:p>
            <w:pPr>
              <w:spacing w:before="78" w:line="222" w:lineRule="auto"/>
              <w:ind w:left="18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康复治疗技术</w:t>
            </w:r>
          </w:p>
        </w:tc>
        <w:tc>
          <w:tcPr>
            <w:tcW w:w="4336" w:type="dxa"/>
            <w:vAlign w:val="top"/>
          </w:tcPr>
          <w:p>
            <w:pPr>
              <w:spacing w:before="190" w:line="222" w:lineRule="auto"/>
              <w:ind w:left="146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康复评定技术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19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6" w:type="dxa"/>
            <w:vAlign w:val="top"/>
          </w:tcPr>
          <w:p>
            <w:pPr>
              <w:spacing w:before="190" w:line="222" w:lineRule="auto"/>
              <w:ind w:left="146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运动治疗技术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19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6" w:type="dxa"/>
            <w:vAlign w:val="top"/>
          </w:tcPr>
          <w:p>
            <w:pPr>
              <w:spacing w:before="190" w:line="221" w:lineRule="auto"/>
              <w:ind w:left="12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物理因子治疗技术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19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6" w:type="dxa"/>
            <w:vAlign w:val="top"/>
          </w:tcPr>
          <w:p>
            <w:pPr>
              <w:spacing w:before="190" w:line="220" w:lineRule="auto"/>
              <w:ind w:left="146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作业治疗技术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19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6" w:type="dxa"/>
            <w:vAlign w:val="top"/>
          </w:tcPr>
          <w:p>
            <w:pPr>
              <w:spacing w:before="190" w:line="222" w:lineRule="auto"/>
              <w:ind w:left="146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言语治疗技术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19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6" w:type="dxa"/>
            <w:vAlign w:val="top"/>
          </w:tcPr>
          <w:p>
            <w:pPr>
              <w:spacing w:before="190" w:line="222" w:lineRule="auto"/>
              <w:ind w:left="149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中医康复技术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19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6" w:type="dxa"/>
            <w:vAlign w:val="top"/>
          </w:tcPr>
          <w:p>
            <w:pPr>
              <w:spacing w:before="190" w:line="222" w:lineRule="auto"/>
              <w:ind w:left="147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常见疾病康复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19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60" w:lineRule="auto"/>
            </w:pPr>
          </w:p>
          <w:p>
            <w:pPr>
              <w:pStyle w:val="TableText"/>
              <w:spacing w:line="260" w:lineRule="auto"/>
            </w:pPr>
          </w:p>
          <w:p>
            <w:pPr>
              <w:pStyle w:val="TableText"/>
              <w:spacing w:line="260" w:lineRule="auto"/>
            </w:pPr>
          </w:p>
          <w:p>
            <w:pPr>
              <w:pStyle w:val="TableText"/>
              <w:spacing w:line="261" w:lineRule="auto"/>
            </w:pPr>
          </w:p>
          <w:p>
            <w:pPr>
              <w:spacing w:before="78" w:line="466" w:lineRule="exact"/>
              <w:ind w:left="18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position w:val="1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康复辅助器具</w:t>
            </w:r>
          </w:p>
          <w:p>
            <w:pPr>
              <w:spacing w:line="222" w:lineRule="auto"/>
              <w:ind w:left="67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技术</w:t>
            </w:r>
          </w:p>
        </w:tc>
        <w:tc>
          <w:tcPr>
            <w:tcW w:w="4336" w:type="dxa"/>
            <w:vAlign w:val="top"/>
          </w:tcPr>
          <w:p>
            <w:pPr>
              <w:spacing w:before="190" w:line="221" w:lineRule="auto"/>
              <w:ind w:left="12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康复辅助技术咨询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1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6" w:type="dxa"/>
            <w:vAlign w:val="top"/>
          </w:tcPr>
          <w:p>
            <w:pPr>
              <w:spacing w:before="190" w:line="221" w:lineRule="auto"/>
              <w:ind w:left="146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移动辅具配置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19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6" w:type="dxa"/>
            <w:vAlign w:val="top"/>
          </w:tcPr>
          <w:p>
            <w:pPr>
              <w:spacing w:before="191" w:line="221" w:lineRule="auto"/>
              <w:ind w:left="114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>自理与照护辅具配置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19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6" w:type="dxa"/>
            <w:vAlign w:val="top"/>
          </w:tcPr>
          <w:p>
            <w:pPr>
              <w:spacing w:before="191" w:line="220" w:lineRule="auto"/>
              <w:ind w:left="98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假肢矫形器评估与适配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19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6" w:type="dxa"/>
            <w:vAlign w:val="top"/>
          </w:tcPr>
          <w:p>
            <w:pPr>
              <w:spacing w:before="190" w:line="222" w:lineRule="auto"/>
              <w:ind w:left="110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居家无障碍环境改造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19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0" w:type="dxa"/>
            <w:tcBorders>
              <w:bottom w:val="nil"/>
            </w:tcBorders>
            <w:vAlign w:val="top"/>
          </w:tcPr>
          <w:p>
            <w:pPr>
              <w:pStyle w:val="TableText"/>
              <w:spacing w:line="422" w:lineRule="auto"/>
            </w:pPr>
          </w:p>
        </w:tc>
        <w:tc>
          <w:tcPr>
            <w:tcW w:w="4336" w:type="dxa"/>
            <w:vAlign w:val="top"/>
          </w:tcPr>
          <w:p>
            <w:pPr>
              <w:spacing w:before="190" w:line="222" w:lineRule="auto"/>
              <w:ind w:left="12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构音障碍康复技术</w:t>
            </w:r>
          </w:p>
        </w:tc>
      </w:tr>
    </w:tbl>
    <w:p>
      <w:pPr>
        <w:sectPr>
          <w:footerReference w:type="default" r:id="rId7"/>
          <w:pgSz w:w="11906" w:h="16839"/>
          <w:pgMar w:top="1330" w:right="1131" w:bottom="1112" w:left="1687" w:header="0" w:footer="818" w:gutter="0"/>
          <w:pgNumType w:start="3"/>
          <w:cols w:space="708"/>
        </w:sectPr>
      </w:pPr>
    </w:p>
    <w:tbl>
      <w:tblPr>
        <w:tblStyle w:val="TableNormal1"/>
        <w:tblW w:w="90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1558"/>
        <w:gridCol w:w="1800"/>
        <w:gridCol w:w="4336"/>
      </w:tblGrid>
      <w:tr>
        <w:tblPrEx>
          <w:tblW w:w="90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19"/>
        </w:trPr>
        <w:tc>
          <w:tcPr>
            <w:tcW w:w="1388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1558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1800" w:type="dxa"/>
            <w:vMerge w:val="restart"/>
            <w:tcBorders>
              <w:bottom w:val="nil"/>
            </w:tcBorders>
            <w:vAlign w:val="top"/>
          </w:tcPr>
          <w:p>
            <w:pPr>
              <w:spacing w:before="78" w:line="466" w:lineRule="exact"/>
              <w:ind w:left="19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position w:val="1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言语听觉康复</w:t>
            </w:r>
          </w:p>
          <w:p>
            <w:pPr>
              <w:spacing w:line="222" w:lineRule="auto"/>
              <w:ind w:left="67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技术</w:t>
            </w:r>
          </w:p>
        </w:tc>
        <w:tc>
          <w:tcPr>
            <w:tcW w:w="4336" w:type="dxa"/>
            <w:vAlign w:val="top"/>
          </w:tcPr>
          <w:p/>
        </w:tc>
      </w:tr>
      <w:tr>
        <w:tblPrEx>
          <w:tblW w:w="9082" w:type="dxa"/>
          <w:tblInd w:w="2" w:type="dxa"/>
          <w:tblLayout w:type="fixed"/>
        </w:tblPrEx>
        <w:trPr>
          <w:trHeight w:val="61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6" w:type="dxa"/>
            <w:vAlign w:val="top"/>
          </w:tcPr>
          <w:p>
            <w:pPr>
              <w:spacing w:before="191" w:line="222" w:lineRule="auto"/>
              <w:ind w:left="134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失语症康复技术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621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80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336" w:type="dxa"/>
            <w:vAlign w:val="top"/>
          </w:tcPr>
          <w:p>
            <w:pPr>
              <w:spacing w:before="191" w:line="222" w:lineRule="auto"/>
              <w:ind w:left="122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吞咽障碍康复技术</w:t>
            </w:r>
          </w:p>
        </w:tc>
      </w:tr>
    </w:tbl>
    <w:p>
      <w:pPr>
        <w:pStyle w:val="BodyText"/>
      </w:pPr>
    </w:p>
    <w:p>
      <w:pPr>
        <w:sectPr>
          <w:footerReference w:type="default" r:id="rId8"/>
          <w:type w:val="nextPage"/>
          <w:pgSz w:w="11906" w:h="16839"/>
          <w:pgMar w:top="1330" w:right="1131" w:bottom="1112" w:left="1687" w:header="0" w:footer="818" w:gutter="0"/>
          <w:pgNumType w:start="4"/>
          <w:cols w:space="708"/>
          <w:titlePg w:val="0"/>
        </w:sectPr>
      </w:pPr>
    </w:p>
    <w:tbl>
      <w:tblPr>
        <w:tblStyle w:val="TableNormal2"/>
        <w:tblW w:w="90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1558"/>
        <w:gridCol w:w="6136"/>
      </w:tblGrid>
      <w:tr>
        <w:tblPrEx>
          <w:tblW w:w="90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2"/>
        </w:trPr>
        <w:tc>
          <w:tcPr>
            <w:tcW w:w="9082" w:type="dxa"/>
            <w:gridSpan w:val="3"/>
            <w:vAlign w:val="top"/>
          </w:tcPr>
          <w:p>
            <w:pPr>
              <w:spacing w:before="78" w:line="222" w:lineRule="auto"/>
              <w:ind w:left="1887"/>
              <w:rPr>
                <w:rFonts w:ascii="FangSong" w:eastAsia="FangSong" w:hAnsi="FangSong" w:cs="FangSong"/>
                <w:sz w:val="28"/>
                <w:szCs w:val="28"/>
              </w:rPr>
            </w:pPr>
            <w:r>
              <w:rPr>
                <w:rFonts w:ascii="FangSong" w:eastAsia="FangSong" w:hAnsi="FangSong" w:cs="FangSong"/>
                <w:spacing w:val="-1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对接产业行业、对应岗位（群）及核心能力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456"/>
        </w:trPr>
        <w:tc>
          <w:tcPr>
            <w:tcW w:w="1388" w:type="dxa"/>
            <w:vAlign w:val="top"/>
          </w:tcPr>
          <w:p>
            <w:pPr>
              <w:spacing w:before="106" w:line="221" w:lineRule="auto"/>
              <w:ind w:left="22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产业行业</w:t>
            </w:r>
          </w:p>
        </w:tc>
        <w:tc>
          <w:tcPr>
            <w:tcW w:w="1558" w:type="dxa"/>
            <w:vAlign w:val="top"/>
          </w:tcPr>
          <w:p>
            <w:pPr>
              <w:spacing w:before="106" w:line="222" w:lineRule="auto"/>
              <w:ind w:left="21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岗位（群）</w:t>
            </w:r>
          </w:p>
        </w:tc>
        <w:tc>
          <w:tcPr>
            <w:tcW w:w="6136" w:type="dxa"/>
            <w:vAlign w:val="top"/>
          </w:tcPr>
          <w:p>
            <w:pPr>
              <w:spacing w:before="106" w:line="222" w:lineRule="auto"/>
              <w:jc w:val="right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核心能力（对应每个岗位（群</w:t>
            </w:r>
            <w:r>
              <w:rPr>
                <w:rFonts w:ascii="FangSong" w:eastAsia="FangSong" w:hAnsi="FangSong" w:cs="FangSong"/>
                <w:spacing w:val="-32"/>
                <w:sz w:val="24"/>
                <w:szCs w:val="24"/>
              </w:rPr>
              <w:t>），</w:t>
            </w: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明确核心能力要求）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1111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spacing w:before="78" w:line="230" w:lineRule="auto"/>
              <w:ind w:left="229" w:right="212" w:firstLine="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第三产业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（医疗服</w:t>
            </w:r>
          </w:p>
          <w:p>
            <w:pPr>
              <w:spacing w:before="23" w:line="237" w:lineRule="auto"/>
              <w:ind w:left="226" w:right="232" w:firstLine="12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务业，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>101201</w:t>
            </w:r>
            <w:r>
              <w:rPr>
                <w:rFonts w:ascii="FangSong" w:eastAsia="FangSong" w:hAnsi="FangSong" w:cs="FangSong"/>
                <w:spacing w:val="-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  <w:tc>
          <w:tcPr>
            <w:tcW w:w="155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spacing w:before="78" w:line="221" w:lineRule="auto"/>
              <w:ind w:left="30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物理治疗</w:t>
            </w:r>
          </w:p>
        </w:tc>
        <w:tc>
          <w:tcPr>
            <w:tcW w:w="6136" w:type="dxa"/>
            <w:vAlign w:val="top"/>
          </w:tcPr>
          <w:p>
            <w:pPr>
              <w:spacing w:before="123" w:line="234" w:lineRule="auto"/>
              <w:ind w:left="120" w:right="108" w:firstLine="14"/>
              <w:jc w:val="both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能对常见疾病和功能障碍患者进行肌力、肌张力、关节运</w:t>
            </w:r>
            <w:r>
              <w:rPr>
                <w:rFonts w:ascii="FangSong" w:eastAsia="FangSong" w:hAnsi="FangSong" w:cs="FangSong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动范围等肢体运动功能评估，并根据评估结果制订功能训</w:t>
            </w:r>
            <w:r>
              <w:rPr>
                <w:rFonts w:ascii="FangSong" w:eastAsia="FangSong" w:hAnsi="FangSong" w:cs="FangSong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练计划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759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105" w:line="230" w:lineRule="auto"/>
              <w:ind w:left="121" w:right="108" w:firstLine="1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能指导患者进行增强肌力与耐力、扩大关节活动范围、步</w:t>
            </w:r>
            <w:r>
              <w:rPr>
                <w:rFonts w:ascii="FangSong" w:eastAsia="FangSong" w:hAnsi="FangSong" w:cs="FangSong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行训练等常规运动治疗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1090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113" w:line="234" w:lineRule="auto"/>
              <w:ind w:left="123" w:right="108" w:firstLine="10"/>
              <w:jc w:val="both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能为患者进行关节松动术、骨关节牵引、肌肉牵张等手法</w:t>
            </w:r>
            <w:r>
              <w:rPr>
                <w:rFonts w:ascii="FangSong" w:eastAsia="FangSong" w:hAnsi="FangSong" w:cs="FangSong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治疗；正确运用并规范操作神经肌肉促进技术、运</w:t>
            </w: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动再学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习技术等神经生理学方法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794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121" w:line="230" w:lineRule="auto"/>
              <w:ind w:left="120" w:right="108" w:firstLine="1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5"/>
                <w:sz w:val="24"/>
                <w:szCs w:val="24"/>
              </w:rPr>
              <w:t>能正确指导患者进行呼吸训练、有氧能力训练和抗阻训</w:t>
            </w:r>
            <w:r>
              <w:rPr>
                <w:rFonts w:ascii="FangSong" w:eastAsia="FangSong" w:hAnsi="FangSong" w:cs="FangSong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练，熟练操作功率自行车、活动平板等基本设备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761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106" w:line="230" w:lineRule="auto"/>
              <w:ind w:left="123" w:right="108" w:firstLine="1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能正确选择并规范运用电、光、声、磁、冷、热、水、压</w:t>
            </w:r>
            <w:r>
              <w:rPr>
                <w:rFonts w:ascii="FangSong" w:eastAsia="FangSong" w:hAnsi="FangSong" w:cs="FangSong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力、冲击波疗法、肌电生物反馈疗法等物理因子治疗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519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138" w:line="221" w:lineRule="auto"/>
              <w:ind w:left="13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能运用中医适宜技术为患者进行康复治疗及指导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1090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spacing w:before="78" w:line="220" w:lineRule="auto"/>
              <w:ind w:left="31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作业治疗</w:t>
            </w:r>
          </w:p>
        </w:tc>
        <w:tc>
          <w:tcPr>
            <w:tcW w:w="6136" w:type="dxa"/>
            <w:vAlign w:val="top"/>
          </w:tcPr>
          <w:p>
            <w:pPr>
              <w:spacing w:before="270" w:line="230" w:lineRule="auto"/>
              <w:ind w:left="127" w:right="108" w:firstLine="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能对患者的日常生活活动能力、认知能力、职业能力及社</w:t>
            </w:r>
            <w:r>
              <w:rPr>
                <w:rFonts w:ascii="FangSong" w:eastAsia="FangSong" w:hAnsi="FangSong" w:cs="FangSong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会活动能力进行评估，并根据评估结果制订作业治疗计划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760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105" w:line="231" w:lineRule="auto"/>
              <w:ind w:left="124" w:right="108" w:firstLine="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能指导患者进行日常生活活动训练、感觉知觉训练、认知</w:t>
            </w:r>
            <w:r>
              <w:rPr>
                <w:rFonts w:ascii="FangSong" w:eastAsia="FangSong" w:hAnsi="FangSong" w:cs="FangSong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功能训练、手功能训练等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714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238" w:line="220" w:lineRule="auto"/>
              <w:ind w:left="13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能指导患者完成手工制作治疗等治疗性作业活动的训练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105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96" w:line="235" w:lineRule="auto"/>
              <w:ind w:left="122" w:right="108" w:firstLine="11"/>
              <w:jc w:val="both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能针对性的选择和提供必要的辅助技术，指导患者使用生</w:t>
            </w:r>
            <w:r>
              <w:rPr>
                <w:rFonts w:ascii="FangSong" w:eastAsia="FangSong" w:hAnsi="FangSong" w:cs="FangSong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活辅助器具、轮椅、假手、矫形支具及其他辅助性用</w:t>
            </w: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品用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0"/>
                <w:sz w:val="24"/>
                <w:szCs w:val="24"/>
              </w:rPr>
              <w:t>具等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804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129" w:line="230" w:lineRule="auto"/>
              <w:ind w:left="120" w:right="108" w:firstLine="1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能指导患者进行一些职业性的活动练习（如机件组装、电</w:t>
            </w:r>
            <w:r>
              <w:rPr>
                <w:rFonts w:ascii="FangSong" w:eastAsia="FangSong" w:hAnsi="FangSong" w:cs="FangSong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脑操作、文秘工作等）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48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126" w:line="220" w:lineRule="auto"/>
              <w:ind w:left="13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能对患者的居家环境提出适应性改造意见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915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tcBorders>
              <w:bottom w:val="nil"/>
            </w:tcBorders>
            <w:vAlign w:val="top"/>
          </w:tcPr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</w:tc>
        <w:tc>
          <w:tcPr>
            <w:tcW w:w="6136" w:type="dxa"/>
            <w:vAlign w:val="top"/>
          </w:tcPr>
          <w:p>
            <w:pPr>
              <w:spacing w:before="185" w:line="230" w:lineRule="auto"/>
              <w:ind w:left="121" w:right="108" w:firstLine="1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能对失语症、构音障碍、吞咽障碍、语言发育迟缓的患者</w:t>
            </w:r>
            <w:r>
              <w:rPr>
                <w:rFonts w:ascii="FangSong" w:eastAsia="FangSong" w:hAnsi="FangSong" w:cs="FangSong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进行评估，根据评估结果制定和执行治疗计划</w:t>
            </w:r>
          </w:p>
        </w:tc>
      </w:tr>
    </w:tbl>
    <w:p>
      <w:pPr>
        <w:sectPr>
          <w:footerReference w:type="default" r:id="rId9"/>
          <w:pgSz w:w="11906" w:h="16839"/>
          <w:pgMar w:top="1240" w:right="1131" w:bottom="1111" w:left="1687" w:header="0" w:footer="818" w:gutter="0"/>
          <w:pgNumType w:start="5"/>
          <w:cols w:space="708"/>
        </w:sectPr>
      </w:pPr>
    </w:p>
    <w:tbl>
      <w:tblPr>
        <w:tblStyle w:val="TableNormal3"/>
        <w:tblW w:w="90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1558"/>
        <w:gridCol w:w="6136"/>
      </w:tblGrid>
      <w:tr>
        <w:tblPrEx>
          <w:tblW w:w="90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15"/>
        </w:trPr>
        <w:tc>
          <w:tcPr>
            <w:tcW w:w="1388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155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7" w:lineRule="auto"/>
            </w:pPr>
          </w:p>
          <w:p>
            <w:pPr>
              <w:spacing w:before="78" w:line="222" w:lineRule="auto"/>
              <w:ind w:left="31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言语治疗</w:t>
            </w:r>
          </w:p>
        </w:tc>
        <w:tc>
          <w:tcPr>
            <w:tcW w:w="6136" w:type="dxa"/>
            <w:vAlign w:val="top"/>
          </w:tcPr>
          <w:p/>
        </w:tc>
      </w:tr>
      <w:tr>
        <w:tblPrEx>
          <w:tblW w:w="9082" w:type="dxa"/>
          <w:tblInd w:w="2" w:type="dxa"/>
          <w:tblLayout w:type="fixed"/>
        </w:tblPrEx>
        <w:trPr>
          <w:trHeight w:val="724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89" w:line="230" w:lineRule="auto"/>
              <w:ind w:left="121" w:right="108" w:firstLine="1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能对失语症、构音障碍、语言发育迟缓等语言言语功能障</w:t>
            </w:r>
            <w:r>
              <w:rPr>
                <w:rFonts w:ascii="FangSong" w:eastAsia="FangSong" w:hAnsi="FangSong" w:cs="FangSong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碍患者进行训练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759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262" w:line="220" w:lineRule="auto"/>
              <w:ind w:left="13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能对吞咽功能障碍患者进行综合性训练和治疗</w:t>
            </w:r>
          </w:p>
        </w:tc>
      </w:tr>
      <w:tr>
        <w:tblPrEx>
          <w:tblW w:w="9082" w:type="dxa"/>
          <w:tblInd w:w="2" w:type="dxa"/>
          <w:tblLayout w:type="fixed"/>
        </w:tblPrEx>
        <w:trPr>
          <w:trHeight w:val="562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55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6136" w:type="dxa"/>
            <w:vAlign w:val="top"/>
          </w:tcPr>
          <w:p>
            <w:pPr>
              <w:spacing w:before="160" w:line="221" w:lineRule="auto"/>
              <w:ind w:left="13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能使用替代方式与患者进行交流，如手势和交流板等</w:t>
            </w:r>
          </w:p>
        </w:tc>
      </w:tr>
    </w:tbl>
    <w:p>
      <w:pPr>
        <w:pStyle w:val="BodyText"/>
      </w:pPr>
    </w:p>
    <w:p>
      <w:pPr>
        <w:sectPr>
          <w:footerReference w:type="default" r:id="rId10"/>
          <w:type w:val="nextPage"/>
          <w:pgSz w:w="11906" w:h="16839"/>
          <w:pgMar w:top="1240" w:right="1131" w:bottom="1111" w:left="1687" w:header="0" w:footer="818" w:gutter="0"/>
          <w:pgNumType w:start="6"/>
          <w:cols w:space="708"/>
          <w:titlePg w:val="0"/>
        </w:sectPr>
      </w:pPr>
    </w:p>
    <w:p>
      <w:pPr>
        <w:spacing w:before="64" w:line="191" w:lineRule="auto"/>
        <w:ind w:left="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-4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、竞赛目标</w:t>
      </w:r>
    </w:p>
    <w:p>
      <w:pPr>
        <w:pStyle w:val="BodyText"/>
        <w:spacing w:line="279" w:lineRule="auto"/>
      </w:pPr>
    </w:p>
    <w:p>
      <w:pPr>
        <w:spacing w:before="91" w:line="223" w:lineRule="auto"/>
        <w:ind w:left="644"/>
        <w:outlineLvl w:val="0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（一）引领职业院校专业建设与教学改革</w:t>
      </w:r>
    </w:p>
    <w:p>
      <w:pPr>
        <w:spacing w:before="286" w:line="222" w:lineRule="auto"/>
        <w:ind w:left="63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赛项基于教学、引领教学，发挥“</w:t>
      </w:r>
      <w:r>
        <w:rPr>
          <w:rFonts w:ascii="FangSong" w:eastAsia="FangSong" w:hAnsi="FangSong" w:cs="FangSong"/>
          <w:spacing w:val="-9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以赛促教、以赛促学、</w:t>
      </w:r>
      <w:r>
        <w:rPr>
          <w:rFonts w:ascii="FangSong" w:eastAsia="FangSong" w:hAnsi="FangSong" w:cs="FangSong"/>
          <w:spacing w:val="-8"/>
          <w:sz w:val="28"/>
          <w:szCs w:val="28"/>
        </w:rPr>
        <w:t>以赛促</w:t>
      </w:r>
    </w:p>
    <w:p>
      <w:pPr>
        <w:spacing w:before="288" w:line="411" w:lineRule="auto"/>
        <w:ind w:left="49" w:right="80" w:hanging="1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改、以赛促建</w:t>
      </w:r>
      <w:r>
        <w:rPr>
          <w:rFonts w:ascii="FangSong" w:eastAsia="FangSong" w:hAnsi="FangSong" w:cs="FangSong"/>
          <w:spacing w:val="-8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”作用。通过真实案例导向和综合能力考核，检验学生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的职业素养、临床思维、操作技能、沟通技巧</w:t>
      </w:r>
      <w:r>
        <w:rPr>
          <w:rFonts w:ascii="FangSong" w:eastAsia="FangSong" w:hAnsi="FangSong" w:cs="FangSong"/>
          <w:spacing w:val="-5"/>
          <w:sz w:val="28"/>
          <w:szCs w:val="28"/>
        </w:rPr>
        <w:t>、安全意识等专业综合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能力，强化实践教学，引领职业院校康复治疗</w:t>
      </w:r>
      <w:r>
        <w:rPr>
          <w:rFonts w:ascii="FangSong" w:eastAsia="FangSong" w:hAnsi="FangSong" w:cs="FangSong"/>
          <w:spacing w:val="-5"/>
          <w:sz w:val="28"/>
          <w:szCs w:val="28"/>
        </w:rPr>
        <w:t>类专业建设、人才培养</w:t>
      </w:r>
    </w:p>
    <w:p>
      <w:pPr>
        <w:spacing w:before="1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模式的改革与创新，培养适应行业需求的高素质技术技能型人才。</w:t>
      </w:r>
    </w:p>
    <w:p>
      <w:pPr>
        <w:spacing w:before="287" w:line="224" w:lineRule="auto"/>
        <w:ind w:left="644"/>
        <w:outlineLvl w:val="0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（二）促进产教融合、校企（院）合作及健</w:t>
      </w:r>
      <w:r>
        <w:rPr>
          <w:rFonts w:ascii="KaiTi" w:eastAsia="KaiTi" w:hAnsi="KaiTi" w:cs="KaiTi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康产业发展</w:t>
      </w:r>
    </w:p>
    <w:p>
      <w:pPr>
        <w:spacing w:before="285" w:line="222" w:lineRule="auto"/>
        <w:ind w:left="63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赛项响应“健康中国</w:t>
      </w:r>
      <w:r>
        <w:rPr>
          <w:rFonts w:ascii="FangSong" w:eastAsia="FangSong" w:hAnsi="FangSong" w:cs="FangSong"/>
          <w:spacing w:val="-9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”战略，服务健康产业人才培养需求，推动</w:t>
      </w:r>
    </w:p>
    <w:p>
      <w:pPr>
        <w:spacing w:before="291" w:line="411" w:lineRule="auto"/>
        <w:ind w:left="31" w:right="24" w:firstLine="3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产教融合、校企（院）合作，提高职业院校康复治疗人才培养质量。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本赛项对接康复医疗行业标准和先进技术，把真实的康复治疗工作过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程、任务和要求融入竞赛环节，立足于解决临床实际问题，强调德技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双修，突出团队协作康复服务模式，加强学生综合能力培养，推进岗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课赛证融合，促进产教融合，引领职业院校人才培养适应健康产业发</w:t>
      </w:r>
    </w:p>
    <w:p>
      <w:pPr>
        <w:spacing w:line="225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展。</w:t>
      </w:r>
    </w:p>
    <w:p>
      <w:pPr>
        <w:spacing w:before="282" w:line="223" w:lineRule="auto"/>
        <w:ind w:left="644"/>
        <w:outlineLvl w:val="0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（三）展示康复治疗专业教学改革成果</w:t>
      </w:r>
    </w:p>
    <w:p>
      <w:pPr>
        <w:spacing w:before="288" w:line="411" w:lineRule="auto"/>
        <w:ind w:left="32" w:firstLine="559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赛项贯彻落实职业教育新发展理念，助推“三教改革</w:t>
      </w:r>
      <w:r>
        <w:rPr>
          <w:rFonts w:ascii="FangSong" w:eastAsia="FangSong" w:hAnsi="FangSong" w:cs="FangSong"/>
          <w:spacing w:val="-8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”。通过赛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项交流平台，展示参赛院校师生风采、教学水平；助力学生增强</w:t>
      </w:r>
      <w:r>
        <w:rPr>
          <w:rFonts w:ascii="FangSong" w:eastAsia="FangSong" w:hAnsi="FangSong" w:cs="FangSong"/>
          <w:spacing w:val="-11"/>
          <w:sz w:val="28"/>
          <w:szCs w:val="28"/>
        </w:rPr>
        <w:t>自信，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开拓视野；提升全社会对康复医疗的关注和重视，吸纳更多优秀专业</w:t>
      </w:r>
    </w:p>
    <w:p>
      <w:pPr>
        <w:spacing w:before="2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人才、社会力量积极参与康复医疗领域的创新与发展</w:t>
      </w:r>
    </w:p>
    <w:p>
      <w:pPr>
        <w:pStyle w:val="BodyText"/>
        <w:spacing w:line="291" w:lineRule="auto"/>
      </w:pPr>
    </w:p>
    <w:p>
      <w:pPr>
        <w:spacing w:before="133" w:line="191" w:lineRule="auto"/>
        <w:ind w:left="32"/>
        <w:rPr>
          <w:rFonts w:ascii="Microsoft YaHei" w:eastAsia="Microsoft YaHei" w:hAnsi="Microsoft YaHei" w:cs="Microsoft YaHei"/>
          <w:sz w:val="31"/>
          <w:szCs w:val="31"/>
        </w:rPr>
        <w:sectPr>
          <w:footerReference w:type="default" r:id="rId11"/>
          <w:pgSz w:w="11906" w:h="16839"/>
          <w:pgMar w:top="1330" w:right="1718" w:bottom="1111" w:left="1785" w:header="0" w:footer="818" w:gutter="0"/>
          <w:pgNumType w:start="7"/>
          <w:cols w:space="708"/>
        </w:sect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-4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、竞赛内容</w:t>
      </w:r>
    </w:p>
    <w:p>
      <w:pPr>
        <w:pStyle w:val="BodyText"/>
        <w:spacing w:line="279" w:lineRule="auto"/>
      </w:pPr>
    </w:p>
    <w:p>
      <w:pPr>
        <w:spacing w:before="91" w:line="221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1.本赛项以现代职业教育理念为指引，以真实康复场景或工作</w:t>
      </w:r>
    </w:p>
    <w:p>
      <w:pPr>
        <w:spacing w:line="221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12"/>
          <w:type w:val="nextPage"/>
          <w:pgSz w:w="11906" w:h="16839"/>
          <w:pgMar w:top="1330" w:right="1718" w:bottom="1111" w:left="1785" w:header="0" w:footer="818" w:gutter="0"/>
          <w:pgNumType w:start="8"/>
          <w:cols w:space="708"/>
          <w:titlePg w:val="0"/>
        </w:sectPr>
      </w:pPr>
    </w:p>
    <w:p>
      <w:pPr>
        <w:spacing w:before="59" w:line="411" w:lineRule="auto"/>
        <w:ind w:left="34" w:right="222" w:firstLine="4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情境为基础，以常见神经疾病和肌骨疾病标准化病人为对象，设置</w:t>
      </w:r>
      <w:r>
        <w:rPr>
          <w:rFonts w:ascii="FangSong" w:eastAsia="FangSong" w:hAnsi="FangSong" w:cs="FangSong"/>
          <w:spacing w:val="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理论考试、问诊、评定、治疗等竞赛内容，全面考查参赛选手理论</w:t>
      </w:r>
      <w:r>
        <w:rPr>
          <w:rFonts w:ascii="FangSong" w:eastAsia="FangSong" w:hAnsi="FangSong" w:cs="FangSong"/>
          <w:spacing w:val="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知识、临床思维和决策能力、综合分析判断能力及常用康复治疗操</w:t>
      </w:r>
    </w:p>
    <w:p>
      <w:pPr>
        <w:spacing w:before="1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作执行能力，树立安全意识，培养医患沟通及人文关怀能力。</w:t>
      </w:r>
    </w:p>
    <w:p>
      <w:pPr>
        <w:spacing w:before="288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2.本赛项内容包括理论知识竞赛和技能操作竞赛两部分。</w:t>
      </w:r>
    </w:p>
    <w:p>
      <w:pPr>
        <w:spacing w:before="288" w:line="224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（1）理论知识竞赛</w:t>
      </w:r>
    </w:p>
    <w:p>
      <w:pPr>
        <w:spacing w:before="284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理论知识竞赛占团体总成绩的</w:t>
      </w:r>
      <w:r>
        <w:rPr>
          <w:rFonts w:ascii="FangSong" w:eastAsia="FangSong" w:hAnsi="FangSong" w:cs="FangSong"/>
          <w:spacing w:val="-4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15%。</w:t>
      </w:r>
    </w:p>
    <w:p>
      <w:pPr>
        <w:spacing w:before="289" w:line="411" w:lineRule="auto"/>
        <w:ind w:left="32" w:right="14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理论知识竞赛形式采取计算机考试，考试内容参照《全国卫生</w:t>
      </w:r>
      <w:r>
        <w:rPr>
          <w:rFonts w:ascii="FangSong" w:eastAsia="FangSong" w:hAnsi="FangSong" w:cs="FangSong"/>
          <w:spacing w:val="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专业技术资格考试康复医学治疗技术（士、师、中级）考试大纲</w:t>
      </w:r>
      <w:r>
        <w:rPr>
          <w:rFonts w:ascii="FangSong" w:eastAsia="FangSong" w:hAnsi="FangSong" w:cs="FangSong"/>
          <w:spacing w:val="-9"/>
          <w:sz w:val="28"/>
          <w:szCs w:val="28"/>
        </w:rPr>
        <w:t>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题型为单项选择题，题量</w:t>
      </w:r>
      <w:r>
        <w:rPr>
          <w:rFonts w:ascii="FangSong" w:eastAsia="FangSong" w:hAnsi="FangSong" w:cs="FangSong"/>
          <w:spacing w:val="-5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50</w:t>
      </w:r>
      <w:r>
        <w:rPr>
          <w:rFonts w:ascii="FangSong" w:eastAsia="FangSong" w:hAnsi="FangSong" w:cs="FangSong"/>
          <w:spacing w:val="-5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题/套（2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分/题</w:t>
      </w:r>
      <w:r>
        <w:rPr>
          <w:rFonts w:ascii="FangSong" w:eastAsia="FangSong" w:hAnsi="FangSong" w:cs="FangSong"/>
          <w:spacing w:val="-4"/>
          <w:sz w:val="28"/>
          <w:szCs w:val="28"/>
        </w:rPr>
        <w:t>），</w:t>
      </w:r>
      <w:r>
        <w:rPr>
          <w:rFonts w:ascii="FangSong" w:eastAsia="FangSong" w:hAnsi="FangSong" w:cs="FangSong"/>
          <w:spacing w:val="-7"/>
          <w:sz w:val="28"/>
          <w:szCs w:val="28"/>
        </w:rPr>
        <w:t>共</w:t>
      </w:r>
      <w:r>
        <w:rPr>
          <w:rFonts w:ascii="FangSong" w:eastAsia="FangSong" w:hAnsi="FangSong" w:cs="FangSong"/>
          <w:spacing w:val="-4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100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分，考试时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长为</w:t>
      </w:r>
      <w:r>
        <w:rPr>
          <w:rFonts w:ascii="FangSong" w:eastAsia="FangSong" w:hAnsi="FangSong" w:cs="FangSong"/>
          <w:spacing w:val="-5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40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分钟。主要考核参赛选手的专业知识应用能力、临床思维</w:t>
      </w:r>
    </w:p>
    <w:p>
      <w:pPr>
        <w:spacing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能力、分析问题和解决问题的能力。</w:t>
      </w:r>
    </w:p>
    <w:p>
      <w:pPr>
        <w:spacing w:before="287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（2）技能操作竞赛</w:t>
      </w:r>
    </w:p>
    <w:p>
      <w:pPr>
        <w:spacing w:before="289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技能操作占团体总成绩的</w:t>
      </w:r>
      <w:r>
        <w:rPr>
          <w:rFonts w:ascii="FangSong" w:eastAsia="FangSong" w:hAnsi="FangSong" w:cs="FangSong"/>
          <w:spacing w:val="-5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85%。</w:t>
      </w:r>
    </w:p>
    <w:p>
      <w:pPr>
        <w:spacing w:before="294" w:line="411" w:lineRule="auto"/>
        <w:ind w:left="31" w:right="140" w:firstLine="561"/>
        <w:rPr>
          <w:rFonts w:ascii="FangSong" w:eastAsia="FangSong" w:hAnsi="FangSong" w:cs="FangSong"/>
          <w:sz w:val="28"/>
          <w:szCs w:val="28"/>
        </w:rPr>
        <w:sectPr>
          <w:footerReference w:type="default" r:id="rId13"/>
          <w:pgSz w:w="11906" w:h="16839"/>
          <w:pgMar w:top="1353" w:right="1785" w:bottom="1111" w:left="1785" w:header="0" w:footer="818" w:gutter="0"/>
          <w:pgNumType w:start="9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技能操作竞赛以真实案例为导向，基于康复治疗工作过程，按</w:t>
      </w:r>
      <w:r>
        <w:rPr>
          <w:rFonts w:ascii="FangSong" w:eastAsia="FangSong" w:hAnsi="FangSong" w:cs="FangSong"/>
          <w:spacing w:val="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照临床康复治疗工作的逻辑关系，科学设置竞赛内容。技能操作标</w:t>
      </w:r>
      <w:r>
        <w:rPr>
          <w:rFonts w:ascii="FangSong" w:eastAsia="FangSong" w:hAnsi="FangSong" w:cs="FangSong"/>
          <w:spacing w:val="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准参照原卫生部颁发的《常用康复治疗技术操</w:t>
      </w:r>
      <w:r>
        <w:rPr>
          <w:rFonts w:ascii="FangSong" w:eastAsia="FangSong" w:hAnsi="FangSong" w:cs="FangSong"/>
          <w:spacing w:val="-2"/>
          <w:sz w:val="28"/>
          <w:szCs w:val="28"/>
        </w:rPr>
        <w:t>作规范（2012</w:t>
      </w:r>
      <w:r>
        <w:rPr>
          <w:rFonts w:ascii="FangSong" w:eastAsia="FangSong" w:hAnsi="FangSong" w:cs="FangSong"/>
          <w:spacing w:val="-5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版）》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要求，时长</w:t>
      </w:r>
      <w:r>
        <w:rPr>
          <w:rFonts w:ascii="FangSong" w:eastAsia="FangSong" w:hAnsi="FangSong" w:cs="FangSong"/>
          <w:spacing w:val="-5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20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分钟（含现场问答）。主要考核学生职业素养和沟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"/>
          <w:sz w:val="28"/>
          <w:szCs w:val="28"/>
        </w:rPr>
        <w:t>通能力、康复评估准确与规范、康复治疗技术应用和操作规范。考</w:t>
      </w:r>
      <w:r>
        <w:rPr>
          <w:rFonts w:ascii="FangSong" w:eastAsia="FangSong" w:hAnsi="FangSong" w:cs="FangSong"/>
          <w:spacing w:val="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核环节包括操作前准备、操作过程、操作后处理等。竞赛内容：常</w:t>
      </w:r>
      <w:r>
        <w:rPr>
          <w:rFonts w:ascii="FangSong" w:eastAsia="FangSong" w:hAnsi="FangSong" w:cs="FangSong"/>
          <w:spacing w:val="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见神经系统疾病、肌肉骨骼系统疾病，包括脑卒中、脊髓损伤、颈</w:t>
      </w:r>
      <w:r>
        <w:rPr>
          <w:rFonts w:ascii="FangSong" w:eastAsia="FangSong" w:hAnsi="FangSong" w:cs="FangSong"/>
          <w:spacing w:val="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椎病、腰椎间盘突出症、肩周炎等康复评定与治疗操作技能。竞赛</w:t>
      </w:r>
    </w:p>
    <w:p>
      <w:pPr>
        <w:spacing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程序：①备赛（时间</w:t>
      </w:r>
      <w:r>
        <w:rPr>
          <w:rFonts w:ascii="FangSong" w:eastAsia="FangSong" w:hAnsi="FangSong" w:cs="FangSong"/>
          <w:spacing w:val="-6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20</w:t>
      </w:r>
      <w:r>
        <w:rPr>
          <w:rFonts w:ascii="FangSong" w:eastAsia="FangSong" w:hAnsi="FangSong" w:cs="FangSong"/>
          <w:spacing w:val="-4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分钟</w:t>
      </w:r>
      <w:r>
        <w:rPr>
          <w:rFonts w:ascii="FangSong" w:eastAsia="FangSong" w:hAnsi="FangSong" w:cs="FangSong"/>
          <w:spacing w:val="16"/>
          <w:sz w:val="28"/>
          <w:szCs w:val="28"/>
        </w:rPr>
        <w:t>）：</w:t>
      </w:r>
      <w:r>
        <w:rPr>
          <w:rFonts w:ascii="FangSong" w:eastAsia="FangSong" w:hAnsi="FangSong" w:cs="FangSong"/>
          <w:spacing w:val="-2"/>
          <w:sz w:val="28"/>
          <w:szCs w:val="28"/>
        </w:rPr>
        <w:t>参赛队由候考室进入备赛室，随</w:t>
      </w:r>
    </w:p>
    <w:p>
      <w:pPr>
        <w:spacing w:line="222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14"/>
          <w:type w:val="nextPage"/>
          <w:pgSz w:w="11906" w:h="16839"/>
          <w:pgMar w:top="1353" w:right="1785" w:bottom="1111" w:left="1785" w:header="0" w:footer="818" w:gutter="0"/>
          <w:pgNumType w:start="10"/>
          <w:cols w:space="708"/>
          <w:titlePg w:val="0"/>
        </w:sectPr>
      </w:pPr>
    </w:p>
    <w:p>
      <w:pPr>
        <w:spacing w:before="61" w:line="411" w:lineRule="auto"/>
        <w:ind w:left="418" w:right="525" w:hanging="1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机抽取一份临床案例；3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名参赛选手通过随机抽签进行分工，1</w:t>
      </w:r>
      <w:r>
        <w:rPr>
          <w:rFonts w:ascii="FangSong" w:eastAsia="FangSong" w:hAnsi="FangSong" w:cs="FangSong"/>
          <w:spacing w:val="-5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名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"/>
          <w:sz w:val="28"/>
          <w:szCs w:val="28"/>
        </w:rPr>
        <w:t>选手负责询问病史和主观性评估，1</w:t>
      </w:r>
      <w:r>
        <w:rPr>
          <w:rFonts w:ascii="FangSong" w:eastAsia="FangSong" w:hAnsi="FangSong" w:cs="FangSong"/>
          <w:spacing w:val="-3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名选手负责康复评定操作，1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名选手负责康复治疗技术操作；②竞赛（时间</w:t>
      </w:r>
      <w:r>
        <w:rPr>
          <w:rFonts w:ascii="FangSong" w:eastAsia="FangSong" w:hAnsi="FangSong" w:cs="FangSong"/>
          <w:spacing w:val="-6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20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分钟</w:t>
      </w:r>
      <w:r>
        <w:rPr>
          <w:rFonts w:ascii="FangSong" w:eastAsia="FangSong" w:hAnsi="FangSong" w:cs="FangSong"/>
          <w:spacing w:val="15"/>
          <w:sz w:val="28"/>
          <w:szCs w:val="28"/>
        </w:rPr>
        <w:t>）：</w:t>
      </w:r>
      <w:r>
        <w:rPr>
          <w:rFonts w:ascii="FangSong" w:eastAsia="FangSong" w:hAnsi="FangSong" w:cs="FangSong"/>
          <w:spacing w:val="-3"/>
          <w:sz w:val="28"/>
          <w:szCs w:val="28"/>
        </w:rPr>
        <w:t>参赛队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"/>
          <w:sz w:val="28"/>
          <w:szCs w:val="28"/>
        </w:rPr>
        <w:t>由备赛室进入赛场，按照临床康复治疗工作</w:t>
      </w:r>
      <w:r>
        <w:rPr>
          <w:rFonts w:ascii="FangSong" w:eastAsia="FangSong" w:hAnsi="FangSong" w:cs="FangSong"/>
          <w:spacing w:val="-2"/>
          <w:sz w:val="28"/>
          <w:szCs w:val="28"/>
        </w:rPr>
        <w:t>过程，3</w:t>
      </w:r>
      <w:r>
        <w:rPr>
          <w:rFonts w:ascii="FangSong" w:eastAsia="FangSong" w:hAnsi="FangSong" w:cs="FangSong"/>
          <w:spacing w:val="-5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名选手依据分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工分别进行问诊、评定、治疗</w:t>
      </w:r>
      <w:r>
        <w:rPr>
          <w:rFonts w:ascii="FangSong" w:eastAsia="FangSong" w:hAnsi="FangSong" w:cs="FangSong"/>
          <w:spacing w:val="-5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个技能竞赛模块的操作</w:t>
      </w:r>
      <w:r>
        <w:rPr>
          <w:rFonts w:ascii="FangSong" w:eastAsia="FangSong" w:hAnsi="FangSong" w:cs="FangSong"/>
          <w:spacing w:val="-10"/>
          <w:sz w:val="28"/>
          <w:szCs w:val="28"/>
        </w:rPr>
        <w:t>及回答提问，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各模块时长分配由团队选手自行决定，不限定答问选手。总分</w:t>
      </w:r>
      <w:r>
        <w:rPr>
          <w:rFonts w:ascii="FangSong" w:eastAsia="FangSong" w:hAnsi="FangSong" w:cs="FangSong"/>
          <w:spacing w:val="-2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100</w:t>
      </w:r>
    </w:p>
    <w:p>
      <w:pPr>
        <w:spacing w:before="1" w:line="222" w:lineRule="auto"/>
        <w:ind w:left="4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分（问诊</w:t>
      </w:r>
      <w:r>
        <w:rPr>
          <w:rFonts w:ascii="FangSong" w:eastAsia="FangSong" w:hAnsi="FangSong" w:cs="FangSong"/>
          <w:spacing w:val="-5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20%，评定</w:t>
      </w:r>
      <w:r>
        <w:rPr>
          <w:rFonts w:ascii="FangSong" w:eastAsia="FangSong" w:hAnsi="FangSong" w:cs="FangSong"/>
          <w:spacing w:val="-5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35%，治疗</w:t>
      </w:r>
      <w:r>
        <w:rPr>
          <w:rFonts w:ascii="FangSong" w:eastAsia="FangSong" w:hAnsi="FangSong" w:cs="FangSong"/>
          <w:spacing w:val="-5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35%、回答</w:t>
      </w:r>
      <w:r>
        <w:rPr>
          <w:rFonts w:ascii="FangSong" w:eastAsia="FangSong" w:hAnsi="FangSong" w:cs="FangSong"/>
          <w:spacing w:val="-4"/>
          <w:sz w:val="28"/>
          <w:szCs w:val="28"/>
        </w:rPr>
        <w:t>问题</w:t>
      </w:r>
      <w:r>
        <w:rPr>
          <w:rFonts w:ascii="FangSong" w:eastAsia="FangSong" w:hAnsi="FangSong" w:cs="FangSong"/>
          <w:spacing w:val="-4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10%）。</w:t>
      </w:r>
    </w:p>
    <w:tbl>
      <w:tblPr>
        <w:tblStyle w:val="TableNormal4"/>
        <w:tblW w:w="909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1"/>
        <w:gridCol w:w="490"/>
        <w:gridCol w:w="510"/>
        <w:gridCol w:w="5237"/>
        <w:gridCol w:w="730"/>
        <w:gridCol w:w="899"/>
        <w:gridCol w:w="700"/>
      </w:tblGrid>
      <w:tr>
        <w:tblPrEx>
          <w:tblW w:w="909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51"/>
        </w:trPr>
        <w:tc>
          <w:tcPr>
            <w:tcW w:w="531" w:type="dxa"/>
            <w:textDirection w:val="tbRlV"/>
            <w:vAlign w:val="top"/>
          </w:tcPr>
          <w:p>
            <w:pPr>
              <w:spacing w:before="177" w:line="203" w:lineRule="auto"/>
              <w:ind w:left="10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3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</w:t>
            </w:r>
          </w:p>
        </w:tc>
        <w:tc>
          <w:tcPr>
            <w:tcW w:w="1000" w:type="dxa"/>
            <w:gridSpan w:val="2"/>
            <w:vAlign w:val="top"/>
          </w:tcPr>
          <w:p>
            <w:pPr>
              <w:spacing w:before="256" w:line="223" w:lineRule="auto"/>
              <w:ind w:left="1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0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类别</w:t>
            </w:r>
          </w:p>
        </w:tc>
        <w:tc>
          <w:tcPr>
            <w:tcW w:w="5237" w:type="dxa"/>
            <w:vAlign w:val="top"/>
          </w:tcPr>
          <w:p>
            <w:pPr>
              <w:spacing w:before="256" w:line="222" w:lineRule="auto"/>
              <w:ind w:left="215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主要内容</w:t>
            </w:r>
          </w:p>
        </w:tc>
        <w:tc>
          <w:tcPr>
            <w:tcW w:w="730" w:type="dxa"/>
            <w:vAlign w:val="top"/>
          </w:tcPr>
          <w:p>
            <w:pPr>
              <w:spacing w:before="161" w:line="223" w:lineRule="auto"/>
              <w:ind w:left="138" w:right="139" w:firstLine="1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比赛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时长</w:t>
            </w:r>
          </w:p>
        </w:tc>
        <w:tc>
          <w:tcPr>
            <w:tcW w:w="1599" w:type="dxa"/>
            <w:gridSpan w:val="2"/>
            <w:vAlign w:val="top"/>
          </w:tcPr>
          <w:p>
            <w:pPr>
              <w:spacing w:before="316" w:line="223" w:lineRule="auto"/>
              <w:ind w:left="57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0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分值</w:t>
            </w:r>
          </w:p>
        </w:tc>
      </w:tr>
      <w:tr>
        <w:tblPrEx>
          <w:tblW w:w="9097" w:type="dxa"/>
          <w:tblInd w:w="2" w:type="dxa"/>
          <w:tblLayout w:type="fixed"/>
        </w:tblPrEx>
        <w:trPr>
          <w:trHeight w:val="1107"/>
        </w:trPr>
        <w:tc>
          <w:tcPr>
            <w:tcW w:w="531" w:type="dxa"/>
            <w:textDirection w:val="tbRlV"/>
            <w:vAlign w:val="top"/>
          </w:tcPr>
          <w:p>
            <w:pPr>
              <w:spacing w:before="177" w:line="203" w:lineRule="auto"/>
              <w:ind w:left="1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</w:t>
            </w:r>
            <w:r>
              <w:rPr>
                <w:rFonts w:ascii="FangSong" w:eastAsia="FangSong" w:hAnsi="FangSong" w:cs="FangSong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块</w:t>
            </w:r>
            <w:r>
              <w:rPr>
                <w:rFonts w:ascii="FangSong" w:eastAsia="FangSong" w:hAnsi="FangSong" w:cs="FangSong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</w:t>
            </w:r>
          </w:p>
        </w:tc>
        <w:tc>
          <w:tcPr>
            <w:tcW w:w="1000" w:type="dxa"/>
            <w:gridSpan w:val="2"/>
            <w:vAlign w:val="top"/>
          </w:tcPr>
          <w:p>
            <w:pPr>
              <w:spacing w:before="278" w:line="238" w:lineRule="auto"/>
              <w:ind w:left="1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理论</w:t>
            </w:r>
          </w:p>
          <w:p>
            <w:pPr>
              <w:spacing w:line="222" w:lineRule="auto"/>
              <w:ind w:left="11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考试</w:t>
            </w:r>
          </w:p>
        </w:tc>
        <w:tc>
          <w:tcPr>
            <w:tcW w:w="5237" w:type="dxa"/>
            <w:vAlign w:val="top"/>
          </w:tcPr>
          <w:p>
            <w:pPr>
              <w:spacing w:before="122" w:line="233" w:lineRule="auto"/>
              <w:ind w:left="107" w:right="105"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出题范围为康复医学治疗技术资格考试内容，其</w:t>
            </w:r>
            <w:r>
              <w:rPr>
                <w:rFonts w:ascii="FangSong" w:eastAsia="FangSong" w:hAnsi="FangSong" w:cs="FangSong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中基础知识</w:t>
            </w:r>
            <w:r>
              <w:rPr>
                <w:rFonts w:ascii="FangSong" w:eastAsia="FangSong" w:hAnsi="FangSong" w:cs="FangSong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15%</w:t>
            </w: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，相关专业知识</w:t>
            </w:r>
            <w:r>
              <w:rPr>
                <w:rFonts w:ascii="FangSong" w:eastAsia="FangSong" w:hAnsi="FangSong" w:cs="FangSong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15%</w:t>
            </w: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，专</w:t>
            </w: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业知识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40%</w:t>
            </w:r>
            <w:r>
              <w:rPr>
                <w:rFonts w:ascii="Times New Roman" w:eastAsia="Times New Roman" w:hAnsi="Times New Roman" w:cs="Times New Roman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，专业实践能力</w:t>
            </w:r>
            <w:r>
              <w:rPr>
                <w:rFonts w:ascii="FangSong" w:eastAsia="FangSong" w:hAnsi="FangSong" w:cs="FangSong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30%</w:t>
            </w:r>
          </w:p>
        </w:tc>
        <w:tc>
          <w:tcPr>
            <w:tcW w:w="730" w:type="dxa"/>
            <w:vAlign w:val="top"/>
          </w:tcPr>
          <w:p>
            <w:pPr>
              <w:pStyle w:val="TableText"/>
              <w:spacing w:line="247" w:lineRule="auto"/>
            </w:pPr>
          </w:p>
          <w:p>
            <w:pPr>
              <w:spacing w:before="69" w:line="221" w:lineRule="auto"/>
              <w:ind w:left="141" w:right="122" w:firstLine="10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FangSong" w:eastAsia="FangSong" w:hAnsi="FangSong" w:cs="FangSong"/>
                <w:spacing w:val="-10"/>
                <w:sz w:val="24"/>
                <w:szCs w:val="24"/>
              </w:rPr>
              <w:t>分钟</w:t>
            </w:r>
          </w:p>
        </w:tc>
        <w:tc>
          <w:tcPr>
            <w:tcW w:w="1599" w:type="dxa"/>
            <w:gridSpan w:val="2"/>
            <w:vAlign w:val="top"/>
          </w:tcPr>
          <w:p>
            <w:pPr>
              <w:spacing w:before="121" w:line="224" w:lineRule="auto"/>
              <w:ind w:left="49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分</w:t>
            </w:r>
          </w:p>
          <w:p>
            <w:pPr>
              <w:spacing w:before="18" w:line="223" w:lineRule="auto"/>
              <w:ind w:left="21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（占总成绩</w:t>
            </w:r>
          </w:p>
          <w:p>
            <w:pPr>
              <w:spacing w:before="22" w:line="236" w:lineRule="auto"/>
              <w:ind w:left="48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15%</w:t>
            </w: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）</w:t>
            </w:r>
          </w:p>
        </w:tc>
      </w:tr>
      <w:tr>
        <w:tblPrEx>
          <w:tblW w:w="9097" w:type="dxa"/>
          <w:tblInd w:w="2" w:type="dxa"/>
          <w:tblLayout w:type="fixed"/>
        </w:tblPrEx>
        <w:trPr>
          <w:trHeight w:val="2695"/>
        </w:trPr>
        <w:tc>
          <w:tcPr>
            <w:tcW w:w="531" w:type="dxa"/>
            <w:tcBorders>
              <w:bottom w:val="nil"/>
            </w:tcBorders>
            <w:textDirection w:val="tbRlV"/>
            <w:vAlign w:val="top"/>
          </w:tcPr>
          <w:p>
            <w:pPr>
              <w:spacing w:before="177" w:line="203" w:lineRule="auto"/>
              <w:ind w:left="342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</w:t>
            </w:r>
            <w:r>
              <w:rPr>
                <w:rFonts w:ascii="FangSong" w:eastAsia="FangSong" w:hAnsi="FangSong" w:cs="FangSong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块</w:t>
            </w: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</w:p>
        </w:tc>
        <w:tc>
          <w:tcPr>
            <w:tcW w:w="490" w:type="dxa"/>
            <w:tcBorders>
              <w:bottom w:val="nil"/>
            </w:tcBorders>
            <w:textDirection w:val="tbRlV"/>
            <w:vAlign w:val="top"/>
          </w:tcPr>
          <w:p>
            <w:pPr>
              <w:spacing w:before="142" w:line="199" w:lineRule="auto"/>
              <w:ind w:left="341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5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技能操作</w:t>
            </w:r>
          </w:p>
        </w:tc>
        <w:tc>
          <w:tcPr>
            <w:tcW w:w="510" w:type="dxa"/>
            <w:textDirection w:val="tbRlV"/>
            <w:vAlign w:val="top"/>
          </w:tcPr>
          <w:p>
            <w:pPr>
              <w:spacing w:before="159" w:line="202" w:lineRule="auto"/>
              <w:ind w:left="107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问</w:t>
            </w:r>
            <w:r>
              <w:rPr>
                <w:rFonts w:ascii="FangSong" w:eastAsia="FangSong" w:hAnsi="FangSong" w:cs="FangSong"/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诊</w:t>
            </w:r>
          </w:p>
        </w:tc>
        <w:tc>
          <w:tcPr>
            <w:tcW w:w="5237" w:type="dxa"/>
            <w:vAlign w:val="top"/>
          </w:tcPr>
          <w:p>
            <w:pPr>
              <w:spacing w:before="138" w:line="231" w:lineRule="auto"/>
              <w:ind w:left="119" w:right="10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任务：查阅病历、询问病史、与患者交流，了解</w:t>
            </w:r>
            <w:r>
              <w:rPr>
                <w:rFonts w:ascii="FangSong" w:eastAsia="FangSong" w:hAnsi="FangSong" w:cs="FangSong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病情。</w:t>
            </w:r>
          </w:p>
          <w:p>
            <w:pPr>
              <w:spacing w:before="20" w:line="220" w:lineRule="auto"/>
              <w:ind w:left="1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技能操作要求：</w:t>
            </w:r>
          </w:p>
          <w:p>
            <w:pPr>
              <w:spacing w:before="26" w:line="222" w:lineRule="auto"/>
              <w:ind w:left="13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1.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仪表大方，举止端庄，修饰着装整洁；</w:t>
            </w:r>
          </w:p>
          <w:p>
            <w:pPr>
              <w:spacing w:before="23" w:line="229" w:lineRule="auto"/>
              <w:ind w:left="122" w:right="105" w:hanging="1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2.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了解患者病情病史、功能障碍情况、情绪、合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作程度、有无治疗禁忌证等；</w:t>
            </w:r>
          </w:p>
          <w:p>
            <w:pPr>
              <w:spacing w:before="26" w:line="222" w:lineRule="auto"/>
              <w:ind w:left="11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问诊全面准确，重点突出；</w:t>
            </w:r>
          </w:p>
          <w:p>
            <w:pPr>
              <w:spacing w:before="21" w:line="222" w:lineRule="auto"/>
              <w:ind w:left="10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与患者沟通语言规范，态度和蔼，关心患者</w:t>
            </w:r>
          </w:p>
        </w:tc>
        <w:tc>
          <w:tcPr>
            <w:tcW w:w="730" w:type="dxa"/>
            <w:tcBorders>
              <w:bottom w:val="nil"/>
            </w:tcBorders>
            <w:vAlign w:val="top"/>
          </w:tcPr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3" w:lineRule="auto"/>
            </w:pPr>
          </w:p>
        </w:tc>
        <w:tc>
          <w:tcPr>
            <w:tcW w:w="899" w:type="dxa"/>
            <w:vAlign w:val="top"/>
          </w:tcPr>
          <w:p>
            <w:pPr>
              <w:pStyle w:val="TableText"/>
              <w:spacing w:line="263" w:lineRule="auto"/>
            </w:pPr>
          </w:p>
          <w:p>
            <w:pPr>
              <w:pStyle w:val="TableText"/>
              <w:spacing w:line="264" w:lineRule="auto"/>
            </w:pPr>
          </w:p>
          <w:p>
            <w:pPr>
              <w:spacing w:before="78" w:line="238" w:lineRule="auto"/>
              <w:ind w:left="112" w:right="114" w:firstLine="35"/>
              <w:jc w:val="both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2"/>
                <w:sz w:val="24"/>
                <w:szCs w:val="24"/>
              </w:rPr>
              <w:t>分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47"/>
                <w:sz w:val="24"/>
                <w:szCs w:val="24"/>
              </w:rPr>
              <w:t>（占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47"/>
                <w:sz w:val="24"/>
                <w:szCs w:val="24"/>
              </w:rPr>
              <w:t>技能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47"/>
                <w:sz w:val="24"/>
                <w:szCs w:val="24"/>
              </w:rPr>
              <w:t>操作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20%</w:t>
            </w: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）</w:t>
            </w:r>
          </w:p>
        </w:tc>
        <w:tc>
          <w:tcPr>
            <w:tcW w:w="700" w:type="dxa"/>
            <w:tcBorders>
              <w:bottom w:val="nil"/>
            </w:tcBorders>
            <w:vAlign w:val="top"/>
          </w:tcPr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</w:tc>
      </w:tr>
    </w:tbl>
    <w:p>
      <w:pPr>
        <w:sectPr>
          <w:footerReference w:type="default" r:id="rId15"/>
          <w:pgSz w:w="11906" w:h="16839"/>
          <w:pgMar w:top="1353" w:right="1402" w:bottom="1109" w:left="1401" w:header="0" w:footer="818" w:gutter="0"/>
          <w:pgNumType w:start="11"/>
          <w:cols w:space="708"/>
        </w:sectPr>
      </w:pPr>
    </w:p>
    <w:tbl>
      <w:tblPr>
        <w:tblStyle w:val="TableNormal5"/>
        <w:tblW w:w="909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1"/>
        <w:gridCol w:w="490"/>
        <w:gridCol w:w="510"/>
        <w:gridCol w:w="5237"/>
        <w:gridCol w:w="730"/>
        <w:gridCol w:w="899"/>
        <w:gridCol w:w="700"/>
      </w:tblGrid>
      <w:tr>
        <w:tblPrEx>
          <w:tblW w:w="909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695"/>
        </w:trPr>
        <w:tc>
          <w:tcPr>
            <w:tcW w:w="531" w:type="dxa"/>
            <w:vMerge w:val="restart"/>
            <w:tcBorders>
              <w:bottom w:val="nil"/>
            </w:tcBorders>
            <w:textDirection w:val="tbRlV"/>
            <w:vAlign w:val="top"/>
          </w:tcPr>
          <w:p/>
        </w:tc>
        <w:tc>
          <w:tcPr>
            <w:tcW w:w="490" w:type="dxa"/>
            <w:vMerge w:val="restart"/>
            <w:tcBorders>
              <w:bottom w:val="nil"/>
            </w:tcBorders>
            <w:textDirection w:val="tbRlV"/>
            <w:vAlign w:val="top"/>
          </w:tcPr>
          <w:p/>
        </w:tc>
        <w:tc>
          <w:tcPr>
            <w:tcW w:w="510" w:type="dxa"/>
            <w:textDirection w:val="tbRlV"/>
            <w:vAlign w:val="top"/>
          </w:tcPr>
          <w:p/>
        </w:tc>
        <w:tc>
          <w:tcPr>
            <w:tcW w:w="5237" w:type="dxa"/>
            <w:vAlign w:val="top"/>
          </w:tcPr>
          <w:p/>
        </w:tc>
        <w:tc>
          <w:tcPr>
            <w:tcW w:w="73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spacing w:before="69" w:line="221" w:lineRule="auto"/>
              <w:ind w:left="141" w:right="122" w:firstLine="10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FangSong" w:eastAsia="FangSong" w:hAnsi="FangSong" w:cs="FangSong"/>
                <w:spacing w:val="-10"/>
                <w:sz w:val="24"/>
                <w:szCs w:val="24"/>
              </w:rPr>
              <w:t>分钟</w:t>
            </w:r>
          </w:p>
        </w:tc>
        <w:tc>
          <w:tcPr>
            <w:tcW w:w="899" w:type="dxa"/>
            <w:vAlign w:val="top"/>
          </w:tcPr>
          <w:p/>
        </w:tc>
        <w:tc>
          <w:tcPr>
            <w:tcW w:w="70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spacing w:before="69" w:line="188" w:lineRule="auto"/>
              <w:ind w:left="1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100</w:t>
            </w:r>
          </w:p>
          <w:p>
            <w:pPr>
              <w:spacing w:before="34" w:line="224" w:lineRule="auto"/>
              <w:ind w:left="24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z w:val="24"/>
                <w:szCs w:val="24"/>
              </w:rPr>
              <w:t>分</w:t>
            </w:r>
          </w:p>
          <w:p>
            <w:pPr>
              <w:spacing w:before="21" w:line="228" w:lineRule="auto"/>
              <w:ind w:left="12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1"/>
                <w:sz w:val="24"/>
                <w:szCs w:val="24"/>
              </w:rPr>
              <w:t>（占</w:t>
            </w:r>
          </w:p>
          <w:p>
            <w:pPr>
              <w:spacing w:before="15" w:line="224" w:lineRule="auto"/>
              <w:ind w:left="13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4"/>
                <w:sz w:val="24"/>
                <w:szCs w:val="24"/>
              </w:rPr>
              <w:t>总成</w:t>
            </w:r>
          </w:p>
          <w:p>
            <w:pPr>
              <w:spacing w:before="18" w:line="223" w:lineRule="auto"/>
              <w:ind w:left="27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z w:val="24"/>
                <w:szCs w:val="24"/>
              </w:rPr>
              <w:t>绩</w:t>
            </w:r>
          </w:p>
          <w:p>
            <w:pPr>
              <w:spacing w:before="48" w:line="221" w:lineRule="auto"/>
              <w:ind w:left="262" w:right="127" w:hanging="1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85%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>)</w:t>
            </w:r>
          </w:p>
        </w:tc>
      </w:tr>
      <w:tr>
        <w:tblPrEx>
          <w:tblW w:w="9097" w:type="dxa"/>
          <w:tblInd w:w="2" w:type="dxa"/>
          <w:tblLayout w:type="fixed"/>
        </w:tblPrEx>
        <w:trPr>
          <w:trHeight w:val="5296"/>
        </w:trPr>
        <w:tc>
          <w:tcPr>
            <w:tcW w:w="531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pStyle w:val="TableText"/>
            </w:pPr>
          </w:p>
        </w:tc>
        <w:tc>
          <w:tcPr>
            <w:tcW w:w="49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pStyle w:val="TableText"/>
            </w:pPr>
          </w:p>
        </w:tc>
        <w:tc>
          <w:tcPr>
            <w:tcW w:w="510" w:type="dxa"/>
            <w:textDirection w:val="tbRlV"/>
            <w:vAlign w:val="top"/>
          </w:tcPr>
          <w:p>
            <w:pPr>
              <w:spacing w:before="160" w:line="201" w:lineRule="auto"/>
              <w:ind w:left="237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38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评定</w:t>
            </w:r>
          </w:p>
        </w:tc>
        <w:tc>
          <w:tcPr>
            <w:tcW w:w="5237" w:type="dxa"/>
            <w:vAlign w:val="top"/>
          </w:tcPr>
          <w:p>
            <w:pPr>
              <w:spacing w:before="39" w:line="229" w:lineRule="auto"/>
              <w:ind w:left="119" w:right="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任务一：评估前准备（仪表、沟通、物品准备）。</w:t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技能操作要求：</w:t>
            </w:r>
          </w:p>
          <w:p>
            <w:pPr>
              <w:spacing w:before="24" w:line="233" w:lineRule="auto"/>
              <w:ind w:left="108" w:right="105" w:firstLine="2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1.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仪表：仪表大方，举止端庄，修饰着装整洁；</w:t>
            </w:r>
            <w:r>
              <w:rPr>
                <w:rFonts w:ascii="FangSong" w:eastAsia="FangSong" w:hAnsi="FangSong" w:cs="FangSong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2.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沟通：</w:t>
            </w:r>
            <w:r>
              <w:rPr>
                <w:rFonts w:ascii="FangSong" w:eastAsia="FangSong" w:hAnsi="FangSong" w:cs="FangSong"/>
                <w:spacing w:val="-6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向患者讲明康复评定的意义、将要采取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的评估方法和注意事项等；</w:t>
            </w:r>
          </w:p>
          <w:p>
            <w:pPr>
              <w:spacing w:before="25" w:line="220" w:lineRule="auto"/>
              <w:ind w:left="11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3.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物品准备：正确选择、摆放评定工具或量表。</w:t>
            </w:r>
          </w:p>
          <w:p>
            <w:pPr>
              <w:spacing w:before="26" w:line="229" w:lineRule="auto"/>
              <w:ind w:left="119" w:right="10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任务二：规范进行评估操作（患者体位、治疗师</w:t>
            </w:r>
            <w:r>
              <w:rPr>
                <w:rFonts w:ascii="FangSong" w:eastAsia="FangSong" w:hAnsi="FangSong" w:cs="FangSong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体位、操作方法、反应观察）。</w:t>
            </w:r>
          </w:p>
          <w:p>
            <w:pPr>
              <w:spacing w:before="26" w:line="220" w:lineRule="auto"/>
              <w:ind w:left="1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技能操作要求：</w:t>
            </w:r>
          </w:p>
          <w:p>
            <w:pPr>
              <w:spacing w:before="27" w:line="235" w:lineRule="auto"/>
              <w:ind w:left="108" w:right="42" w:firstLine="2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患者体位：正确、安全、舒适、便于配合操作；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2.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治疗师体位：舒适、安全、省力、便于操作；</w:t>
            </w:r>
            <w:r>
              <w:rPr>
                <w:rFonts w:ascii="FangSong" w:eastAsia="FangSong" w:hAnsi="FangSong" w:cs="FangSong"/>
                <w:spacing w:val="7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3.</w:t>
            </w:r>
            <w:r>
              <w:rPr>
                <w:rFonts w:ascii="FangSong" w:eastAsia="FangSong" w:hAnsi="FangSong" w:cs="FangSong"/>
                <w:spacing w:val="1"/>
                <w:sz w:val="24"/>
                <w:szCs w:val="24"/>
              </w:rPr>
              <w:t>操作方法：动作标准、规范、娴熟、准确、稳</w:t>
            </w:r>
            <w:r>
              <w:rPr>
                <w:rFonts w:ascii="FangSong" w:eastAsia="FangSong" w:hAnsi="FangSong" w:cs="FangSong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重、有序；</w:t>
            </w:r>
          </w:p>
          <w:p>
            <w:pPr>
              <w:spacing w:before="23" w:line="221" w:lineRule="auto"/>
              <w:ind w:left="10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4.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口令交流：明确、简洁、规范、高效；</w:t>
            </w:r>
          </w:p>
          <w:p>
            <w:pPr>
              <w:spacing w:before="22" w:line="230" w:lineRule="auto"/>
              <w:ind w:left="119" w:right="105" w:hanging="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5.</w:t>
            </w:r>
            <w:r>
              <w:rPr>
                <w:rFonts w:ascii="FangSong" w:eastAsia="FangSong" w:hAnsi="FangSong" w:cs="FangSong"/>
                <w:spacing w:val="1"/>
                <w:sz w:val="24"/>
                <w:szCs w:val="24"/>
              </w:rPr>
              <w:t>反应观察：随时观察、询问操作反应，及时调</w:t>
            </w:r>
            <w:r>
              <w:rPr>
                <w:rFonts w:ascii="FangSong" w:eastAsia="FangSong" w:hAnsi="FangSong" w:cs="FangSong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整或停止操作。</w:t>
            </w:r>
          </w:p>
          <w:p>
            <w:pPr>
              <w:spacing w:before="26" w:line="205" w:lineRule="auto"/>
              <w:ind w:left="1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项目任务三：评估后准备做出评定结论。</w:t>
            </w:r>
          </w:p>
        </w:tc>
        <w:tc>
          <w:tcPr>
            <w:tcW w:w="73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99" w:type="dxa"/>
            <w:vAlign w:val="top"/>
          </w:tcPr>
          <w:p>
            <w:pPr>
              <w:pStyle w:val="TableText"/>
              <w:spacing w:line="260" w:lineRule="auto"/>
            </w:pPr>
          </w:p>
          <w:p>
            <w:pPr>
              <w:pStyle w:val="TableText"/>
              <w:spacing w:line="260" w:lineRule="auto"/>
            </w:pPr>
          </w:p>
          <w:p>
            <w:pPr>
              <w:pStyle w:val="TableText"/>
              <w:spacing w:line="260" w:lineRule="auto"/>
            </w:pPr>
          </w:p>
          <w:p>
            <w:pPr>
              <w:pStyle w:val="TableText"/>
              <w:spacing w:line="260" w:lineRule="auto"/>
            </w:pPr>
          </w:p>
          <w:p>
            <w:pPr>
              <w:pStyle w:val="TableText"/>
              <w:spacing w:line="260" w:lineRule="auto"/>
            </w:pPr>
          </w:p>
          <w:p>
            <w:pPr>
              <w:pStyle w:val="TableText"/>
              <w:spacing w:line="260" w:lineRule="auto"/>
            </w:pPr>
          </w:p>
          <w:p>
            <w:pPr>
              <w:pStyle w:val="TableText"/>
              <w:spacing w:line="260" w:lineRule="auto"/>
            </w:pPr>
          </w:p>
          <w:p>
            <w:pPr>
              <w:spacing w:before="78" w:line="238" w:lineRule="auto"/>
              <w:ind w:left="117" w:right="114" w:firstLine="30"/>
              <w:jc w:val="both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2"/>
                <w:sz w:val="24"/>
                <w:szCs w:val="24"/>
              </w:rPr>
              <w:t>分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45"/>
                <w:sz w:val="24"/>
                <w:szCs w:val="24"/>
              </w:rPr>
              <w:t>（占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45"/>
                <w:sz w:val="24"/>
                <w:szCs w:val="24"/>
              </w:rPr>
              <w:t>技能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45"/>
                <w:sz w:val="24"/>
                <w:szCs w:val="24"/>
              </w:rPr>
              <w:t>操作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35%</w:t>
            </w: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>）</w:t>
            </w:r>
          </w:p>
        </w:tc>
        <w:tc>
          <w:tcPr>
            <w:tcW w:w="70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  <w:spacing w:line="236" w:lineRule="exact"/>
        <w:rPr>
          <w:sz w:val="20"/>
        </w:rPr>
      </w:pPr>
    </w:p>
    <w:p>
      <w:pPr>
        <w:spacing w:line="236" w:lineRule="exact"/>
        <w:rPr>
          <w:sz w:val="20"/>
          <w:szCs w:val="20"/>
        </w:rPr>
        <w:sectPr>
          <w:footerReference w:type="default" r:id="rId16"/>
          <w:type w:val="nextPage"/>
          <w:pgSz w:w="11906" w:h="16839"/>
          <w:pgMar w:top="1353" w:right="1402" w:bottom="1109" w:left="1401" w:header="0" w:footer="818" w:gutter="0"/>
          <w:pgNumType w:start="12"/>
          <w:cols w:space="708"/>
          <w:titlePg w:val="0"/>
        </w:sectPr>
      </w:pPr>
    </w:p>
    <w:tbl>
      <w:tblPr>
        <w:tblStyle w:val="TableNormal6"/>
        <w:tblW w:w="909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1"/>
        <w:gridCol w:w="490"/>
        <w:gridCol w:w="510"/>
        <w:gridCol w:w="5237"/>
        <w:gridCol w:w="730"/>
        <w:gridCol w:w="899"/>
        <w:gridCol w:w="700"/>
      </w:tblGrid>
      <w:tr>
        <w:tblPrEx>
          <w:tblW w:w="909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549"/>
        </w:trPr>
        <w:tc>
          <w:tcPr>
            <w:tcW w:w="53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0" w:type="dxa"/>
            <w:vAlign w:val="top"/>
          </w:tcPr>
          <w:p>
            <w:pPr>
              <w:pStyle w:val="TableText"/>
            </w:pPr>
          </w:p>
        </w:tc>
        <w:tc>
          <w:tcPr>
            <w:tcW w:w="5237" w:type="dxa"/>
            <w:vAlign w:val="top"/>
          </w:tcPr>
          <w:p>
            <w:pPr>
              <w:spacing w:before="40" w:line="220" w:lineRule="auto"/>
              <w:ind w:left="1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技能操作要求：</w:t>
            </w:r>
          </w:p>
          <w:p>
            <w:pPr>
              <w:spacing w:before="26" w:line="230" w:lineRule="auto"/>
              <w:ind w:left="120" w:right="105" w:firstLine="1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能根据检查评估的情况对患者作出正确的功能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评定结论；</w:t>
            </w:r>
          </w:p>
          <w:p>
            <w:pPr>
              <w:spacing w:before="23" w:line="220" w:lineRule="auto"/>
              <w:ind w:left="10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2.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评定结束后整理用物</w:t>
            </w:r>
          </w:p>
        </w:tc>
        <w:tc>
          <w:tcPr>
            <w:tcW w:w="73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99" w:type="dxa"/>
            <w:vAlign w:val="top"/>
          </w:tcPr>
          <w:p>
            <w:pPr>
              <w:pStyle w:val="TableText"/>
            </w:pPr>
          </w:p>
        </w:tc>
        <w:tc>
          <w:tcPr>
            <w:tcW w:w="70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9097" w:type="dxa"/>
          <w:tblInd w:w="2" w:type="dxa"/>
          <w:tblLayout w:type="fixed"/>
        </w:tblPrEx>
        <w:trPr>
          <w:trHeight w:val="8245"/>
        </w:trPr>
        <w:tc>
          <w:tcPr>
            <w:tcW w:w="53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9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0" w:type="dxa"/>
            <w:textDirection w:val="tbRlV"/>
            <w:vAlign w:val="top"/>
          </w:tcPr>
          <w:p>
            <w:pPr>
              <w:spacing w:before="159" w:line="199" w:lineRule="auto"/>
              <w:ind w:left="384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3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治疗</w:t>
            </w:r>
          </w:p>
        </w:tc>
        <w:tc>
          <w:tcPr>
            <w:tcW w:w="5237" w:type="dxa"/>
            <w:vAlign w:val="top"/>
          </w:tcPr>
          <w:p>
            <w:pPr>
              <w:spacing w:before="267" w:line="232" w:lineRule="auto"/>
              <w:ind w:left="120" w:right="105" w:hanging="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任务一：治疗操作前准备（仪表、沟通、物品准</w:t>
            </w:r>
            <w:r>
              <w:rPr>
                <w:rFonts w:ascii="FangSong" w:eastAsia="FangSong" w:hAnsi="FangSong" w:cs="FangSong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备）。</w:t>
            </w:r>
          </w:p>
          <w:p>
            <w:pPr>
              <w:spacing w:before="17" w:line="220" w:lineRule="auto"/>
              <w:ind w:left="1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技能操作要求：</w:t>
            </w:r>
          </w:p>
          <w:p>
            <w:pPr>
              <w:spacing w:before="27" w:line="233" w:lineRule="auto"/>
              <w:ind w:left="108" w:right="105" w:firstLine="2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1.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仪表：仪表大方，举止端庄，修饰着装整洁；</w:t>
            </w:r>
            <w:r>
              <w:rPr>
                <w:rFonts w:ascii="FangSong" w:eastAsia="FangSong" w:hAnsi="FangSong" w:cs="FangSong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2.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沟通：</w:t>
            </w:r>
            <w:r>
              <w:rPr>
                <w:rFonts w:ascii="FangSong" w:eastAsia="FangSong" w:hAnsi="FangSong" w:cs="FangSong"/>
                <w:spacing w:val="-6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向患者讲明康复治疗的意义、将要采取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的康复治疗措施和作用、注意事项等；</w:t>
            </w:r>
          </w:p>
          <w:p>
            <w:pPr>
              <w:spacing w:before="23" w:line="220" w:lineRule="auto"/>
              <w:ind w:left="11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3.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物品准备：正确选择、摆放治疗设备和工具。</w:t>
            </w:r>
          </w:p>
          <w:p>
            <w:pPr>
              <w:spacing w:before="26" w:line="230" w:lineRule="auto"/>
              <w:ind w:left="119" w:right="10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任务二：规范进行治疗操作（患者体位、治疗师</w:t>
            </w:r>
            <w:r>
              <w:rPr>
                <w:rFonts w:ascii="FangSong" w:eastAsia="FangSong" w:hAnsi="FangSong" w:cs="FangSong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体位、操作方法、</w:t>
            </w:r>
            <w:r>
              <w:rPr>
                <w:rFonts w:ascii="FangSong" w:eastAsia="FangSong" w:hAnsi="FangSong" w:cs="FangSong"/>
                <w:spacing w:val="-6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口令交流、反应观察）。</w:t>
            </w:r>
          </w:p>
          <w:p>
            <w:pPr>
              <w:spacing w:before="24" w:line="220" w:lineRule="auto"/>
              <w:ind w:left="1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技能操作要求：</w:t>
            </w:r>
          </w:p>
          <w:p>
            <w:pPr>
              <w:spacing w:before="26" w:line="235" w:lineRule="auto"/>
              <w:ind w:left="108" w:right="28" w:firstLine="2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患者体位：正确、安全、舒适、便于配合操作；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2.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治疗师体位：舒适、安全、省力、便于操作；</w:t>
            </w:r>
            <w:r>
              <w:rPr>
                <w:rFonts w:ascii="FangSong" w:eastAsia="FangSong" w:hAnsi="FangSong" w:cs="FangSong"/>
                <w:spacing w:val="7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3.</w:t>
            </w: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操作方法：操作手法正确、规范、有效，角度、</w:t>
            </w:r>
            <w:r>
              <w:rPr>
                <w:rFonts w:ascii="FangSong" w:eastAsia="FangSong" w:hAnsi="FangSong" w:cs="FangSong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力度适宜，过程熟练；</w:t>
            </w:r>
          </w:p>
          <w:p>
            <w:pPr>
              <w:spacing w:before="23" w:line="221" w:lineRule="auto"/>
              <w:ind w:left="10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4.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口令交流：明确、简洁、规范、高效；</w:t>
            </w:r>
          </w:p>
          <w:p>
            <w:pPr>
              <w:spacing w:before="23" w:line="230" w:lineRule="auto"/>
              <w:ind w:left="119" w:right="105" w:hanging="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5.</w:t>
            </w:r>
            <w:r>
              <w:rPr>
                <w:rFonts w:ascii="FangSong" w:eastAsia="FangSong" w:hAnsi="FangSong" w:cs="FangSong"/>
                <w:spacing w:val="1"/>
                <w:sz w:val="24"/>
                <w:szCs w:val="24"/>
              </w:rPr>
              <w:t>反应观察：随时观察、询问操作反应，及时调</w:t>
            </w:r>
            <w:r>
              <w:rPr>
                <w:rFonts w:ascii="FangSong" w:eastAsia="FangSong" w:hAnsi="FangSong" w:cs="FangSong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整或停止操作。</w:t>
            </w:r>
          </w:p>
          <w:p>
            <w:pPr>
              <w:spacing w:before="24" w:line="230" w:lineRule="auto"/>
              <w:ind w:left="119" w:right="14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任务三：治疗操作后进行治疗评价，健康宣教，</w:t>
            </w:r>
            <w:r>
              <w:rPr>
                <w:rFonts w:ascii="FangSong" w:eastAsia="FangSong" w:hAnsi="FangSong" w:cs="FangSong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整理用物。</w:t>
            </w:r>
          </w:p>
          <w:p>
            <w:pPr>
              <w:spacing w:before="25" w:line="220" w:lineRule="auto"/>
              <w:ind w:left="1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技能操作要求：</w:t>
            </w:r>
          </w:p>
          <w:p>
            <w:pPr>
              <w:spacing w:before="26" w:line="231" w:lineRule="auto"/>
              <w:ind w:left="118" w:right="105" w:firstLine="1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>治疗评价：评价患者感受、治疗反应及治疗目</w:t>
            </w:r>
            <w:r>
              <w:rPr>
                <w:rFonts w:ascii="FangSong" w:eastAsia="FangSong" w:hAnsi="FangSong" w:cs="FangSong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标达到的程度；</w:t>
            </w:r>
          </w:p>
          <w:p>
            <w:pPr>
              <w:spacing w:before="21" w:line="231" w:lineRule="auto"/>
              <w:ind w:left="122" w:right="105" w:hanging="1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2.</w:t>
            </w:r>
            <w:r>
              <w:rPr>
                <w:rFonts w:ascii="FangSong" w:eastAsia="FangSong" w:hAnsi="FangSong" w:cs="FangSong"/>
                <w:spacing w:val="1"/>
                <w:sz w:val="24"/>
                <w:szCs w:val="24"/>
              </w:rPr>
              <w:t>健康宣教：根据训练内容，布置课后训练项目</w:t>
            </w:r>
            <w:r>
              <w:rPr>
                <w:rFonts w:ascii="FangSong" w:eastAsia="FangSong" w:hAnsi="FangSong" w:cs="FangSong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或叮嘱注意事项；</w:t>
            </w:r>
          </w:p>
          <w:p>
            <w:pPr>
              <w:spacing w:before="23" w:line="221" w:lineRule="auto"/>
              <w:ind w:left="11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3.</w:t>
            </w: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整理用物：整理床单位，整理设备和物品</w:t>
            </w:r>
          </w:p>
        </w:tc>
        <w:tc>
          <w:tcPr>
            <w:tcW w:w="73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99" w:type="dxa"/>
            <w:vAlign w:val="top"/>
          </w:tcPr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spacing w:before="78" w:line="239" w:lineRule="auto"/>
              <w:ind w:left="117" w:right="114" w:firstLine="30"/>
              <w:jc w:val="both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2"/>
                <w:sz w:val="24"/>
                <w:szCs w:val="24"/>
              </w:rPr>
              <w:t>分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45"/>
                <w:sz w:val="24"/>
                <w:szCs w:val="24"/>
              </w:rPr>
              <w:t>（占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45"/>
                <w:sz w:val="24"/>
                <w:szCs w:val="24"/>
              </w:rPr>
              <w:t>技能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45"/>
                <w:sz w:val="24"/>
                <w:szCs w:val="24"/>
              </w:rPr>
              <w:t>操作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35%</w:t>
            </w: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>）</w:t>
            </w:r>
          </w:p>
        </w:tc>
        <w:tc>
          <w:tcPr>
            <w:tcW w:w="70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9097" w:type="dxa"/>
          <w:tblInd w:w="2" w:type="dxa"/>
          <w:tblLayout w:type="fixed"/>
        </w:tblPrEx>
        <w:trPr>
          <w:trHeight w:val="1958"/>
        </w:trPr>
        <w:tc>
          <w:tcPr>
            <w:tcW w:w="53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9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10" w:type="dxa"/>
            <w:textDirection w:val="tbRlV"/>
            <w:vAlign w:val="top"/>
          </w:tcPr>
          <w:p>
            <w:pPr>
              <w:spacing w:before="159" w:line="202" w:lineRule="auto"/>
              <w:ind w:left="70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问</w:t>
            </w:r>
            <w:r>
              <w:rPr>
                <w:rFonts w:ascii="FangSong" w:eastAsia="FangSong" w:hAnsi="FangSong" w:cs="FangSong"/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答</w:t>
            </w:r>
          </w:p>
        </w:tc>
        <w:tc>
          <w:tcPr>
            <w:tcW w:w="5237" w:type="dxa"/>
            <w:vAlign w:val="top"/>
          </w:tcPr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spacing w:before="78" w:line="231" w:lineRule="auto"/>
              <w:ind w:left="122" w:right="28" w:firstLine="2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1"/>
                <w:sz w:val="24"/>
                <w:szCs w:val="24"/>
              </w:rPr>
              <w:t>回答问题：语言表达流利，思路清晰，回答全面、</w:t>
            </w:r>
            <w:r>
              <w:rPr>
                <w:rFonts w:ascii="FangSong" w:eastAsia="FangSong" w:hAnsi="FangSong" w:cs="FangSong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专业知识技术应用正确熟练。</w:t>
            </w:r>
          </w:p>
        </w:tc>
        <w:tc>
          <w:tcPr>
            <w:tcW w:w="73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99" w:type="dxa"/>
            <w:vAlign w:val="top"/>
          </w:tcPr>
          <w:p>
            <w:pPr>
              <w:spacing w:before="235" w:line="239" w:lineRule="auto"/>
              <w:ind w:left="135" w:right="114" w:firstLine="12"/>
              <w:jc w:val="both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2"/>
                <w:sz w:val="24"/>
                <w:szCs w:val="24"/>
              </w:rPr>
              <w:t>分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36"/>
                <w:sz w:val="24"/>
                <w:szCs w:val="24"/>
              </w:rPr>
              <w:t>（占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36"/>
                <w:sz w:val="24"/>
                <w:szCs w:val="24"/>
              </w:rPr>
              <w:t>技能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36"/>
                <w:sz w:val="24"/>
                <w:szCs w:val="24"/>
              </w:rPr>
              <w:t>操作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10%</w:t>
            </w:r>
            <w:r>
              <w:rPr>
                <w:rFonts w:ascii="FangSong" w:eastAsia="FangSong" w:hAnsi="FangSong" w:cs="FangSong"/>
                <w:spacing w:val="-12"/>
                <w:sz w:val="24"/>
                <w:szCs w:val="24"/>
              </w:rPr>
              <w:t>）</w:t>
            </w:r>
          </w:p>
        </w:tc>
        <w:tc>
          <w:tcPr>
            <w:tcW w:w="70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spacing w:before="48" w:line="191" w:lineRule="auto"/>
        <w:ind w:left="430"/>
        <w:rPr>
          <w:rFonts w:ascii="Microsoft YaHei" w:eastAsia="Microsoft YaHei" w:hAnsi="Microsoft YaHei" w:cs="Microsoft YaHei"/>
          <w:sz w:val="31"/>
          <w:szCs w:val="31"/>
        </w:rPr>
        <w:sectPr>
          <w:footerReference w:type="default" r:id="rId17"/>
          <w:pgSz w:w="11906" w:h="16839"/>
          <w:pgMar w:top="1240" w:right="1402" w:bottom="1111" w:left="1401" w:header="0" w:footer="818" w:gutter="0"/>
          <w:pgNumType w:start="13"/>
          <w:cols w:space="708"/>
        </w:sectPr>
      </w:pP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-4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、竞赛方式</w:t>
      </w:r>
    </w:p>
    <w:p>
      <w:pPr>
        <w:spacing w:before="115" w:line="227" w:lineRule="auto"/>
        <w:ind w:left="987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（一）竞赛形式</w:t>
      </w:r>
    </w:p>
    <w:p>
      <w:pPr>
        <w:spacing w:before="279" w:line="223" w:lineRule="auto"/>
        <w:ind w:left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本赛项为线下比赛。</w:t>
      </w:r>
    </w:p>
    <w:p>
      <w:pPr>
        <w:spacing w:before="285" w:line="232" w:lineRule="auto"/>
        <w:ind w:left="987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（二）组队方式</w:t>
      </w:r>
    </w:p>
    <w:p>
      <w:pPr>
        <w:spacing w:line="232" w:lineRule="auto"/>
        <w:rPr>
          <w:rFonts w:ascii="KaiTi" w:eastAsia="KaiTi" w:hAnsi="KaiTi" w:cs="KaiTi"/>
          <w:sz w:val="28"/>
          <w:szCs w:val="28"/>
        </w:rPr>
        <w:sectPr>
          <w:footerReference w:type="default" r:id="rId18"/>
          <w:type w:val="nextPage"/>
          <w:pgSz w:w="11906" w:h="16839"/>
          <w:pgMar w:top="1240" w:right="1402" w:bottom="1111" w:left="1401" w:header="0" w:footer="818" w:gutter="0"/>
          <w:pgNumType w:start="14"/>
          <w:cols w:space="708"/>
          <w:titlePg w:val="0"/>
        </w:sectPr>
      </w:pPr>
    </w:p>
    <w:p>
      <w:pPr>
        <w:spacing w:before="57" w:line="223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1.本赛项为团体赛，以团队方式报名参赛。</w:t>
      </w:r>
    </w:p>
    <w:p>
      <w:pPr>
        <w:spacing w:before="289" w:line="411" w:lineRule="auto"/>
        <w:ind w:left="31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2.各省、自治区、直辖市根据大赛执委会规定的名额推荐团队参</w:t>
      </w:r>
      <w:r>
        <w:rPr>
          <w:rFonts w:ascii="FangSong" w:eastAsia="FangSong" w:hAnsi="FangSong" w:cs="FangSong"/>
          <w:spacing w:val="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加全国大赛，各省参赛团队不得来自同一学校，不得跨校组队。每省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确定省领队</w:t>
      </w:r>
      <w:r>
        <w:rPr>
          <w:rFonts w:ascii="FangSong" w:eastAsia="FangSong" w:hAnsi="FangSong" w:cs="FangSong"/>
          <w:spacing w:val="-3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1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名，每个团队由</w:t>
      </w:r>
      <w:r>
        <w:rPr>
          <w:rFonts w:ascii="FangSong" w:eastAsia="FangSong" w:hAnsi="FangSong" w:cs="FangSong"/>
          <w:spacing w:val="-4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1</w:t>
      </w:r>
      <w:r>
        <w:rPr>
          <w:rFonts w:ascii="FangSong" w:eastAsia="FangSong" w:hAnsi="FangSong" w:cs="FangSong"/>
          <w:spacing w:val="-5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名校领队、3</w:t>
      </w:r>
      <w:r>
        <w:rPr>
          <w:rFonts w:ascii="FangSong" w:eastAsia="FangSong" w:hAnsi="FangSong" w:cs="FangSong"/>
          <w:spacing w:val="-5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名选手和</w:t>
      </w:r>
      <w:r>
        <w:rPr>
          <w:rFonts w:ascii="FangSong" w:eastAsia="FangSong" w:hAnsi="FangSong" w:cs="FangSong"/>
          <w:spacing w:val="-4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1-2</w:t>
      </w:r>
      <w:r>
        <w:rPr>
          <w:rFonts w:ascii="FangSong" w:eastAsia="FangSong" w:hAnsi="FangSong" w:cs="FangSong"/>
          <w:spacing w:val="-5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名指导教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师组成。参赛选手须为高等职业院校全日制在籍学生、本科院校高职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类全日制在籍学生；五年制高职四、五年级学生可报名参加本赛项比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赛。凡在往届本赛项技能大赛中获一等奖的选手，不再参加本年度赛</w:t>
      </w:r>
    </w:p>
    <w:p>
      <w:pPr>
        <w:spacing w:line="224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项。</w:t>
      </w:r>
    </w:p>
    <w:p>
      <w:pPr>
        <w:spacing w:before="286" w:line="411" w:lineRule="auto"/>
        <w:ind w:left="31" w:right="1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3.参赛选手和指导教师报名获得确认后不得随意更换。如比赛前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参赛选手和指导教师确因特殊原因无法参赛需要更换人员，须由省级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教育行政部门于本赛项开赛</w:t>
      </w:r>
      <w:r>
        <w:rPr>
          <w:rFonts w:ascii="FangSong" w:eastAsia="FangSong" w:hAnsi="FangSong" w:cs="FangSong"/>
          <w:spacing w:val="-4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10</w:t>
      </w:r>
      <w:r>
        <w:rPr>
          <w:rFonts w:ascii="FangSong" w:eastAsia="FangSong" w:hAnsi="FangSong" w:cs="FangSong"/>
          <w:spacing w:val="-5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个工作日之前出具书面</w:t>
      </w:r>
      <w:r>
        <w:rPr>
          <w:rFonts w:ascii="FangSong" w:eastAsia="FangSong" w:hAnsi="FangSong" w:cs="FangSong"/>
          <w:spacing w:val="-3"/>
          <w:sz w:val="28"/>
          <w:szCs w:val="28"/>
        </w:rPr>
        <w:t>说明，经大赛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执委会办公室核实后予以更换。如未经报备批准，发现实际参赛选手</w:t>
      </w:r>
    </w:p>
    <w:p>
      <w:pPr>
        <w:spacing w:line="221" w:lineRule="auto"/>
        <w:ind w:left="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与报名信息不符的情况，均不得入场比赛。</w:t>
      </w:r>
    </w:p>
    <w:p>
      <w:pPr>
        <w:spacing w:before="288" w:line="609" w:lineRule="exact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position w:val="24"/>
          <w:sz w:val="28"/>
          <w:szCs w:val="28"/>
        </w:rPr>
        <w:t>4.不邀请境外代表队参赛，欢迎境外代表队到场观赛。</w:t>
      </w:r>
    </w:p>
    <w:p>
      <w:pPr>
        <w:spacing w:line="191" w:lineRule="auto"/>
        <w:ind w:left="3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五</w:t>
      </w:r>
      <w:r>
        <w:rPr>
          <w:rFonts w:ascii="Microsoft YaHei" w:eastAsia="Microsoft YaHei" w:hAnsi="Microsoft YaHei" w:cs="Microsoft YaHei"/>
          <w:spacing w:val="-4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、竞赛流程</w:t>
      </w:r>
    </w:p>
    <w:p>
      <w:pPr>
        <w:spacing w:before="216" w:line="224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（一）竞赛时间安排</w:t>
      </w:r>
    </w:p>
    <w:p>
      <w:pPr>
        <w:spacing w:before="285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本赛项竞赛拟安排在</w:t>
      </w:r>
      <w:r>
        <w:rPr>
          <w:rFonts w:ascii="FangSong" w:eastAsia="FangSong" w:hAnsi="FangSong" w:cs="FangSong"/>
          <w:spacing w:val="-5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6-7</w:t>
      </w:r>
      <w:r>
        <w:rPr>
          <w:rFonts w:ascii="FangSong" w:eastAsia="FangSong" w:hAnsi="FangSong" w:cs="FangSong"/>
          <w:spacing w:val="-3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月进行。</w:t>
      </w:r>
    </w:p>
    <w:p>
      <w:pPr>
        <w:spacing w:before="290" w:line="227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（二）竞赛日程</w:t>
      </w:r>
    </w:p>
    <w:p>
      <w:pPr>
        <w:spacing w:before="279" w:line="624" w:lineRule="exact"/>
        <w:ind w:right="5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本赛项赛程三天。技能竞赛分为</w:t>
      </w:r>
      <w:r>
        <w:rPr>
          <w:rFonts w:ascii="FangSong" w:eastAsia="FangSong" w:hAnsi="FangSong" w:cs="FangSong"/>
          <w:spacing w:val="-65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A、B</w:t>
      </w:r>
      <w:r>
        <w:rPr>
          <w:rFonts w:ascii="FangSong" w:eastAsia="FangSong" w:hAnsi="FangSong" w:cs="FangSong"/>
          <w:spacing w:val="-38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两组同时进行，每组竞赛</w:t>
      </w:r>
    </w:p>
    <w:p>
      <w:pPr>
        <w:spacing w:before="2" w:line="222" w:lineRule="auto"/>
        <w:ind w:left="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内容与流程一致。具体日程安排如下：</w:t>
      </w:r>
    </w:p>
    <w:p>
      <w:pPr>
        <w:spacing w:line="222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19"/>
          <w:pgSz w:w="11906" w:h="16839"/>
          <w:pgMar w:top="1353" w:right="1785" w:bottom="1109" w:left="1785" w:header="0" w:footer="818" w:gutter="0"/>
          <w:pgNumType w:start="15"/>
          <w:cols w:space="708"/>
        </w:sectPr>
      </w:pPr>
    </w:p>
    <w:tbl>
      <w:tblPr>
        <w:tblStyle w:val="TableNormal7"/>
        <w:tblW w:w="855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90"/>
        <w:gridCol w:w="1721"/>
        <w:gridCol w:w="1758"/>
        <w:gridCol w:w="2852"/>
        <w:gridCol w:w="1238"/>
      </w:tblGrid>
      <w:tr>
        <w:tblPrEx>
          <w:tblW w:w="855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89"/>
        </w:trPr>
        <w:tc>
          <w:tcPr>
            <w:tcW w:w="990" w:type="dxa"/>
            <w:vAlign w:val="top"/>
          </w:tcPr>
          <w:p>
            <w:pPr>
              <w:spacing w:before="174" w:line="223" w:lineRule="auto"/>
              <w:ind w:left="31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日期</w:t>
            </w:r>
          </w:p>
        </w:tc>
        <w:tc>
          <w:tcPr>
            <w:tcW w:w="1721" w:type="dxa"/>
            <w:vAlign w:val="top"/>
          </w:tcPr>
          <w:p>
            <w:pPr>
              <w:spacing w:before="174" w:line="223" w:lineRule="auto"/>
              <w:ind w:left="64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时间</w:t>
            </w:r>
          </w:p>
        </w:tc>
        <w:tc>
          <w:tcPr>
            <w:tcW w:w="1758" w:type="dxa"/>
            <w:vAlign w:val="top"/>
          </w:tcPr>
          <w:p>
            <w:pPr>
              <w:spacing w:before="174" w:line="224" w:lineRule="auto"/>
              <w:ind w:left="65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</w:t>
            </w:r>
          </w:p>
        </w:tc>
        <w:tc>
          <w:tcPr>
            <w:tcW w:w="2852" w:type="dxa"/>
            <w:vAlign w:val="top"/>
          </w:tcPr>
          <w:p>
            <w:pPr>
              <w:spacing w:before="174" w:line="224" w:lineRule="auto"/>
              <w:ind w:left="96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参加人员</w:t>
            </w:r>
          </w:p>
        </w:tc>
        <w:tc>
          <w:tcPr>
            <w:tcW w:w="1238" w:type="dxa"/>
            <w:vAlign w:val="top"/>
          </w:tcPr>
          <w:p>
            <w:pPr>
              <w:spacing w:before="174" w:line="224" w:lineRule="auto"/>
              <w:ind w:left="39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9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地点</w:t>
            </w:r>
          </w:p>
        </w:tc>
      </w:tr>
      <w:tr>
        <w:tblPrEx>
          <w:tblW w:w="8559" w:type="dxa"/>
          <w:tblInd w:w="2" w:type="dxa"/>
          <w:tblLayout w:type="fixed"/>
        </w:tblPrEx>
        <w:trPr>
          <w:trHeight w:val="585"/>
        </w:trPr>
        <w:tc>
          <w:tcPr>
            <w:tcW w:w="99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spacing w:before="78" w:line="222" w:lineRule="auto"/>
              <w:ind w:left="15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第一天</w:t>
            </w:r>
          </w:p>
        </w:tc>
        <w:tc>
          <w:tcPr>
            <w:tcW w:w="1721" w:type="dxa"/>
            <w:vAlign w:val="top"/>
          </w:tcPr>
          <w:p>
            <w:pPr>
              <w:spacing w:before="212" w:line="188" w:lineRule="auto"/>
              <w:ind w:left="3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8:00-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14:00</w:t>
            </w:r>
          </w:p>
        </w:tc>
        <w:tc>
          <w:tcPr>
            <w:tcW w:w="1758" w:type="dxa"/>
            <w:vAlign w:val="top"/>
          </w:tcPr>
          <w:p>
            <w:pPr>
              <w:spacing w:before="171" w:line="222" w:lineRule="auto"/>
              <w:ind w:left="1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报到</w:t>
            </w:r>
          </w:p>
        </w:tc>
        <w:tc>
          <w:tcPr>
            <w:tcW w:w="2852" w:type="dxa"/>
            <w:vAlign w:val="top"/>
          </w:tcPr>
          <w:p>
            <w:pPr>
              <w:spacing w:before="36" w:line="207" w:lineRule="auto"/>
              <w:ind w:left="137" w:right="104" w:hanging="1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专家、裁判员、参赛代表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队、SP</w:t>
            </w:r>
          </w:p>
        </w:tc>
        <w:tc>
          <w:tcPr>
            <w:tcW w:w="1238" w:type="dxa"/>
            <w:vAlign w:val="top"/>
          </w:tcPr>
          <w:p>
            <w:pPr>
              <w:spacing w:before="170" w:line="222" w:lineRule="auto"/>
              <w:ind w:left="1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入住酒店</w:t>
            </w:r>
          </w:p>
        </w:tc>
      </w:tr>
      <w:tr>
        <w:tblPrEx>
          <w:tblW w:w="8559" w:type="dxa"/>
          <w:tblInd w:w="2" w:type="dxa"/>
          <w:tblLayout w:type="fixed"/>
        </w:tblPrEx>
        <w:trPr>
          <w:trHeight w:val="665"/>
        </w:trPr>
        <w:tc>
          <w:tcPr>
            <w:tcW w:w="99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21" w:type="dxa"/>
            <w:vAlign w:val="top"/>
          </w:tcPr>
          <w:p>
            <w:pPr>
              <w:spacing w:before="251" w:line="188" w:lineRule="auto"/>
              <w:ind w:left="2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17:30</w:t>
            </w:r>
          </w:p>
        </w:tc>
        <w:tc>
          <w:tcPr>
            <w:tcW w:w="1758" w:type="dxa"/>
            <w:vAlign w:val="top"/>
          </w:tcPr>
          <w:p>
            <w:pPr>
              <w:spacing w:before="209" w:line="223" w:lineRule="auto"/>
              <w:ind w:left="12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裁判员培训</w:t>
            </w:r>
          </w:p>
        </w:tc>
        <w:tc>
          <w:tcPr>
            <w:tcW w:w="2852" w:type="dxa"/>
            <w:vAlign w:val="top"/>
          </w:tcPr>
          <w:p>
            <w:pPr>
              <w:spacing w:before="210" w:line="222" w:lineRule="auto"/>
              <w:ind w:left="12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专家、全体裁判员</w:t>
            </w:r>
          </w:p>
        </w:tc>
        <w:tc>
          <w:tcPr>
            <w:tcW w:w="1238" w:type="dxa"/>
            <w:vAlign w:val="top"/>
          </w:tcPr>
          <w:p>
            <w:pPr>
              <w:spacing w:before="54" w:line="231" w:lineRule="auto"/>
              <w:ind w:left="123" w:right="10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10"/>
                <w:sz w:val="24"/>
                <w:szCs w:val="24"/>
              </w:rPr>
              <w:t>技能竞赛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考场</w:t>
            </w:r>
          </w:p>
        </w:tc>
      </w:tr>
      <w:tr>
        <w:tblPrEx>
          <w:tblW w:w="8559" w:type="dxa"/>
          <w:tblInd w:w="2" w:type="dxa"/>
          <w:tblLayout w:type="fixed"/>
        </w:tblPrEx>
        <w:trPr>
          <w:trHeight w:val="685"/>
        </w:trPr>
        <w:tc>
          <w:tcPr>
            <w:tcW w:w="99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21" w:type="dxa"/>
            <w:vAlign w:val="top"/>
          </w:tcPr>
          <w:p>
            <w:pPr>
              <w:spacing w:before="263" w:line="188" w:lineRule="auto"/>
              <w:ind w:left="2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14:00-21:00</w:t>
            </w:r>
          </w:p>
        </w:tc>
        <w:tc>
          <w:tcPr>
            <w:tcW w:w="1758" w:type="dxa"/>
            <w:vAlign w:val="top"/>
          </w:tcPr>
          <w:p>
            <w:pPr>
              <w:spacing w:before="64" w:line="231" w:lineRule="auto"/>
              <w:ind w:left="121" w:right="105" w:hanging="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14"/>
                <w:sz w:val="24"/>
                <w:szCs w:val="24"/>
              </w:rPr>
              <w:t>标准化病人培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>训</w:t>
            </w:r>
          </w:p>
        </w:tc>
        <w:tc>
          <w:tcPr>
            <w:tcW w:w="2852" w:type="dxa"/>
            <w:vAlign w:val="top"/>
          </w:tcPr>
          <w:p>
            <w:pPr>
              <w:spacing w:before="221" w:line="223" w:lineRule="auto"/>
              <w:ind w:left="12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专家、SP</w:t>
            </w:r>
          </w:p>
        </w:tc>
        <w:tc>
          <w:tcPr>
            <w:tcW w:w="1238" w:type="dxa"/>
            <w:vAlign w:val="top"/>
          </w:tcPr>
          <w:p>
            <w:pPr>
              <w:spacing w:before="220" w:line="222" w:lineRule="auto"/>
              <w:ind w:left="1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入住酒店</w:t>
            </w:r>
          </w:p>
        </w:tc>
      </w:tr>
      <w:tr>
        <w:tblPrEx>
          <w:tblW w:w="8559" w:type="dxa"/>
          <w:tblInd w:w="2" w:type="dxa"/>
          <w:tblLayout w:type="fixed"/>
        </w:tblPrEx>
        <w:trPr>
          <w:trHeight w:val="585"/>
        </w:trPr>
        <w:tc>
          <w:tcPr>
            <w:tcW w:w="99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21" w:type="dxa"/>
            <w:vAlign w:val="top"/>
          </w:tcPr>
          <w:p>
            <w:pPr>
              <w:spacing w:before="211" w:line="188" w:lineRule="auto"/>
              <w:ind w:left="2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14:30-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16:00</w:t>
            </w:r>
          </w:p>
        </w:tc>
        <w:tc>
          <w:tcPr>
            <w:tcW w:w="1758" w:type="dxa"/>
            <w:vAlign w:val="top"/>
          </w:tcPr>
          <w:p>
            <w:pPr>
              <w:spacing w:before="169" w:line="222" w:lineRule="auto"/>
              <w:ind w:left="1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赛前说明会</w:t>
            </w:r>
          </w:p>
        </w:tc>
        <w:tc>
          <w:tcPr>
            <w:tcW w:w="2852" w:type="dxa"/>
            <w:vAlign w:val="top"/>
          </w:tcPr>
          <w:p>
            <w:pPr>
              <w:spacing w:before="169" w:line="223" w:lineRule="auto"/>
              <w:ind w:left="12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专家、参赛代表队领队</w:t>
            </w:r>
          </w:p>
        </w:tc>
        <w:tc>
          <w:tcPr>
            <w:tcW w:w="1238" w:type="dxa"/>
            <w:vAlign w:val="top"/>
          </w:tcPr>
          <w:p>
            <w:pPr>
              <w:spacing w:before="169" w:line="222" w:lineRule="auto"/>
              <w:ind w:left="1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承办院校</w:t>
            </w:r>
          </w:p>
        </w:tc>
      </w:tr>
      <w:tr>
        <w:tblPrEx>
          <w:tblW w:w="8559" w:type="dxa"/>
          <w:tblInd w:w="2" w:type="dxa"/>
          <w:tblLayout w:type="fixed"/>
        </w:tblPrEx>
        <w:trPr>
          <w:trHeight w:val="694"/>
        </w:trPr>
        <w:tc>
          <w:tcPr>
            <w:tcW w:w="99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21" w:type="dxa"/>
            <w:vAlign w:val="top"/>
          </w:tcPr>
          <w:p>
            <w:pPr>
              <w:spacing w:before="69" w:line="232" w:lineRule="auto"/>
              <w:ind w:left="750" w:right="188" w:hanging="53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17:30-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次日启</w:t>
            </w:r>
            <w:r>
              <w:rPr>
                <w:rFonts w:ascii="FangSong" w:eastAsia="FangSong" w:hAnsi="FangSong" w:cs="FangSong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>赛</w:t>
            </w:r>
          </w:p>
        </w:tc>
        <w:tc>
          <w:tcPr>
            <w:tcW w:w="1758" w:type="dxa"/>
            <w:vAlign w:val="top"/>
          </w:tcPr>
          <w:p>
            <w:pPr>
              <w:spacing w:before="224" w:line="222" w:lineRule="auto"/>
              <w:ind w:left="1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封闭赛场</w:t>
            </w:r>
          </w:p>
        </w:tc>
        <w:tc>
          <w:tcPr>
            <w:tcW w:w="2852" w:type="dxa"/>
            <w:vAlign w:val="top"/>
          </w:tcPr>
          <w:p>
            <w:pPr>
              <w:spacing w:before="225" w:line="223" w:lineRule="auto"/>
              <w:ind w:left="12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0"/>
                <w:sz w:val="24"/>
                <w:szCs w:val="24"/>
              </w:rPr>
              <w:t>专家</w:t>
            </w:r>
          </w:p>
        </w:tc>
        <w:tc>
          <w:tcPr>
            <w:tcW w:w="1238" w:type="dxa"/>
            <w:vAlign w:val="top"/>
          </w:tcPr>
          <w:p>
            <w:pPr>
              <w:spacing w:before="69" w:line="231" w:lineRule="auto"/>
              <w:ind w:left="123" w:right="10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10"/>
                <w:sz w:val="24"/>
                <w:szCs w:val="24"/>
              </w:rPr>
              <w:t>技能竞赛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考场</w:t>
            </w:r>
          </w:p>
        </w:tc>
      </w:tr>
      <w:tr>
        <w:tblPrEx>
          <w:tblW w:w="8559" w:type="dxa"/>
          <w:tblInd w:w="2" w:type="dxa"/>
          <w:tblLayout w:type="fixed"/>
        </w:tblPrEx>
        <w:trPr>
          <w:trHeight w:val="585"/>
        </w:trPr>
        <w:tc>
          <w:tcPr>
            <w:tcW w:w="99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21" w:type="dxa"/>
            <w:vAlign w:val="top"/>
          </w:tcPr>
          <w:p>
            <w:pPr>
              <w:spacing w:before="213" w:line="188" w:lineRule="auto"/>
              <w:ind w:left="2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19:00-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19:40</w:t>
            </w:r>
          </w:p>
        </w:tc>
        <w:tc>
          <w:tcPr>
            <w:tcW w:w="1758" w:type="dxa"/>
            <w:vAlign w:val="top"/>
          </w:tcPr>
          <w:p>
            <w:pPr>
              <w:spacing w:before="172" w:line="222" w:lineRule="auto"/>
              <w:ind w:left="12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理论考试</w:t>
            </w:r>
          </w:p>
        </w:tc>
        <w:tc>
          <w:tcPr>
            <w:tcW w:w="2852" w:type="dxa"/>
            <w:vAlign w:val="top"/>
          </w:tcPr>
          <w:p>
            <w:pPr>
              <w:spacing w:before="172" w:line="223" w:lineRule="auto"/>
              <w:ind w:left="12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专家、裁判、参赛选手</w:t>
            </w:r>
          </w:p>
        </w:tc>
        <w:tc>
          <w:tcPr>
            <w:tcW w:w="1238" w:type="dxa"/>
            <w:vAlign w:val="top"/>
          </w:tcPr>
          <w:p>
            <w:pPr>
              <w:spacing w:before="172" w:line="222" w:lineRule="auto"/>
              <w:ind w:left="12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理论考场</w:t>
            </w:r>
          </w:p>
        </w:tc>
      </w:tr>
      <w:tr>
        <w:tblPrEx>
          <w:tblW w:w="8559" w:type="dxa"/>
          <w:tblInd w:w="2" w:type="dxa"/>
          <w:tblLayout w:type="fixed"/>
        </w:tblPrEx>
        <w:trPr>
          <w:trHeight w:val="694"/>
        </w:trPr>
        <w:tc>
          <w:tcPr>
            <w:tcW w:w="99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spacing w:before="78" w:line="222" w:lineRule="auto"/>
              <w:ind w:left="15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第二天</w:t>
            </w:r>
          </w:p>
        </w:tc>
        <w:tc>
          <w:tcPr>
            <w:tcW w:w="1721" w:type="dxa"/>
            <w:vAlign w:val="top"/>
          </w:tcPr>
          <w:p>
            <w:pPr>
              <w:spacing w:before="269" w:line="188" w:lineRule="auto"/>
              <w:ind w:left="3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7:00-7:30</w:t>
            </w:r>
          </w:p>
        </w:tc>
        <w:tc>
          <w:tcPr>
            <w:tcW w:w="1758" w:type="dxa"/>
            <w:vAlign w:val="top"/>
          </w:tcPr>
          <w:p>
            <w:pPr>
              <w:spacing w:before="71" w:line="231" w:lineRule="auto"/>
              <w:ind w:left="125" w:right="105" w:hanging="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14"/>
                <w:sz w:val="24"/>
                <w:szCs w:val="24"/>
              </w:rPr>
              <w:t>领队会议（抽</w:t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签分组）</w:t>
            </w:r>
          </w:p>
        </w:tc>
        <w:tc>
          <w:tcPr>
            <w:tcW w:w="2852" w:type="dxa"/>
            <w:vAlign w:val="top"/>
          </w:tcPr>
          <w:p>
            <w:pPr>
              <w:spacing w:before="227" w:line="223" w:lineRule="auto"/>
              <w:ind w:left="1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各参赛队领队</w:t>
            </w:r>
          </w:p>
        </w:tc>
        <w:tc>
          <w:tcPr>
            <w:tcW w:w="1238" w:type="dxa"/>
            <w:vAlign w:val="top"/>
          </w:tcPr>
          <w:p>
            <w:pPr>
              <w:spacing w:before="227" w:line="225" w:lineRule="auto"/>
              <w:ind w:left="1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抽签室</w:t>
            </w:r>
          </w:p>
        </w:tc>
      </w:tr>
      <w:tr>
        <w:tblPrEx>
          <w:tblW w:w="8559" w:type="dxa"/>
          <w:tblInd w:w="2" w:type="dxa"/>
          <w:tblLayout w:type="fixed"/>
        </w:tblPrEx>
        <w:trPr>
          <w:trHeight w:val="585"/>
        </w:trPr>
        <w:tc>
          <w:tcPr>
            <w:tcW w:w="99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21" w:type="dxa"/>
            <w:vAlign w:val="top"/>
          </w:tcPr>
          <w:p>
            <w:pPr>
              <w:spacing w:before="213" w:line="188" w:lineRule="auto"/>
              <w:ind w:left="6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7:00</w:t>
            </w:r>
          </w:p>
        </w:tc>
        <w:tc>
          <w:tcPr>
            <w:tcW w:w="1758" w:type="dxa"/>
            <w:vAlign w:val="top"/>
          </w:tcPr>
          <w:p>
            <w:pPr>
              <w:spacing w:before="171" w:line="222" w:lineRule="auto"/>
              <w:ind w:left="11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候考</w:t>
            </w:r>
          </w:p>
        </w:tc>
        <w:tc>
          <w:tcPr>
            <w:tcW w:w="2852" w:type="dxa"/>
            <w:vAlign w:val="top"/>
          </w:tcPr>
          <w:p>
            <w:pPr>
              <w:spacing w:before="171" w:line="223" w:lineRule="auto"/>
              <w:ind w:left="12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参赛选手</w:t>
            </w:r>
          </w:p>
        </w:tc>
        <w:tc>
          <w:tcPr>
            <w:tcW w:w="1238" w:type="dxa"/>
            <w:vAlign w:val="top"/>
          </w:tcPr>
          <w:p>
            <w:pPr>
              <w:spacing w:before="171" w:line="222" w:lineRule="auto"/>
              <w:ind w:left="1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候考室</w:t>
            </w:r>
          </w:p>
        </w:tc>
      </w:tr>
      <w:tr>
        <w:tblPrEx>
          <w:tblW w:w="8559" w:type="dxa"/>
          <w:tblInd w:w="2" w:type="dxa"/>
          <w:tblLayout w:type="fixed"/>
        </w:tblPrEx>
        <w:trPr>
          <w:trHeight w:val="695"/>
        </w:trPr>
        <w:tc>
          <w:tcPr>
            <w:tcW w:w="99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21" w:type="dxa"/>
            <w:vAlign w:val="top"/>
          </w:tcPr>
          <w:p>
            <w:pPr>
              <w:spacing w:before="269" w:line="188" w:lineRule="auto"/>
              <w:ind w:left="3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8:00-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12:00</w:t>
            </w:r>
          </w:p>
        </w:tc>
        <w:tc>
          <w:tcPr>
            <w:tcW w:w="1758" w:type="dxa"/>
            <w:vAlign w:val="top"/>
          </w:tcPr>
          <w:p>
            <w:pPr>
              <w:spacing w:before="227" w:line="220" w:lineRule="auto"/>
              <w:ind w:left="1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操作竞赛</w:t>
            </w:r>
          </w:p>
        </w:tc>
        <w:tc>
          <w:tcPr>
            <w:tcW w:w="2852" w:type="dxa"/>
            <w:vAlign w:val="top"/>
          </w:tcPr>
          <w:p>
            <w:pPr>
              <w:spacing w:before="227" w:line="223" w:lineRule="auto"/>
              <w:ind w:left="12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参赛选手、裁判员</w:t>
            </w:r>
          </w:p>
        </w:tc>
        <w:tc>
          <w:tcPr>
            <w:tcW w:w="1238" w:type="dxa"/>
            <w:vAlign w:val="top"/>
          </w:tcPr>
          <w:p>
            <w:pPr>
              <w:spacing w:before="71" w:line="231" w:lineRule="auto"/>
              <w:ind w:left="123" w:right="10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10"/>
                <w:sz w:val="24"/>
                <w:szCs w:val="24"/>
              </w:rPr>
              <w:t>技能竞赛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考场</w:t>
            </w:r>
          </w:p>
        </w:tc>
      </w:tr>
      <w:tr>
        <w:tblPrEx>
          <w:tblW w:w="8559" w:type="dxa"/>
          <w:tblInd w:w="2" w:type="dxa"/>
          <w:tblLayout w:type="fixed"/>
        </w:tblPrEx>
        <w:trPr>
          <w:trHeight w:val="585"/>
        </w:trPr>
        <w:tc>
          <w:tcPr>
            <w:tcW w:w="99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21" w:type="dxa"/>
            <w:vAlign w:val="top"/>
          </w:tcPr>
          <w:p>
            <w:pPr>
              <w:spacing w:before="214" w:line="188" w:lineRule="auto"/>
              <w:ind w:left="2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12:00-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13:00</w:t>
            </w:r>
          </w:p>
        </w:tc>
        <w:tc>
          <w:tcPr>
            <w:tcW w:w="5848" w:type="dxa"/>
            <w:gridSpan w:val="3"/>
            <w:vAlign w:val="top"/>
          </w:tcPr>
          <w:p>
            <w:pPr>
              <w:spacing w:before="173" w:line="220" w:lineRule="auto"/>
              <w:ind w:left="1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午餐、休息</w:t>
            </w:r>
          </w:p>
        </w:tc>
      </w:tr>
      <w:tr>
        <w:tblPrEx>
          <w:tblW w:w="8559" w:type="dxa"/>
          <w:tblInd w:w="2" w:type="dxa"/>
          <w:tblLayout w:type="fixed"/>
        </w:tblPrEx>
        <w:trPr>
          <w:trHeight w:val="724"/>
        </w:trPr>
        <w:tc>
          <w:tcPr>
            <w:tcW w:w="990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21" w:type="dxa"/>
            <w:vAlign w:val="top"/>
          </w:tcPr>
          <w:p>
            <w:pPr>
              <w:spacing w:before="284" w:line="188" w:lineRule="auto"/>
              <w:ind w:left="2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13:00-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19:30</w:t>
            </w:r>
          </w:p>
        </w:tc>
        <w:tc>
          <w:tcPr>
            <w:tcW w:w="1758" w:type="dxa"/>
            <w:vAlign w:val="top"/>
          </w:tcPr>
          <w:p>
            <w:pPr>
              <w:spacing w:before="243" w:line="220" w:lineRule="auto"/>
              <w:ind w:left="1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操作竞赛</w:t>
            </w:r>
          </w:p>
        </w:tc>
        <w:tc>
          <w:tcPr>
            <w:tcW w:w="2852" w:type="dxa"/>
            <w:vAlign w:val="top"/>
          </w:tcPr>
          <w:p>
            <w:pPr>
              <w:spacing w:before="243" w:line="223" w:lineRule="auto"/>
              <w:ind w:left="12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参赛选手、裁判员</w:t>
            </w:r>
          </w:p>
        </w:tc>
        <w:tc>
          <w:tcPr>
            <w:tcW w:w="1238" w:type="dxa"/>
            <w:vAlign w:val="top"/>
          </w:tcPr>
          <w:p>
            <w:pPr>
              <w:spacing w:before="87" w:line="230" w:lineRule="auto"/>
              <w:ind w:left="123" w:right="10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10"/>
                <w:sz w:val="24"/>
                <w:szCs w:val="24"/>
              </w:rPr>
              <w:t>技能竞赛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考场</w:t>
            </w:r>
          </w:p>
        </w:tc>
      </w:tr>
      <w:tr>
        <w:tblPrEx>
          <w:tblW w:w="8559" w:type="dxa"/>
          <w:tblInd w:w="2" w:type="dxa"/>
          <w:tblLayout w:type="fixed"/>
        </w:tblPrEx>
        <w:trPr>
          <w:trHeight w:val="701"/>
        </w:trPr>
        <w:tc>
          <w:tcPr>
            <w:tcW w:w="990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21" w:type="dxa"/>
            <w:vAlign w:val="top"/>
          </w:tcPr>
          <w:p>
            <w:pPr>
              <w:spacing w:before="273" w:line="188" w:lineRule="auto"/>
              <w:ind w:left="3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8:00-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19:30</w:t>
            </w:r>
          </w:p>
        </w:tc>
        <w:tc>
          <w:tcPr>
            <w:tcW w:w="1758" w:type="dxa"/>
            <w:vAlign w:val="top"/>
          </w:tcPr>
          <w:p>
            <w:pPr>
              <w:spacing w:before="74" w:line="232" w:lineRule="auto"/>
              <w:ind w:left="120" w:right="10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14"/>
                <w:sz w:val="24"/>
                <w:szCs w:val="24"/>
              </w:rPr>
              <w:t>组织现场观摩</w:t>
            </w:r>
            <w:r>
              <w:rPr>
                <w:rFonts w:ascii="FangSong" w:eastAsia="FangSong" w:hAnsi="FangSong" w:cs="FangSong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和直播</w:t>
            </w:r>
          </w:p>
        </w:tc>
        <w:tc>
          <w:tcPr>
            <w:tcW w:w="2852" w:type="dxa"/>
            <w:vAlign w:val="top"/>
          </w:tcPr>
          <w:p>
            <w:pPr>
              <w:spacing w:before="231" w:line="222" w:lineRule="auto"/>
              <w:ind w:left="1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各院校观摩人员</w:t>
            </w:r>
          </w:p>
        </w:tc>
        <w:tc>
          <w:tcPr>
            <w:tcW w:w="1238" w:type="dxa"/>
            <w:vAlign w:val="top"/>
          </w:tcPr>
          <w:p>
            <w:pPr>
              <w:spacing w:before="232" w:line="224" w:lineRule="auto"/>
              <w:ind w:left="1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直播室</w:t>
            </w:r>
          </w:p>
        </w:tc>
      </w:tr>
      <w:tr>
        <w:tblPrEx>
          <w:tblW w:w="8559" w:type="dxa"/>
          <w:tblInd w:w="2" w:type="dxa"/>
          <w:tblLayout w:type="fixed"/>
        </w:tblPrEx>
        <w:trPr>
          <w:trHeight w:val="856"/>
        </w:trPr>
        <w:tc>
          <w:tcPr>
            <w:tcW w:w="990" w:type="dxa"/>
            <w:vAlign w:val="top"/>
          </w:tcPr>
          <w:p>
            <w:pPr>
              <w:spacing w:before="308" w:line="222" w:lineRule="auto"/>
              <w:ind w:left="15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8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第三天</w:t>
            </w:r>
          </w:p>
        </w:tc>
        <w:tc>
          <w:tcPr>
            <w:tcW w:w="1721" w:type="dxa"/>
            <w:vAlign w:val="top"/>
          </w:tcPr>
          <w:p>
            <w:pPr>
              <w:pStyle w:val="TableText"/>
              <w:spacing w:line="279" w:lineRule="auto"/>
            </w:pPr>
          </w:p>
          <w:p>
            <w:pPr>
              <w:spacing w:before="69" w:line="188" w:lineRule="auto"/>
              <w:ind w:left="3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9:00-</w:t>
            </w:r>
            <w:r>
              <w:rPr>
                <w:rFonts w:ascii="Times New Roman" w:eastAsia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12:00</w:t>
            </w:r>
          </w:p>
        </w:tc>
        <w:tc>
          <w:tcPr>
            <w:tcW w:w="1758" w:type="dxa"/>
            <w:vAlign w:val="top"/>
          </w:tcPr>
          <w:p>
            <w:pPr>
              <w:spacing w:before="307" w:line="221" w:lineRule="auto"/>
              <w:ind w:left="143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4"/>
                <w:sz w:val="24"/>
                <w:szCs w:val="24"/>
              </w:rPr>
              <w:t>闭幕式</w:t>
            </w:r>
          </w:p>
        </w:tc>
        <w:tc>
          <w:tcPr>
            <w:tcW w:w="2852" w:type="dxa"/>
            <w:vAlign w:val="top"/>
          </w:tcPr>
          <w:p>
            <w:pPr>
              <w:spacing w:before="308" w:line="223" w:lineRule="auto"/>
              <w:ind w:left="12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专家、裁判、参赛代表队</w:t>
            </w:r>
          </w:p>
        </w:tc>
        <w:tc>
          <w:tcPr>
            <w:tcW w:w="1238" w:type="dxa"/>
            <w:vAlign w:val="top"/>
          </w:tcPr>
          <w:p>
            <w:pPr>
              <w:spacing w:before="307" w:line="222" w:lineRule="auto"/>
              <w:ind w:left="1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承办院校</w:t>
            </w:r>
          </w:p>
        </w:tc>
      </w:tr>
    </w:tbl>
    <w:p>
      <w:pPr>
        <w:spacing w:before="172" w:line="230" w:lineRule="auto"/>
        <w:ind w:left="709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（三）抽签流程</w:t>
      </w:r>
    </w:p>
    <w:p>
      <w:pPr>
        <w:spacing w:before="276" w:line="411" w:lineRule="auto"/>
        <w:ind w:left="149" w:right="47" w:firstLine="570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1.由赛项执委会按照竞赛流程召开领队（省领队、校领队）会议，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组织各校领队参加公开抽签，确定各队组别及参赛次序。参赛队按照</w:t>
      </w:r>
    </w:p>
    <w:p>
      <w:pPr>
        <w:spacing w:before="1" w:line="222" w:lineRule="auto"/>
        <w:ind w:left="1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抽签确定的参赛次序进入比赛场地参赛。</w:t>
      </w:r>
    </w:p>
    <w:p>
      <w:pPr>
        <w:spacing w:before="285" w:line="624" w:lineRule="exact"/>
        <w:ind w:left="702"/>
        <w:rPr>
          <w:rFonts w:ascii="FangSong" w:eastAsia="FangSong" w:hAnsi="FangSong" w:cs="FangSong"/>
          <w:sz w:val="28"/>
          <w:szCs w:val="28"/>
        </w:rPr>
        <w:sectPr>
          <w:footerReference w:type="default" r:id="rId20"/>
          <w:pgSz w:w="11906" w:h="16839"/>
          <w:pgMar w:top="1240" w:right="1671" w:bottom="1111" w:left="1670" w:header="0" w:footer="818" w:gutter="0"/>
          <w:pgNumType w:start="16"/>
          <w:cols w:space="708"/>
        </w:sectPr>
      </w:pP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2.各参赛队按次序在比赛前</w:t>
      </w:r>
      <w:r>
        <w:rPr>
          <w:rFonts w:ascii="FangSong" w:eastAsia="FangSong" w:hAnsi="FangSong" w:cs="FangSong"/>
          <w:spacing w:val="-46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30</w:t>
      </w:r>
      <w:r>
        <w:rPr>
          <w:rFonts w:ascii="FangSong" w:eastAsia="FangSong" w:hAnsi="FangSong" w:cs="FangSong"/>
          <w:spacing w:val="-5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分钟到赛项指定地点接受检录。</w:t>
      </w:r>
    </w:p>
    <w:p>
      <w:pPr>
        <w:spacing w:before="1" w:line="220" w:lineRule="auto"/>
        <w:ind w:left="150"/>
        <w:rPr>
          <w:rFonts w:ascii="KaiTi" w:eastAsia="KaiTi" w:hAnsi="KaiTi" w:cs="KaiTi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备考开始前由工作人员将参赛选手带至备考室抽取角色分工及试题</w:t>
      </w:r>
      <w:r>
        <w:rPr>
          <w:rFonts w:ascii="KaiTi" w:eastAsia="KaiTi" w:hAnsi="KaiTi" w:cs="KaiTi"/>
          <w:spacing w:val="-1"/>
          <w:sz w:val="28"/>
          <w:szCs w:val="28"/>
        </w:rPr>
        <w:t>。</w:t>
      </w:r>
    </w:p>
    <w:p>
      <w:pPr>
        <w:spacing w:before="289" w:line="624" w:lineRule="exact"/>
        <w:ind w:left="718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4"/>
          <w:position w:val="2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（四）竞赛流程</w:t>
      </w:r>
    </w:p>
    <w:p>
      <w:pPr>
        <w:spacing w:before="1" w:line="223" w:lineRule="auto"/>
        <w:ind w:left="7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1.理论知识竞赛</w:t>
      </w:r>
    </w:p>
    <w:p>
      <w:pPr>
        <w:spacing w:line="223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21"/>
          <w:type w:val="nextPage"/>
          <w:pgSz w:w="11906" w:h="16839"/>
          <w:pgMar w:top="1240" w:right="1671" w:bottom="1111" w:left="1670" w:header="0" w:footer="818" w:gutter="0"/>
          <w:pgNumType w:start="17"/>
          <w:cols w:space="708"/>
          <w:titlePg w:val="0"/>
        </w:sectPr>
      </w:pPr>
    </w:p>
    <w:p>
      <w:pPr>
        <w:spacing w:before="57" w:line="624" w:lineRule="exact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所有选手必须参加。场地按照标准计算机机考考场设置，配备监</w:t>
      </w:r>
    </w:p>
    <w:p>
      <w:pPr>
        <w:spacing w:before="1"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考员</w:t>
      </w:r>
      <w:r>
        <w:rPr>
          <w:rFonts w:ascii="FangSong" w:eastAsia="FangSong" w:hAnsi="FangSong" w:cs="FangSong"/>
          <w:spacing w:val="-6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2</w:t>
      </w:r>
      <w:r>
        <w:rPr>
          <w:rFonts w:ascii="FangSong" w:eastAsia="FangSong" w:hAnsi="FangSong" w:cs="FangSong"/>
          <w:spacing w:val="-4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位,核查证件→发卷→</w:t>
      </w:r>
      <w:r>
        <w:rPr>
          <w:rFonts w:ascii="FangSong" w:eastAsia="FangSong" w:hAnsi="FangSong" w:cs="FangSong"/>
          <w:spacing w:val="-10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收卷→</w:t>
      </w:r>
      <w:r>
        <w:rPr>
          <w:rFonts w:ascii="FangSong" w:eastAsia="FangSong" w:hAnsi="FangSong" w:cs="FangSong"/>
          <w:spacing w:val="-9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电脑自动</w:t>
      </w:r>
      <w:r>
        <w:rPr>
          <w:rFonts w:ascii="FangSong" w:eastAsia="FangSong" w:hAnsi="FangSong" w:cs="FangSong"/>
          <w:spacing w:val="-6"/>
          <w:sz w:val="28"/>
          <w:szCs w:val="28"/>
        </w:rPr>
        <w:t>阅卷→统分→公布成绩。</w:t>
      </w:r>
    </w:p>
    <w:p>
      <w:pPr>
        <w:spacing w:before="288" w:line="224" w:lineRule="auto"/>
        <w:ind w:left="581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2.操作竞赛</w:t>
      </w:r>
    </w:p>
    <w:p>
      <w:pPr>
        <w:spacing w:before="287" w:line="411" w:lineRule="auto"/>
        <w:ind w:left="32" w:right="19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选手进入候考区→待考→检录→抽题、抽角色分工→备</w:t>
      </w:r>
      <w:r>
        <w:rPr>
          <w:rFonts w:ascii="FangSong" w:eastAsia="FangSong" w:hAnsi="FangSong" w:cs="FangSong"/>
          <w:spacing w:val="-5"/>
          <w:sz w:val="28"/>
          <w:szCs w:val="28"/>
        </w:rPr>
        <w:t>考→进入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赛场→试题交给监考员→</w:t>
      </w:r>
      <w:r>
        <w:rPr>
          <w:rFonts w:ascii="FangSong" w:eastAsia="FangSong" w:hAnsi="FangSong" w:cs="FangSong"/>
          <w:spacing w:val="-7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向评委报告题号→开始操作→操作结束→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评委提问→</w:t>
      </w:r>
      <w:r>
        <w:rPr>
          <w:rFonts w:ascii="FangSong" w:eastAsia="FangSong" w:hAnsi="FangSong" w:cs="FangSong"/>
          <w:spacing w:val="-10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宣布“考试时间到</w:t>
      </w:r>
      <w:r>
        <w:rPr>
          <w:rFonts w:ascii="FangSong" w:eastAsia="FangSong" w:hAnsi="FangSong" w:cs="FangSong"/>
          <w:spacing w:val="-10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”→选手退出操作区→评委打分→</w:t>
      </w:r>
      <w:r>
        <w:rPr>
          <w:rFonts w:ascii="FangSong" w:eastAsia="FangSong" w:hAnsi="FangSong" w:cs="FangSong"/>
          <w:spacing w:val="-7"/>
          <w:sz w:val="28"/>
          <w:szCs w:val="28"/>
        </w:rPr>
        <w:t>监考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员监督，记分员计分→引导员归还试题→选手离场→进入指定休息室</w:t>
      </w:r>
    </w:p>
    <w:p>
      <w:pPr>
        <w:spacing w:before="1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→</w:t>
      </w:r>
      <w:r>
        <w:rPr>
          <w:rFonts w:ascii="FangSong" w:eastAsia="FangSong" w:hAnsi="FangSong" w:cs="FangSong"/>
          <w:spacing w:val="-8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比赛结束统一离场。</w:t>
      </w:r>
    </w:p>
    <w:p>
      <w:pPr>
        <w:spacing w:before="289" w:line="624" w:lineRule="exact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小组所有选手操作结束，统分、记分员、监督员、评委、评委组</w:t>
      </w:r>
    </w:p>
    <w:p>
      <w:pPr>
        <w:spacing w:line="224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长签字→交给统分负责人员。</w:t>
      </w:r>
    </w:p>
    <w:p>
      <w:pPr>
        <w:spacing w:before="268" w:line="191" w:lineRule="auto"/>
        <w:ind w:left="3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六</w:t>
      </w:r>
      <w:r>
        <w:rPr>
          <w:rFonts w:ascii="Microsoft YaHei" w:eastAsia="Microsoft YaHei" w:hAnsi="Microsoft YaHei" w:cs="Microsoft YaHei"/>
          <w:spacing w:val="-4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、竞赛规则</w:t>
      </w:r>
    </w:p>
    <w:p>
      <w:pPr>
        <w:spacing w:before="216" w:line="226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（一）参赛选手报名</w:t>
      </w:r>
    </w:p>
    <w:p>
      <w:pPr>
        <w:spacing w:before="284" w:line="411" w:lineRule="auto"/>
        <w:ind w:left="31" w:right="197" w:firstLine="572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1.各省（自治区、直辖市）教育行政部门按</w:t>
      </w:r>
      <w:r>
        <w:rPr>
          <w:rFonts w:ascii="FangSong" w:eastAsia="FangSong" w:hAnsi="FangSong" w:cs="FangSong"/>
          <w:spacing w:val="-5"/>
          <w:sz w:val="28"/>
          <w:szCs w:val="28"/>
        </w:rPr>
        <w:t>照大赛执委会确定的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报名时间和名额（每省&lt;自治区、直辖市&gt;推荐</w:t>
      </w:r>
      <w:r>
        <w:rPr>
          <w:rFonts w:ascii="FangSong" w:eastAsia="FangSong" w:hAnsi="FangSong" w:cs="FangSong"/>
          <w:spacing w:val="-5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2</w:t>
      </w:r>
      <w:r>
        <w:rPr>
          <w:rFonts w:ascii="FangSong" w:eastAsia="FangSong" w:hAnsi="FangSong" w:cs="FangSong"/>
          <w:spacing w:val="-5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个团</w:t>
      </w:r>
      <w:r>
        <w:rPr>
          <w:rFonts w:ascii="FangSong" w:eastAsia="FangSong" w:hAnsi="FangSong" w:cs="FangSong"/>
          <w:spacing w:val="-5"/>
          <w:sz w:val="28"/>
          <w:szCs w:val="28"/>
        </w:rPr>
        <w:t>队</w:t>
      </w:r>
      <w:r>
        <w:rPr>
          <w:rFonts w:ascii="FangSong" w:eastAsia="FangSong" w:hAnsi="FangSong" w:cs="FangSong"/>
          <w:spacing w:val="-11"/>
          <w:sz w:val="28"/>
          <w:szCs w:val="28"/>
        </w:rPr>
        <w:t>），</w:t>
      </w:r>
      <w:r>
        <w:rPr>
          <w:rFonts w:ascii="FangSong" w:eastAsia="FangSong" w:hAnsi="FangSong" w:cs="FangSong"/>
          <w:spacing w:val="-5"/>
          <w:sz w:val="28"/>
          <w:szCs w:val="28"/>
        </w:rPr>
        <w:t>通过全国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职业院校技能大赛网络报名系统组织完成本省（自治区、直辖市）的</w:t>
      </w:r>
    </w:p>
    <w:p>
      <w:pPr>
        <w:spacing w:before="1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参赛报名工作。</w:t>
      </w:r>
    </w:p>
    <w:p>
      <w:pPr>
        <w:spacing w:before="290" w:line="411" w:lineRule="auto"/>
        <w:ind w:left="31" w:right="197" w:firstLine="554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2.各地区的省内选拔、名额分配和参赛师生资格审查工作由省级</w:t>
      </w:r>
      <w:r>
        <w:rPr>
          <w:rFonts w:ascii="FangSong" w:eastAsia="FangSong" w:hAnsi="FangSong" w:cs="FangSong"/>
          <w:spacing w:val="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教育行政部门负责。大赛执委会办公室行使对参赛人员资格进行抽查</w:t>
      </w:r>
    </w:p>
    <w:p>
      <w:pPr>
        <w:spacing w:before="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的权利。</w:t>
      </w:r>
    </w:p>
    <w:p>
      <w:pPr>
        <w:spacing w:before="286" w:line="227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（二）召开赛前说明会</w:t>
      </w:r>
    </w:p>
    <w:p>
      <w:pPr>
        <w:spacing w:before="279" w:line="221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比赛前一天，召开赛前说明会，宣布竞赛纪律和有关事宜。</w:t>
      </w:r>
    </w:p>
    <w:p>
      <w:pPr>
        <w:spacing w:before="288" w:line="227" w:lineRule="auto"/>
        <w:ind w:left="603"/>
        <w:rPr>
          <w:rFonts w:ascii="KaiTi" w:eastAsia="KaiTi" w:hAnsi="KaiTi" w:cs="KaiTi"/>
          <w:sz w:val="28"/>
          <w:szCs w:val="28"/>
        </w:rPr>
        <w:sectPr>
          <w:footerReference w:type="default" r:id="rId22"/>
          <w:pgSz w:w="11906" w:h="16839"/>
          <w:pgMar w:top="1353" w:right="1602" w:bottom="1111" w:left="1785" w:header="0" w:footer="818" w:gutter="0"/>
          <w:pgNumType w:start="18"/>
          <w:cols w:space="708"/>
        </w:sectPr>
      </w:pPr>
      <w:r>
        <w:rPr>
          <w:rFonts w:ascii="KaiTi" w:eastAsia="KaiTi" w:hAnsi="KaiTi" w:cs="KaiTi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（三）正式比赛赛场规则</w:t>
      </w:r>
    </w:p>
    <w:p>
      <w:pPr>
        <w:spacing w:before="151" w:line="221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1.参赛队校领队抽取参赛分组和出场顺序，并对</w:t>
      </w:r>
      <w:r>
        <w:rPr>
          <w:rFonts w:ascii="FangSong" w:eastAsia="FangSong" w:hAnsi="FangSong" w:cs="FangSong"/>
          <w:spacing w:val="-5"/>
          <w:sz w:val="28"/>
          <w:szCs w:val="28"/>
        </w:rPr>
        <w:t>抽签结果签字确</w:t>
      </w:r>
    </w:p>
    <w:p>
      <w:pPr>
        <w:spacing w:line="221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23"/>
          <w:type w:val="nextPage"/>
          <w:pgSz w:w="11906" w:h="16839"/>
          <w:pgMar w:top="1353" w:right="1602" w:bottom="1111" w:left="1785" w:header="0" w:footer="818" w:gutter="0"/>
          <w:pgNumType w:start="19"/>
          <w:cols w:space="708"/>
          <w:titlePg w:val="0"/>
        </w:sectPr>
      </w:pPr>
    </w:p>
    <w:p>
      <w:pPr>
        <w:spacing w:before="56" w:line="227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认。</w:t>
      </w:r>
    </w:p>
    <w:p>
      <w:pPr>
        <w:spacing w:before="201" w:line="359" w:lineRule="auto"/>
        <w:ind w:left="36" w:right="24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2.参赛选手在比赛前</w:t>
      </w:r>
      <w:r>
        <w:rPr>
          <w:rFonts w:ascii="FangSong" w:eastAsia="FangSong" w:hAnsi="FangSong" w:cs="FangSong"/>
          <w:spacing w:val="-5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30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分钟到赛项指定地点</w:t>
      </w:r>
      <w:r>
        <w:rPr>
          <w:rFonts w:ascii="FangSong" w:eastAsia="FangSong" w:hAnsi="FangSong" w:cs="FangSong"/>
          <w:spacing w:val="-4"/>
          <w:sz w:val="28"/>
          <w:szCs w:val="28"/>
        </w:rPr>
        <w:t>接受检录，逾时</w:t>
      </w:r>
      <w:r>
        <w:rPr>
          <w:rFonts w:ascii="FangSong" w:eastAsia="FangSong" w:hAnsi="FangSong" w:cs="FangSong"/>
          <w:spacing w:val="-4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15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分钟未到视为自动放弃。参赛选手凭身份证和赛项执委会统一签发的</w:t>
      </w:r>
    </w:p>
    <w:p>
      <w:pPr>
        <w:spacing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参赛证在引导员指引下提前进入指定的地点进行赛前准备。</w:t>
      </w:r>
    </w:p>
    <w:p>
      <w:pPr>
        <w:spacing w:before="209" w:line="359" w:lineRule="auto"/>
        <w:ind w:left="33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3.参赛选手应认真阅读竞赛须知，自觉遵守竞赛规则和赛场纪律，</w:t>
      </w:r>
      <w:r>
        <w:rPr>
          <w:rFonts w:ascii="FangSong" w:eastAsia="FangSong" w:hAnsi="FangSong" w:cs="FangSong"/>
          <w:spacing w:val="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不得携带任何通讯设备、袋包、纸质材料等物品进入候考区域和竞赛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场地。比赛期间不得以任何方式公开参赛队及个人信息，违规者取消</w:t>
      </w:r>
    </w:p>
    <w:p>
      <w:pPr>
        <w:spacing w:before="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本次竞赛资格。</w:t>
      </w:r>
    </w:p>
    <w:p>
      <w:pPr>
        <w:spacing w:before="209" w:line="221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4.参赛选手比赛期间必须严格遵守安全操作规程，确保人身安全。</w:t>
      </w:r>
    </w:p>
    <w:p>
      <w:pPr>
        <w:spacing w:before="210" w:line="542" w:lineRule="exact"/>
        <w:ind w:left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19"/>
          <w:sz w:val="28"/>
          <w:szCs w:val="28"/>
        </w:rPr>
        <w:t>5.评委佩戴评委证，通讯工具统一管理，严格按照评分标准客观</w:t>
      </w:r>
    </w:p>
    <w:p>
      <w:pPr>
        <w:spacing w:before="1" w:line="221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公正进行独立评分。</w:t>
      </w:r>
    </w:p>
    <w:p>
      <w:pPr>
        <w:spacing w:before="210" w:line="359" w:lineRule="auto"/>
        <w:ind w:left="32" w:right="2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6.赛场各类工作人员必须统一佩戴由赛项执委会印制的相应证</w:t>
      </w:r>
      <w:r>
        <w:rPr>
          <w:rFonts w:ascii="FangSong" w:eastAsia="FangSong" w:hAnsi="FangSong" w:cs="FangSong"/>
          <w:spacing w:val="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件，着装整齐，进入工作岗位，遵守赛事规定，认真做好所负责的工</w:t>
      </w:r>
    </w:p>
    <w:p>
      <w:pPr>
        <w:spacing w:before="1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作。</w:t>
      </w:r>
    </w:p>
    <w:p>
      <w:pPr>
        <w:spacing w:before="211" w:line="359" w:lineRule="auto"/>
        <w:ind w:left="37" w:right="2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7.各赛场除大赛组委会成员、赛项执委会成员、现场裁判、赛场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配备的工作人员外，其他人员未经赛项执委会允许不得进入赛场。新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闻媒体等进入赛场必须经过赛项执委会允许，并且听从现场工作人员</w:t>
      </w:r>
    </w:p>
    <w:p>
      <w:pPr>
        <w:spacing w:before="1" w:line="221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的安排和指挥，不得影响竞赛正常进行。</w:t>
      </w:r>
    </w:p>
    <w:p>
      <w:pPr>
        <w:spacing w:before="209" w:line="359" w:lineRule="auto"/>
        <w:ind w:left="36" w:right="24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8.参赛选手竞赛开始、终止时间由计时裁判记录在案；比赛结束</w:t>
      </w:r>
      <w:r>
        <w:rPr>
          <w:rFonts w:ascii="FangSong" w:eastAsia="FangSong" w:hAnsi="FangSong" w:cs="FangSong"/>
          <w:spacing w:val="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前</w:t>
      </w:r>
      <w:r>
        <w:rPr>
          <w:rFonts w:ascii="FangSong" w:eastAsia="FangSong" w:hAnsi="FangSong" w:cs="FangSong"/>
          <w:spacing w:val="-5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2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分钟给予不干扰提醒。比赛时间到，参赛选手停止比赛，按照要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求有序地离开竞赛区域。参赛选手提前结束竞赛并示意后，不得再进</w:t>
      </w:r>
    </w:p>
    <w:p>
      <w:pPr>
        <w:spacing w:before="2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行任何操作。</w:t>
      </w:r>
    </w:p>
    <w:p>
      <w:pPr>
        <w:pStyle w:val="BodyText"/>
        <w:spacing w:line="246" w:lineRule="auto"/>
      </w:pPr>
    </w:p>
    <w:p>
      <w:pPr>
        <w:spacing w:before="91" w:line="624" w:lineRule="exact"/>
        <w:ind w:left="584"/>
        <w:rPr>
          <w:rFonts w:ascii="FangSong" w:eastAsia="FangSong" w:hAnsi="FangSong" w:cs="FangSong"/>
          <w:sz w:val="28"/>
          <w:szCs w:val="28"/>
        </w:rPr>
        <w:sectPr>
          <w:footerReference w:type="default" r:id="rId24"/>
          <w:pgSz w:w="11906" w:h="16839"/>
          <w:pgMar w:top="1223" w:right="1556" w:bottom="1112" w:left="1785" w:header="0" w:footer="818" w:gutter="0"/>
          <w:pgNumType w:start="20"/>
          <w:cols w:space="708"/>
        </w:sectPr>
      </w:pPr>
      <w:r>
        <w:rPr>
          <w:rFonts w:ascii="FangSong" w:eastAsia="FangSong" w:hAnsi="FangSong" w:cs="FangSong"/>
          <w:spacing w:val="-3"/>
          <w:position w:val="25"/>
          <w:sz w:val="28"/>
          <w:szCs w:val="28"/>
        </w:rPr>
        <w:t>9.裁判组和裁判员要严格按照竞赛规范和流程有序开展竞赛，客</w:t>
      </w:r>
    </w:p>
    <w:p>
      <w:pPr>
        <w:spacing w:before="1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观公正准确评分，保证竞赛顺利按时完成。各裁判组长负责本赛评判</w:t>
      </w:r>
    </w:p>
    <w:p>
      <w:pPr>
        <w:spacing w:line="221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25"/>
          <w:type w:val="nextPage"/>
          <w:pgSz w:w="11906" w:h="16839"/>
          <w:pgMar w:top="1223" w:right="1556" w:bottom="1112" w:left="1785" w:header="0" w:footer="818" w:gutter="0"/>
          <w:pgNumType w:start="21"/>
          <w:cols w:space="708"/>
          <w:titlePg w:val="0"/>
        </w:sectPr>
      </w:pPr>
    </w:p>
    <w:p>
      <w:pPr>
        <w:spacing w:before="57" w:line="624" w:lineRule="exact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工作和进程。裁判长负责竞赛总体评判工作和进程，做好巡视工作，</w:t>
      </w:r>
    </w:p>
    <w:p>
      <w:pPr>
        <w:spacing w:before="1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严格把握评判质量和规范。</w:t>
      </w:r>
    </w:p>
    <w:p>
      <w:pPr>
        <w:spacing w:before="285" w:line="224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（四）成绩评定与结果公布</w:t>
      </w:r>
    </w:p>
    <w:p>
      <w:pPr>
        <w:spacing w:before="284" w:line="624" w:lineRule="exact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1.在赛项执委会领导下，裁判组负责各赛道的成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绩评定，总裁判</w:t>
      </w:r>
    </w:p>
    <w:p>
      <w:pPr>
        <w:spacing w:before="1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长负责赛项成绩的审核确认和公布。</w:t>
      </w:r>
    </w:p>
    <w:p>
      <w:pPr>
        <w:spacing w:before="289" w:line="624" w:lineRule="exact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2.理论考试结束</w:t>
      </w:r>
      <w:r>
        <w:rPr>
          <w:rFonts w:ascii="FangSong" w:eastAsia="FangSong" w:hAnsi="FangSong" w:cs="FangSong"/>
          <w:spacing w:val="-24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1</w:t>
      </w:r>
      <w:r>
        <w:rPr>
          <w:rFonts w:ascii="FangSong" w:eastAsia="FangSong" w:hAnsi="FangSong" w:cs="FangSong"/>
          <w:spacing w:val="-5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小时后公布考试成绩，技能竞赛成绩现场公布。</w:t>
      </w:r>
    </w:p>
    <w:p>
      <w:pPr>
        <w:spacing w:before="1" w:line="220" w:lineRule="auto"/>
        <w:ind w:left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3.闭幕式上宣布竞赛结果、获奖名单。</w:t>
      </w:r>
    </w:p>
    <w:p>
      <w:pPr>
        <w:spacing w:before="273" w:line="191" w:lineRule="auto"/>
        <w:ind w:left="2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七</w:t>
      </w:r>
      <w:r>
        <w:rPr>
          <w:rFonts w:ascii="Microsoft YaHei" w:eastAsia="Microsoft YaHei" w:hAnsi="Microsoft YaHei" w:cs="Microsoft YaHei"/>
          <w:spacing w:val="-4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、技术规范</w:t>
      </w:r>
    </w:p>
    <w:p>
      <w:pPr>
        <w:spacing w:before="216" w:line="227" w:lineRule="auto"/>
        <w:ind w:left="592"/>
        <w:rPr>
          <w:rFonts w:ascii="KaiTi" w:eastAsia="KaiTi" w:hAnsi="KaiTi" w:cs="KaiTi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本赛项遵循的技术规范可参考如下</w:t>
      </w:r>
      <w:r>
        <w:rPr>
          <w:rFonts w:ascii="KaiTi" w:eastAsia="KaiTi" w:hAnsi="KaiTi" w:cs="KaiTi"/>
          <w:spacing w:val="-2"/>
          <w:sz w:val="28"/>
          <w:szCs w:val="28"/>
        </w:rPr>
        <w:t>：</w:t>
      </w:r>
    </w:p>
    <w:p>
      <w:pPr>
        <w:spacing w:before="281" w:line="225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（一）专业教学标准要求</w:t>
      </w:r>
    </w:p>
    <w:p>
      <w:pPr>
        <w:spacing w:before="285" w:line="411" w:lineRule="auto"/>
        <w:ind w:left="33" w:right="115" w:firstLine="558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赛项根据教育部颁布的《高等职业学校康复治疗技术专业教学标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准（2019</w:t>
      </w:r>
      <w:r>
        <w:rPr>
          <w:rFonts w:ascii="FangSong" w:eastAsia="FangSong" w:hAnsi="FangSong" w:cs="FangSong"/>
          <w:spacing w:val="-4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年）》和《职业教育专业简介（康复治疗类，2022</w:t>
      </w:r>
      <w:r>
        <w:rPr>
          <w:rFonts w:ascii="FangSong" w:eastAsia="FangSong" w:hAnsi="FangSong" w:cs="FangSong"/>
          <w:spacing w:val="-4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年修订）》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的素质、知识、能力和职业态度要求，符合专业核心课程《康复评定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技术》《运动治疗技术》《物理因子治疗技术》《作业治疗技术》《常</w:t>
      </w:r>
    </w:p>
    <w:p>
      <w:pPr>
        <w:spacing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见疾病康复》等课程目标和教学内容的要求。</w:t>
      </w:r>
    </w:p>
    <w:p>
      <w:pPr>
        <w:spacing w:before="288" w:line="227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（二）行业、职业技术标准</w:t>
      </w:r>
    </w:p>
    <w:p>
      <w:pPr>
        <w:spacing w:before="27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《常用康复治疗技术操作规范（2012</w:t>
      </w:r>
      <w:r>
        <w:rPr>
          <w:rFonts w:ascii="FangSong" w:eastAsia="FangSong" w:hAnsi="FangSong" w:cs="FangSong"/>
          <w:spacing w:val="-5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版）》（卫生部</w:t>
      </w:r>
      <w:r>
        <w:rPr>
          <w:rFonts w:ascii="FangSong" w:eastAsia="FangSong" w:hAnsi="FangSong" w:cs="FangSong"/>
          <w:sz w:val="28"/>
          <w:szCs w:val="28"/>
        </w:rPr>
        <w:t>）；</w:t>
      </w:r>
    </w:p>
    <w:p>
      <w:pPr>
        <w:spacing w:before="289" w:line="624" w:lineRule="exact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position w:val="25"/>
          <w:sz w:val="28"/>
          <w:szCs w:val="28"/>
        </w:rPr>
        <w:t>《2023</w:t>
      </w:r>
      <w:r>
        <w:rPr>
          <w:rFonts w:ascii="FangSong" w:eastAsia="FangSong" w:hAnsi="FangSong" w:cs="FangSong"/>
          <w:spacing w:val="-48"/>
          <w:position w:val="2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position w:val="25"/>
          <w:sz w:val="28"/>
          <w:szCs w:val="28"/>
        </w:rPr>
        <w:t>年全国卫生专业技术资格考试康复医学治</w:t>
      </w:r>
      <w:r>
        <w:rPr>
          <w:rFonts w:ascii="FangSong" w:eastAsia="FangSong" w:hAnsi="FangSong" w:cs="FangSong"/>
          <w:spacing w:val="-2"/>
          <w:position w:val="25"/>
          <w:sz w:val="28"/>
          <w:szCs w:val="28"/>
        </w:rPr>
        <w:t>疗技术（士、</w:t>
      </w:r>
    </w:p>
    <w:p>
      <w:pPr>
        <w:spacing w:before="1" w:line="222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师、中级）考试大纲》。</w:t>
      </w:r>
    </w:p>
    <w:p>
      <w:pPr>
        <w:spacing w:before="286" w:line="227" w:lineRule="auto"/>
        <w:ind w:left="603"/>
        <w:rPr>
          <w:rFonts w:ascii="KaiTi" w:eastAsia="KaiTi" w:hAnsi="KaiTi" w:cs="KaiTi"/>
          <w:sz w:val="28"/>
          <w:szCs w:val="28"/>
        </w:rPr>
        <w:sectPr>
          <w:footerReference w:type="default" r:id="rId26"/>
          <w:pgSz w:w="11906" w:h="16839"/>
          <w:pgMar w:top="1353" w:right="1556" w:bottom="1112" w:left="1785" w:header="0" w:footer="818" w:gutter="0"/>
          <w:pgNumType w:start="22"/>
          <w:cols w:space="708"/>
        </w:sectPr>
      </w:pPr>
      <w:r>
        <w:rPr>
          <w:rFonts w:ascii="KaiTi" w:eastAsia="KaiTi" w:hAnsi="KaiTi" w:cs="KaiTi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（三）设备技术标准</w:t>
      </w:r>
    </w:p>
    <w:p>
      <w:pPr>
        <w:spacing w:before="281" w:line="411" w:lineRule="auto"/>
        <w:ind w:left="32" w:right="242" w:firstLine="559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赛场配备康复评定与康复治疗的基本设备包括握力测定仪、捏力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测定仪、通用量角器、多体位治疗床、可升降治疗</w:t>
      </w:r>
      <w:r>
        <w:rPr>
          <w:rFonts w:ascii="FangSong" w:eastAsia="FangSong" w:hAnsi="FangSong" w:cs="FangSong"/>
          <w:spacing w:val="-2"/>
          <w:sz w:val="28"/>
          <w:szCs w:val="28"/>
        </w:rPr>
        <w:t>床、PT</w:t>
      </w:r>
      <w:r>
        <w:rPr>
          <w:rFonts w:ascii="FangSong" w:eastAsia="FangSong" w:hAnsi="FangSong" w:cs="FangSong"/>
          <w:spacing w:val="-5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凳、弹力</w:t>
      </w:r>
    </w:p>
    <w:p>
      <w:pPr>
        <w:spacing w:before="1" w:line="220" w:lineRule="auto"/>
        <w:ind w:left="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带、沙袋、体操棒、八件套、抗阻肌力训练器、神经肌肉电</w:t>
      </w:r>
      <w:r>
        <w:rPr>
          <w:rFonts w:ascii="FangSong" w:eastAsia="FangSong" w:hAnsi="FangSong" w:cs="FangSong"/>
          <w:spacing w:val="-14"/>
          <w:sz w:val="28"/>
          <w:szCs w:val="28"/>
        </w:rPr>
        <w:t>刺激仪（含</w:t>
      </w:r>
    </w:p>
    <w:p>
      <w:pPr>
        <w:spacing w:line="220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27"/>
          <w:type w:val="nextPage"/>
          <w:pgSz w:w="11906" w:h="16839"/>
          <w:pgMar w:top="1353" w:right="1556" w:bottom="1112" w:left="1785" w:header="0" w:footer="818" w:gutter="0"/>
          <w:pgNumType w:start="23"/>
          <w:cols w:space="708"/>
          <w:titlePg w:val="0"/>
        </w:sectPr>
      </w:pPr>
    </w:p>
    <w:p>
      <w:pPr>
        <w:spacing w:before="60" w:line="411" w:lineRule="auto"/>
        <w:ind w:left="37" w:firstLine="26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电极片）、经皮神经电刺激仪、中频电治疗仪（含电极若干）、超短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波、红外线、作业治疗综合训练台、滚筒、插件类、手工类、</w:t>
      </w:r>
      <w:r>
        <w:rPr>
          <w:rFonts w:ascii="FangSong" w:eastAsia="FangSong" w:hAnsi="FangSong" w:cs="FangSong"/>
          <w:spacing w:val="-7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日</w:t>
      </w:r>
      <w:r>
        <w:rPr>
          <w:rFonts w:ascii="FangSong" w:eastAsia="FangSong" w:hAnsi="FangSong" w:cs="FangSong"/>
          <w:spacing w:val="-7"/>
          <w:sz w:val="28"/>
          <w:szCs w:val="28"/>
        </w:rPr>
        <w:t>常生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活活动类器具、作业类辅助器具、认知训练仪、吞咽治疗仪、言语治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疗图卡等。设备均符合国家卫健委《康复医疗中心基本标准（试行）》</w:t>
      </w:r>
    </w:p>
    <w:p>
      <w:pPr>
        <w:spacing w:before="1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要求。</w:t>
      </w:r>
    </w:p>
    <w:p>
      <w:pPr>
        <w:spacing w:before="269" w:line="191" w:lineRule="auto"/>
        <w:ind w:left="2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八</w:t>
      </w:r>
      <w:r>
        <w:rPr>
          <w:rFonts w:ascii="Microsoft YaHei" w:eastAsia="Microsoft YaHei" w:hAnsi="Microsoft YaHei" w:cs="Microsoft YaHei"/>
          <w:spacing w:val="-4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、技术环境</w:t>
      </w:r>
    </w:p>
    <w:p>
      <w:pPr>
        <w:spacing w:before="217" w:line="227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（一）竞赛环境</w:t>
      </w:r>
    </w:p>
    <w:p>
      <w:pPr>
        <w:spacing w:before="279" w:line="624" w:lineRule="exact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竞赛场地要求通风、宽敞明亮，配备双线路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供电系统和漏电保护</w:t>
      </w:r>
    </w:p>
    <w:p>
      <w:pPr>
        <w:spacing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装置，配备实况监控视频转播系统。在规定赛场内，须设置：</w:t>
      </w:r>
    </w:p>
    <w:p>
      <w:pPr>
        <w:spacing w:before="292" w:line="222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1.理论考试竞赛区：标准计算机机考考场。</w:t>
      </w:r>
    </w:p>
    <w:p>
      <w:pPr>
        <w:spacing w:before="286" w:line="624" w:lineRule="exact"/>
        <w:ind w:right="3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2.技能操作竞赛区：分候赛区、备赛区、技能竞赛区和休息区，</w:t>
      </w:r>
    </w:p>
    <w:p>
      <w:pPr>
        <w:spacing w:before="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建议每区面积</w:t>
      </w:r>
      <w:r>
        <w:rPr>
          <w:rFonts w:ascii="FangSong" w:eastAsia="FangSong" w:hAnsi="FangSong" w:cs="FangSong"/>
          <w:spacing w:val="-5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60-200</w:t>
      </w:r>
      <w:r>
        <w:rPr>
          <w:rFonts w:ascii="FangSong" w:eastAsia="FangSong" w:hAnsi="FangSong" w:cs="FangSong"/>
          <w:spacing w:val="-5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平方米。</w:t>
      </w:r>
    </w:p>
    <w:p>
      <w:pPr>
        <w:spacing w:before="286" w:line="224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（二）技术平台</w:t>
      </w:r>
    </w:p>
    <w:p>
      <w:pPr>
        <w:spacing w:before="285" w:line="411" w:lineRule="auto"/>
        <w:ind w:left="59" w:right="92" w:firstLine="532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赛项的器材、物品由承办院校具体负责，比赛摄像及同步直播平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台和网络平台也由承办院校提供。标准化病人（Standard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Patient，</w:t>
      </w:r>
    </w:p>
    <w:p>
      <w:pPr>
        <w:spacing w:before="2" w:line="222" w:lineRule="auto"/>
        <w:ind w:left="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SP）由专家组抽取，培训后上岗。</w:t>
      </w:r>
    </w:p>
    <w:p>
      <w:pPr>
        <w:spacing w:before="290" w:line="411" w:lineRule="auto"/>
        <w:ind w:left="29" w:right="92" w:firstLine="552"/>
        <w:jc w:val="both"/>
        <w:rPr>
          <w:rFonts w:ascii="FangSong" w:eastAsia="FangSong" w:hAnsi="FangSong" w:cs="FangSong"/>
          <w:sz w:val="28"/>
          <w:szCs w:val="28"/>
        </w:rPr>
        <w:sectPr>
          <w:footerReference w:type="default" r:id="rId28"/>
          <w:pgSz w:w="11906" w:h="16839"/>
          <w:pgMar w:top="1353" w:right="1671" w:bottom="1112" w:left="1785" w:header="0" w:footer="818" w:gutter="0"/>
          <w:pgNumType w:start="24"/>
          <w:cols w:space="708"/>
        </w:sectPr>
      </w:pPr>
      <w:r>
        <w:rPr>
          <w:rFonts w:ascii="FangSong" w:eastAsia="FangSong" w:hAnsi="FangSong" w:cs="FangSong"/>
          <w:sz w:val="28"/>
          <w:szCs w:val="28"/>
        </w:rPr>
        <w:t>*本赛项使用标准化病人（Standard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Patient，</w:t>
      </w:r>
      <w:r>
        <w:rPr>
          <w:rFonts w:ascii="FangSong" w:eastAsia="FangSong" w:hAnsi="FangSong" w:cs="FangSong"/>
          <w:spacing w:val="-1"/>
          <w:sz w:val="28"/>
          <w:szCs w:val="28"/>
        </w:rPr>
        <w:t>SP）配合案例展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现。按照案例病种数和赛道数进行配比。SP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的条件：具备良好的表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演能力、理解能力、记忆力、沟通能力，同时有良好的体力和耐力，</w:t>
      </w:r>
      <w:r>
        <w:rPr>
          <w:rFonts w:ascii="FangSong" w:eastAsia="FangSong" w:hAnsi="FangSong" w:cs="FangSong"/>
          <w:spacing w:val="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有足够时间参加培训及比赛。针对这一比赛，SP</w:t>
      </w:r>
      <w:r>
        <w:rPr>
          <w:rFonts w:ascii="FangSong" w:eastAsia="FangSong" w:hAnsi="FangSong" w:cs="FangSong"/>
          <w:spacing w:val="-5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赛前接受统一</w:t>
      </w:r>
      <w:r>
        <w:rPr>
          <w:rFonts w:ascii="FangSong" w:eastAsia="FangSong" w:hAnsi="FangSong" w:cs="FangSong"/>
          <w:spacing w:val="-2"/>
          <w:sz w:val="28"/>
          <w:szCs w:val="28"/>
        </w:rPr>
        <w:t>标准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化培训，掌握相关疾病的主要症状、功能障碍和特点，心理和社会问</w:t>
      </w:r>
      <w:r>
        <w:rPr>
          <w:rFonts w:ascii="FangSong" w:eastAsia="FangSong" w:hAnsi="FangSong" w:cs="FangSong"/>
          <w:spacing w:val="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题的相关特征，能表现出案例要求的相应身体、情绪感受和体</w:t>
      </w:r>
      <w:r>
        <w:rPr>
          <w:rFonts w:ascii="FangSong" w:eastAsia="FangSong" w:hAnsi="FangSong" w:cs="FangSong"/>
          <w:spacing w:val="-4"/>
          <w:sz w:val="28"/>
          <w:szCs w:val="28"/>
        </w:rPr>
        <w:t>验，按</w:t>
      </w:r>
    </w:p>
    <w:p>
      <w:pPr>
        <w:spacing w:line="220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照竞赛脚本要求配合完成选手的技术操作任务；要保证在同一案例中</w:t>
      </w:r>
    </w:p>
    <w:p>
      <w:pPr>
        <w:spacing w:line="220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29"/>
          <w:type w:val="nextPage"/>
          <w:pgSz w:w="11906" w:h="16839"/>
          <w:pgMar w:top="1353" w:right="1671" w:bottom="1112" w:left="1785" w:header="0" w:footer="818" w:gutter="0"/>
          <w:pgNumType w:start="25"/>
          <w:cols w:space="708"/>
          <w:titlePg w:val="0"/>
        </w:sectPr>
      </w:pPr>
    </w:p>
    <w:p>
      <w:pPr>
        <w:spacing w:before="57" w:line="624" w:lineRule="exact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表演和配合一致性，为每一名选手提供公平一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致的配合。SP</w:t>
      </w:r>
      <w:r>
        <w:rPr>
          <w:rFonts w:ascii="FangSong" w:eastAsia="FangSong" w:hAnsi="FangSong" w:cs="FangSong"/>
          <w:spacing w:val="-52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培训前</w:t>
      </w:r>
    </w:p>
    <w:p>
      <w:pPr>
        <w:spacing w:line="221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要签署保密责任书，服从大赛安排。</w:t>
      </w:r>
    </w:p>
    <w:p>
      <w:pPr>
        <w:spacing w:before="288" w:line="227" w:lineRule="auto"/>
        <w:ind w:left="603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（三）比赛器材和物品</w:t>
      </w:r>
    </w:p>
    <w:p>
      <w:pPr>
        <w:spacing w:before="279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赛场配备康复评定与康复治疗的基本设备。</w:t>
      </w:r>
    </w:p>
    <w:p>
      <w:pPr>
        <w:spacing w:before="287" w:line="411" w:lineRule="auto"/>
        <w:ind w:left="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KaiTi" w:eastAsia="KaiTi" w:hAnsi="KaiTi" w:cs="KaiTi"/>
          <w:spacing w:val="-1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1.康复评定</w:t>
      </w:r>
      <w:r>
        <w:rPr>
          <w:rFonts w:ascii="KaiTi" w:eastAsia="KaiTi" w:hAnsi="KaiTi" w:cs="KaiTi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采用“标准化病人</w:t>
      </w:r>
      <w:r>
        <w:rPr>
          <w:rFonts w:ascii="FangSong" w:eastAsia="FangSong" w:hAnsi="FangSong" w:cs="FangSong"/>
          <w:spacing w:val="-10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”进行操作。配备肌力、肌张力、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关节活动度、平衡功能、认知、语言、吞咽和日常活动能力等评定量</w:t>
      </w:r>
    </w:p>
    <w:p>
      <w:pPr>
        <w:spacing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表和握力测定仪、捏力测定仪、通用量角器等相关器材。</w:t>
      </w:r>
    </w:p>
    <w:p>
      <w:pPr>
        <w:spacing w:before="288" w:line="411" w:lineRule="auto"/>
        <w:ind w:left="37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KaiTi" w:eastAsia="KaiTi" w:hAnsi="KaiTi" w:cs="KaiTi"/>
          <w:spacing w:val="-1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2.运动治疗</w:t>
      </w:r>
      <w:r>
        <w:rPr>
          <w:rFonts w:ascii="KaiTi" w:eastAsia="KaiTi" w:hAnsi="KaiTi" w:cs="KaiTi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采用“标准化病人</w:t>
      </w:r>
      <w:r>
        <w:rPr>
          <w:rFonts w:ascii="FangSong" w:eastAsia="FangSong" w:hAnsi="FangSong" w:cs="FangSong"/>
          <w:spacing w:val="-8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”进行操作。提供多体位治疗床、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可升降治疗床、PT</w:t>
      </w:r>
      <w:r>
        <w:rPr>
          <w:rFonts w:ascii="FangSong" w:eastAsia="FangSong" w:hAnsi="FangSong" w:cs="FangSong"/>
          <w:spacing w:val="-3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凳、弹力带、沙袋、体操棒、八件套、抗阻肌力</w:t>
      </w:r>
    </w:p>
    <w:p>
      <w:pPr>
        <w:spacing w:before="1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训练器等相关器材。</w:t>
      </w:r>
    </w:p>
    <w:p>
      <w:pPr>
        <w:spacing w:before="288" w:line="411" w:lineRule="auto"/>
        <w:ind w:left="63" w:right="93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KaiTi" w:eastAsia="KaiTi" w:hAnsi="KaiTi" w:cs="KaiTi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3.物理因子治疗</w:t>
      </w:r>
      <w:r>
        <w:rPr>
          <w:rFonts w:ascii="KaiTi" w:eastAsia="KaiTi" w:hAnsi="KaiTi" w:cs="KaiTi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采用“标准化病人</w:t>
      </w:r>
      <w:r>
        <w:rPr>
          <w:rFonts w:ascii="FangSong" w:eastAsia="FangSong" w:hAnsi="FangSong" w:cs="FangSong"/>
          <w:spacing w:val="-9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”进行操作。提供神经肌肉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电刺激仪（含电极片）、经皮神经电刺激仪、中频电治疗仪（含电极</w:t>
      </w:r>
    </w:p>
    <w:p>
      <w:pPr>
        <w:spacing w:before="1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若干）、超短波、红外线等仪器。</w:t>
      </w:r>
    </w:p>
    <w:p>
      <w:pPr>
        <w:spacing w:before="287" w:line="411" w:lineRule="auto"/>
        <w:ind w:left="34" w:right="93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KaiTi" w:eastAsia="KaiTi" w:hAnsi="KaiTi" w:cs="KaiTi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4.作业治疗</w:t>
      </w:r>
      <w:r>
        <w:rPr>
          <w:rFonts w:ascii="KaiTi" w:eastAsia="KaiTi" w:hAnsi="KaiTi" w:cs="KaiTi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采用“标准化病人</w:t>
      </w:r>
      <w:r>
        <w:rPr>
          <w:rFonts w:ascii="FangSong" w:eastAsia="FangSong" w:hAnsi="FangSong" w:cs="FangSong"/>
          <w:spacing w:val="-8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”进行操作。提供作业治疗综合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训练台、滚筒、插件类、手工类、</w:t>
      </w:r>
      <w:r>
        <w:rPr>
          <w:rFonts w:ascii="FangSong" w:eastAsia="FangSong" w:hAnsi="FangSong" w:cs="FangSong"/>
          <w:spacing w:val="-7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日常生活活动类器具、作业类辅助</w:t>
      </w:r>
    </w:p>
    <w:p>
      <w:pPr>
        <w:spacing w:before="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器具、认知训练仪等设备。</w:t>
      </w:r>
    </w:p>
    <w:p>
      <w:pPr>
        <w:spacing w:before="286" w:line="624" w:lineRule="exact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KaiTi" w:eastAsia="KaiTi" w:hAnsi="KaiTi" w:cs="KaiTi"/>
          <w:spacing w:val="-3"/>
          <w:position w:val="2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5.言语吞咽治疗</w:t>
      </w:r>
      <w:r>
        <w:rPr>
          <w:rFonts w:ascii="KaiTi" w:eastAsia="KaiTi" w:hAnsi="KaiTi" w:cs="KaiTi"/>
          <w:spacing w:val="-3"/>
          <w:position w:val="2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position w:val="25"/>
          <w:sz w:val="28"/>
          <w:szCs w:val="28"/>
        </w:rPr>
        <w:t>采用“标准化病人</w:t>
      </w:r>
      <w:r>
        <w:rPr>
          <w:rFonts w:ascii="FangSong" w:eastAsia="FangSong" w:hAnsi="FangSong" w:cs="FangSong"/>
          <w:spacing w:val="-91"/>
          <w:position w:val="2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position w:val="25"/>
          <w:sz w:val="28"/>
          <w:szCs w:val="28"/>
        </w:rPr>
        <w:t>”进行操作。提供冰棉签、</w:t>
      </w:r>
    </w:p>
    <w:p>
      <w:pPr>
        <w:spacing w:before="1" w:line="222" w:lineRule="auto"/>
        <w:ind w:left="3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吞咽治疗仪、言语治疗图卡等。</w:t>
      </w:r>
    </w:p>
    <w:p>
      <w:pPr>
        <w:spacing w:before="270" w:line="191" w:lineRule="auto"/>
        <w:ind w:left="3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九</w:t>
      </w:r>
      <w:r>
        <w:rPr>
          <w:rFonts w:ascii="Microsoft YaHei" w:eastAsia="Microsoft YaHei" w:hAnsi="Microsoft YaHei" w:cs="Microsoft YaHei"/>
          <w:spacing w:val="-4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、竞赛样题</w:t>
      </w:r>
    </w:p>
    <w:p>
      <w:pPr>
        <w:spacing w:before="88" w:line="359" w:lineRule="auto"/>
        <w:ind w:left="33" w:right="93" w:firstLine="559"/>
        <w:jc w:val="both"/>
        <w:rPr>
          <w:rFonts w:ascii="FangSong" w:eastAsia="FangSong" w:hAnsi="FangSong" w:cs="FangSong"/>
          <w:sz w:val="28"/>
          <w:szCs w:val="28"/>
        </w:rPr>
        <w:sectPr>
          <w:footerReference w:type="default" r:id="rId30"/>
          <w:pgSz w:w="11906" w:h="16839"/>
          <w:pgMar w:top="1353" w:right="1705" w:bottom="1112" w:left="1785" w:header="0" w:footer="818" w:gutter="0"/>
          <w:pgNumType w:start="26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根据大赛赛题管理办法规定，建立理论考试题库和技能操作</w:t>
      </w:r>
      <w:r>
        <w:rPr>
          <w:rFonts w:ascii="FangSong" w:eastAsia="FangSong" w:hAnsi="FangSong" w:cs="FangSong"/>
          <w:spacing w:val="-5"/>
          <w:sz w:val="28"/>
          <w:szCs w:val="28"/>
        </w:rPr>
        <w:t>案例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题库,由大赛组委会参考《全国卫生专业技术资格考试康</w:t>
      </w:r>
      <w:r>
        <w:rPr>
          <w:rFonts w:ascii="FangSong" w:eastAsia="FangSong" w:hAnsi="FangSong" w:cs="FangSong"/>
          <w:sz w:val="28"/>
          <w:szCs w:val="28"/>
        </w:rPr>
        <w:t>复医学治疗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技术(士、师、中级)考试大纲》组织出题，题库中</w:t>
      </w:r>
      <w:r>
        <w:rPr>
          <w:rFonts w:ascii="FangSong" w:eastAsia="FangSong" w:hAnsi="FangSong" w:cs="FangSong"/>
          <w:spacing w:val="-5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70%在大赛网络信</w:t>
      </w:r>
    </w:p>
    <w:p>
      <w:pPr>
        <w:spacing w:line="220" w:lineRule="auto"/>
        <w:ind w:left="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息平台公开，30%保密封存。赛前一</w:t>
      </w:r>
      <w:r>
        <w:rPr>
          <w:rFonts w:ascii="FangSong" w:eastAsia="FangSong" w:hAnsi="FangSong" w:cs="FangSong"/>
          <w:spacing w:val="-6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日，专家组按照出题要求</w:t>
      </w:r>
      <w:r>
        <w:rPr>
          <w:rFonts w:ascii="FangSong" w:eastAsia="FangSong" w:hAnsi="FangSong" w:cs="FangSong"/>
          <w:spacing w:val="-6"/>
          <w:sz w:val="28"/>
          <w:szCs w:val="28"/>
        </w:rPr>
        <w:t>完成</w:t>
      </w:r>
      <w:r>
        <w:rPr>
          <w:rFonts w:ascii="FangSong" w:eastAsia="FangSong" w:hAnsi="FangSong" w:cs="FangSong"/>
          <w:spacing w:val="-4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10</w:t>
      </w:r>
    </w:p>
    <w:p>
      <w:pPr>
        <w:spacing w:line="220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31"/>
          <w:type w:val="nextPage"/>
          <w:pgSz w:w="11906" w:h="16839"/>
          <w:pgMar w:top="1353" w:right="1705" w:bottom="1112" w:left="1785" w:header="0" w:footer="818" w:gutter="0"/>
          <w:pgNumType w:start="27"/>
          <w:cols w:space="708"/>
          <w:titlePg w:val="0"/>
        </w:sectPr>
      </w:pPr>
    </w:p>
    <w:p>
      <w:pPr>
        <w:spacing w:before="58" w:line="359" w:lineRule="auto"/>
        <w:ind w:left="32" w:right="80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套试卷命题。赛前</w:t>
      </w:r>
      <w:r>
        <w:rPr>
          <w:rFonts w:ascii="FangSong" w:eastAsia="FangSong" w:hAnsi="FangSong" w:cs="FangSong"/>
          <w:spacing w:val="-55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20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分钟，由裁判长指定一名</w:t>
      </w:r>
      <w:r>
        <w:rPr>
          <w:rFonts w:ascii="FangSong" w:eastAsia="FangSong" w:hAnsi="FangSong" w:cs="FangSong"/>
          <w:spacing w:val="-1"/>
          <w:sz w:val="28"/>
          <w:szCs w:val="28"/>
        </w:rPr>
        <w:t>裁判，由理论知识竞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赛</w:t>
      </w:r>
      <w:r>
        <w:rPr>
          <w:rFonts w:ascii="FangSong" w:eastAsia="FangSong" w:hAnsi="FangSong" w:cs="FangSong"/>
          <w:spacing w:val="-4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1</w:t>
      </w:r>
      <w:r>
        <w:rPr>
          <w:rFonts w:ascii="FangSong" w:eastAsia="FangSong" w:hAnsi="FangSong" w:cs="FangSong"/>
          <w:spacing w:val="-4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号座位选手从</w:t>
      </w:r>
      <w:r>
        <w:rPr>
          <w:rFonts w:ascii="FangSong" w:eastAsia="FangSong" w:hAnsi="FangSong" w:cs="FangSong"/>
          <w:spacing w:val="-4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1～10</w:t>
      </w:r>
      <w:r>
        <w:rPr>
          <w:rFonts w:ascii="FangSong" w:eastAsia="FangSong" w:hAnsi="FangSong" w:cs="FangSong"/>
          <w:spacing w:val="-4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号套题中抽取考试试题套号。选手</w:t>
      </w:r>
      <w:r>
        <w:rPr>
          <w:rFonts w:ascii="FangSong" w:eastAsia="FangSong" w:hAnsi="FangSong" w:cs="FangSong"/>
          <w:spacing w:val="-8"/>
          <w:sz w:val="28"/>
          <w:szCs w:val="28"/>
        </w:rPr>
        <w:t>在规定时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间内完成答题，理论考试结束</w:t>
      </w:r>
      <w:r>
        <w:rPr>
          <w:rFonts w:ascii="FangSong" w:eastAsia="FangSong" w:hAnsi="FangSong" w:cs="FangSong"/>
          <w:spacing w:val="-5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2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小时内公布成绩。赛项比赛结束后一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1"/>
          <w:sz w:val="28"/>
          <w:szCs w:val="28"/>
        </w:rPr>
        <w:t>周内</w:t>
      </w:r>
      <w:r>
        <w:rPr>
          <w:rFonts w:ascii="FangSong" w:eastAsia="FangSong" w:hAnsi="FangSong" w:cs="FangSong"/>
          <w:spacing w:val="-6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1"/>
          <w:sz w:val="28"/>
          <w:szCs w:val="28"/>
        </w:rPr>
        <w:t>，正式赛卷（包括评分标准）</w:t>
      </w:r>
      <w:r>
        <w:rPr>
          <w:rFonts w:ascii="FangSong" w:eastAsia="FangSong" w:hAnsi="FangSong" w:cs="FangSong"/>
          <w:spacing w:val="-6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1"/>
          <w:sz w:val="28"/>
          <w:szCs w:val="28"/>
        </w:rPr>
        <w:t>通过大赛网络信息发布平台</w:t>
      </w:r>
    </w:p>
    <w:p>
      <w:pPr>
        <w:spacing w:before="1" w:line="215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（www.chinaskills-jsw.org）公布。</w:t>
      </w:r>
    </w:p>
    <w:p>
      <w:pPr>
        <w:spacing w:before="217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样题如下：</w:t>
      </w:r>
    </w:p>
    <w:p>
      <w:pPr>
        <w:spacing w:before="211" w:line="220" w:lineRule="auto"/>
        <w:ind w:left="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【理论知识竞赛样题】</w:t>
      </w:r>
    </w:p>
    <w:p>
      <w:pPr>
        <w:spacing w:before="208" w:line="547" w:lineRule="exact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19"/>
          <w:sz w:val="28"/>
          <w:szCs w:val="28"/>
        </w:rPr>
        <w:t>单选题（以下每一道考题下面有</w:t>
      </w:r>
      <w:r>
        <w:rPr>
          <w:rFonts w:ascii="FangSong" w:eastAsia="FangSong" w:hAnsi="FangSong" w:cs="FangSong"/>
          <w:spacing w:val="-64"/>
          <w:position w:val="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position w:val="19"/>
          <w:sz w:val="28"/>
          <w:szCs w:val="28"/>
        </w:rPr>
        <w:t>A、B、C、D、E</w:t>
      </w:r>
      <w:r>
        <w:rPr>
          <w:rFonts w:ascii="FangSong" w:eastAsia="FangSong" w:hAnsi="FangSong" w:cs="FangSong"/>
          <w:spacing w:val="-49"/>
          <w:position w:val="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position w:val="19"/>
          <w:sz w:val="28"/>
          <w:szCs w:val="28"/>
        </w:rPr>
        <w:t>五个备选答案。</w:t>
      </w:r>
    </w:p>
    <w:p>
      <w:pPr>
        <w:spacing w:before="1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请从中选择一个最佳答案）</w:t>
      </w:r>
    </w:p>
    <w:p>
      <w:pPr>
        <w:spacing w:before="210" w:line="543" w:lineRule="exact"/>
        <w:ind w:left="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5"/>
          <w:position w:val="19"/>
          <w:sz w:val="28"/>
          <w:szCs w:val="28"/>
        </w:rPr>
        <w:t>1.脑卒中偏瘫患者下肢出现伸肌的协同运动，最不可能出现的是</w:t>
      </w:r>
    </w:p>
    <w:p>
      <w:pPr>
        <w:spacing w:line="224" w:lineRule="auto"/>
        <w:ind w:left="1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w w:val="95"/>
          <w:sz w:val="28"/>
          <w:szCs w:val="28"/>
        </w:rPr>
        <w:t>(</w:t>
      </w:r>
      <w:r>
        <w:rPr>
          <w:rFonts w:ascii="FangSong" w:eastAsia="FangSong" w:hAnsi="FangSong" w:cs="FangSong"/>
          <w:spacing w:val="27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23"/>
          <w:w w:val="95"/>
          <w:sz w:val="28"/>
          <w:szCs w:val="28"/>
        </w:rPr>
        <w:t>)</w:t>
      </w:r>
    </w:p>
    <w:p>
      <w:pPr>
        <w:spacing w:before="205" w:line="222" w:lineRule="auto"/>
        <w:ind w:left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A.髋关节伸展</w:t>
      </w:r>
      <w:r>
        <w:rPr>
          <w:rFonts w:ascii="FangSong" w:eastAsia="FangSong" w:hAnsi="FangSong" w:cs="FangSong"/>
          <w:sz w:val="28"/>
          <w:szCs w:val="28"/>
        </w:rPr>
        <w:t xml:space="preserve">       </w:t>
      </w:r>
      <w:r>
        <w:rPr>
          <w:rFonts w:ascii="FangSong" w:eastAsia="FangSong" w:hAnsi="FangSong" w:cs="FangSong"/>
          <w:sz w:val="28"/>
          <w:szCs w:val="28"/>
        </w:rPr>
        <w:t>B.膝关节屈曲</w:t>
      </w:r>
      <w:r>
        <w:rPr>
          <w:rFonts w:ascii="FangSong" w:eastAsia="FangSong" w:hAnsi="FangSong" w:cs="FangSong"/>
          <w:sz w:val="28"/>
          <w:szCs w:val="28"/>
        </w:rPr>
        <w:t xml:space="preserve">        </w:t>
      </w:r>
      <w:r>
        <w:rPr>
          <w:rFonts w:ascii="FangSong" w:eastAsia="FangSong" w:hAnsi="FangSong" w:cs="FangSong"/>
          <w:sz w:val="28"/>
          <w:szCs w:val="28"/>
        </w:rPr>
        <w:t>C.踝关节内翻</w:t>
      </w:r>
    </w:p>
    <w:p>
      <w:pPr>
        <w:spacing w:before="208" w:line="545" w:lineRule="exact"/>
        <w:ind w:left="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position w:val="19"/>
          <w:sz w:val="28"/>
          <w:szCs w:val="28"/>
        </w:rPr>
        <w:t>D.踝关节跖屈</w:t>
      </w:r>
      <w:r>
        <w:rPr>
          <w:rFonts w:ascii="FangSong" w:eastAsia="FangSong" w:hAnsi="FangSong" w:cs="FangSong"/>
          <w:spacing w:val="-1"/>
          <w:position w:val="19"/>
          <w:sz w:val="28"/>
          <w:szCs w:val="28"/>
        </w:rPr>
        <w:t xml:space="preserve">       </w:t>
      </w:r>
      <w:r>
        <w:rPr>
          <w:rFonts w:ascii="FangSong" w:eastAsia="FangSong" w:hAnsi="FangSong" w:cs="FangSong"/>
          <w:spacing w:val="-1"/>
          <w:position w:val="19"/>
          <w:sz w:val="28"/>
          <w:szCs w:val="28"/>
        </w:rPr>
        <w:t>E.趾背屈</w:t>
      </w:r>
    </w:p>
    <w:p>
      <w:pPr>
        <w:spacing w:line="220" w:lineRule="auto"/>
        <w:ind w:left="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【技能操作案例样题】</w:t>
      </w:r>
    </w:p>
    <w:p>
      <w:pPr>
        <w:spacing w:before="210" w:line="224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案例描述：</w:t>
      </w:r>
    </w:p>
    <w:p>
      <w:pPr>
        <w:spacing w:before="207" w:line="359" w:lineRule="auto"/>
        <w:ind w:lef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某男性患者，48</w:t>
      </w:r>
      <w:r>
        <w:rPr>
          <w:rFonts w:ascii="FangSong" w:eastAsia="FangSong" w:hAnsi="FangSong" w:cs="FangSong"/>
          <w:spacing w:val="-3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岁，出租车司机。因颈肩部疼痛伴右上肢放射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性痛</w:t>
      </w:r>
      <w:r>
        <w:rPr>
          <w:rFonts w:ascii="FangSong" w:eastAsia="FangSong" w:hAnsi="FangSong" w:cs="FangSong"/>
          <w:spacing w:val="-2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1</w:t>
      </w:r>
      <w:r>
        <w:rPr>
          <w:rFonts w:ascii="FangSong" w:eastAsia="FangSong" w:hAnsi="FangSong" w:cs="FangSong"/>
          <w:spacing w:val="-4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周入院。患者</w:t>
      </w:r>
      <w:r>
        <w:rPr>
          <w:rFonts w:ascii="FangSong" w:eastAsia="FangSong" w:hAnsi="FangSong" w:cs="FangSong"/>
          <w:spacing w:val="-4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1</w:t>
      </w:r>
      <w:r>
        <w:rPr>
          <w:rFonts w:ascii="FangSong" w:eastAsia="FangSong" w:hAnsi="FangSong" w:cs="FangSong"/>
          <w:spacing w:val="-4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周前开始出现颈肩部疼痛，之后有反复发作，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1</w:t>
      </w:r>
      <w:r>
        <w:rPr>
          <w:rFonts w:ascii="FangSong" w:eastAsia="FangSong" w:hAnsi="FangSong" w:cs="FangSong"/>
          <w:spacing w:val="-5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周前出现症状加重，伴右上肢放射性痛，同时伴有右</w:t>
      </w:r>
      <w:r>
        <w:rPr>
          <w:rFonts w:ascii="FangSong" w:eastAsia="FangSong" w:hAnsi="FangSong" w:cs="FangSong"/>
          <w:spacing w:val="-3"/>
          <w:sz w:val="28"/>
          <w:szCs w:val="28"/>
        </w:rPr>
        <w:t>上肢麻木，活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动时疼痛加重，卧床休息后稍有缓解。无潮热、盗汗，无</w:t>
      </w:r>
      <w:r>
        <w:rPr>
          <w:rFonts w:ascii="FangSong" w:eastAsia="FangSong" w:hAnsi="FangSong" w:cs="FangSong"/>
          <w:spacing w:val="-11"/>
          <w:sz w:val="28"/>
          <w:szCs w:val="28"/>
        </w:rPr>
        <w:t>心慌、胸闷，</w:t>
      </w:r>
    </w:p>
    <w:p>
      <w:pPr>
        <w:spacing w:before="1" w:line="224" w:lineRule="auto"/>
        <w:ind w:left="3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无恶心、呕吐等不适。</w:t>
      </w:r>
    </w:p>
    <w:p>
      <w:pPr>
        <w:spacing w:before="205" w:line="359" w:lineRule="auto"/>
        <w:ind w:left="44" w:right="2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查体：神志清楚，发育正常，营养中等，步态正常，检查</w:t>
      </w:r>
      <w:r>
        <w:rPr>
          <w:rFonts w:ascii="FangSong" w:eastAsia="FangSong" w:hAnsi="FangSong" w:cs="FangSong"/>
          <w:spacing w:val="-3"/>
          <w:sz w:val="28"/>
          <w:szCs w:val="28"/>
        </w:rPr>
        <w:t>合作。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生理反射存在，病理反射未引出。颈</w:t>
      </w:r>
      <w:r>
        <w:rPr>
          <w:rFonts w:ascii="FangSong" w:eastAsia="FangSong" w:hAnsi="FangSong" w:cs="FangSong"/>
          <w:spacing w:val="-4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4～7</w:t>
      </w:r>
      <w:r>
        <w:rPr>
          <w:rFonts w:ascii="FangSong" w:eastAsia="FangSong" w:hAnsi="FangSong" w:cs="FangSong"/>
          <w:spacing w:val="-4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棘突及右侧压痛，右臂丛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牵拉试验(+)，</w:t>
      </w:r>
      <w:r>
        <w:rPr>
          <w:rFonts w:ascii="FangSong" w:eastAsia="FangSong" w:hAnsi="FangSong" w:cs="FangSong"/>
          <w:sz w:val="28"/>
          <w:szCs w:val="28"/>
        </w:rPr>
        <w:t>Hoffmann</w:t>
      </w:r>
      <w:r>
        <w:rPr>
          <w:rFonts w:ascii="FangSong" w:eastAsia="FangSong" w:hAnsi="FangSong" w:cs="FangSong"/>
          <w:spacing w:val="-4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征（-）。双侧上肢肌力、肌张力、腱反射</w:t>
      </w:r>
    </w:p>
    <w:p>
      <w:pPr>
        <w:spacing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均未见明显异常。X</w:t>
      </w:r>
      <w:r>
        <w:rPr>
          <w:rFonts w:ascii="FangSong" w:eastAsia="FangSong" w:hAnsi="FangSong" w:cs="FangSong"/>
          <w:spacing w:val="-4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线示：C</w:t>
      </w:r>
      <w:r>
        <w:rPr>
          <w:rFonts w:ascii="FangSong" w:eastAsia="FangSong" w:hAnsi="FangSong" w:cs="FangSong"/>
          <w:spacing w:val="-2"/>
          <w:position w:val="-3"/>
          <w:sz w:val="13"/>
          <w:szCs w:val="13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>～C</w:t>
      </w:r>
      <w:r>
        <w:rPr>
          <w:rFonts w:ascii="FangSong" w:eastAsia="FangSong" w:hAnsi="FangSong" w:cs="FangSong"/>
          <w:spacing w:val="-2"/>
          <w:position w:val="-3"/>
          <w:sz w:val="13"/>
          <w:szCs w:val="13"/>
        </w:rPr>
        <w:t>7</w:t>
      </w:r>
      <w:r>
        <w:rPr>
          <w:rFonts w:ascii="FangSong" w:eastAsia="FangSong" w:hAnsi="FangSong" w:cs="FangSong"/>
          <w:spacing w:val="-2"/>
          <w:position w:val="-3"/>
          <w:sz w:val="13"/>
          <w:szCs w:val="13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轻度骨质增生，生理弯</w:t>
      </w:r>
      <w:r>
        <w:rPr>
          <w:rFonts w:ascii="FangSong" w:eastAsia="FangSong" w:hAnsi="FangSong" w:cs="FangSong"/>
          <w:spacing w:val="-3"/>
          <w:sz w:val="28"/>
          <w:szCs w:val="28"/>
        </w:rPr>
        <w:t>曲变直。</w:t>
      </w:r>
    </w:p>
    <w:p>
      <w:pPr>
        <w:spacing w:before="208" w:line="221" w:lineRule="auto"/>
        <w:ind w:left="596"/>
        <w:rPr>
          <w:rFonts w:ascii="FangSong" w:eastAsia="FangSong" w:hAnsi="FangSong" w:cs="FangSong"/>
          <w:sz w:val="28"/>
          <w:szCs w:val="28"/>
        </w:rPr>
        <w:sectPr>
          <w:footerReference w:type="default" r:id="rId32"/>
          <w:pgSz w:w="11906" w:h="16839"/>
          <w:pgMar w:top="1223" w:right="1718" w:bottom="1112" w:left="1785" w:header="0" w:footer="818" w:gutter="0"/>
          <w:pgNumType w:start="28"/>
          <w:cols w:space="708"/>
        </w:sectPr>
      </w:pPr>
      <w:r>
        <w:rPr>
          <w:rFonts w:ascii="FangSong" w:eastAsia="FangSong" w:hAnsi="FangSong" w:cs="FangSong"/>
          <w:spacing w:val="-1"/>
          <w:sz w:val="28"/>
          <w:szCs w:val="28"/>
        </w:rPr>
        <w:t>参赛选手任务</w:t>
      </w:r>
      <w:r>
        <w:rPr>
          <w:rFonts w:ascii="FangSong" w:eastAsia="FangSong" w:hAnsi="FangSong" w:cs="FangSong"/>
          <w:spacing w:val="-20"/>
          <w:sz w:val="28"/>
          <w:szCs w:val="28"/>
        </w:rPr>
        <w:t>：（</w:t>
      </w:r>
      <w:r>
        <w:rPr>
          <w:rFonts w:ascii="FangSong" w:eastAsia="FangSong" w:hAnsi="FangSong" w:cs="FangSong"/>
          <w:spacing w:val="-1"/>
          <w:sz w:val="28"/>
          <w:szCs w:val="28"/>
        </w:rPr>
        <w:t>1、2、3</w:t>
      </w:r>
      <w:r>
        <w:rPr>
          <w:rFonts w:ascii="FangSong" w:eastAsia="FangSong" w:hAnsi="FangSong" w:cs="FangSong"/>
          <w:spacing w:val="-5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题为操作演示题，</w:t>
      </w:r>
      <w:r>
        <w:rPr>
          <w:rFonts w:ascii="FangSong" w:eastAsia="FangSong" w:hAnsi="FangSong" w:cs="FangSong"/>
          <w:spacing w:val="-2"/>
          <w:sz w:val="28"/>
          <w:szCs w:val="28"/>
        </w:rPr>
        <w:t>4</w:t>
      </w:r>
      <w:r>
        <w:rPr>
          <w:rFonts w:ascii="FangSong" w:eastAsia="FangSong" w:hAnsi="FangSong" w:cs="FangSong"/>
          <w:spacing w:val="-4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为口述题）</w:t>
      </w:r>
    </w:p>
    <w:p>
      <w:pPr>
        <w:spacing w:before="209" w:line="221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1.请从康复治疗师的角度对这个患者进行问诊并总结问诊结果。</w:t>
      </w:r>
    </w:p>
    <w:p>
      <w:pPr>
        <w:spacing w:line="221" w:lineRule="auto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https://d.book118.com/816225234054010044</w:t>
        </w:r>
      </w:hyperlink>
    </w:p>
    <w:p>
      <w:pPr>
        <w:spacing w:line="221" w:lineRule="auto"/>
        <w:rPr>
          <w:rFonts w:ascii="FangSong" w:eastAsia="FangSong" w:hAnsi="FangSong" w:cs="FangSong"/>
          <w:sz w:val="28"/>
          <w:szCs w:val="28"/>
        </w:rPr>
      </w:pPr>
    </w:p>
    <w:sectPr>
      <w:footerReference w:type="default" r:id="rId34"/>
      <w:type w:val="nextPage"/>
      <w:pgSz w:w="11906" w:h="16839"/>
      <w:pgMar w:top="1223" w:right="1718" w:bottom="1112" w:left="1785" w:header="0" w:footer="818" w:gutter="0"/>
      <w:pgNumType w:start="2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4223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z w:val="30"/>
        <w:szCs w:val="30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4223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z w:val="30"/>
        <w:szCs w:val="30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04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z w:val="30"/>
        <w:szCs w:val="30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04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z w:val="30"/>
        <w:szCs w:val="30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3" w:lineRule="auto"/>
      <w:ind w:left="4108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z w:val="30"/>
        <w:szCs w:val="30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3" w:lineRule="auto"/>
      <w:ind w:left="4108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z w:val="30"/>
        <w:szCs w:val="30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00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z w:val="30"/>
        <w:szCs w:val="30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00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z w:val="30"/>
        <w:szCs w:val="30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492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z w:val="30"/>
        <w:szCs w:val="30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492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z w:val="30"/>
        <w:szCs w:val="30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3" w:lineRule="auto"/>
      <w:ind w:left="4489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z w:val="30"/>
        <w:szCs w:val="30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3" w:lineRule="auto"/>
      <w:ind w:left="4489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z w:val="30"/>
        <w:szCs w:val="30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109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z w:val="30"/>
        <w:szCs w:val="30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3" w:lineRule="auto"/>
      <w:ind w:left="4219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z w:val="30"/>
        <w:szCs w:val="30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3" w:lineRule="auto"/>
      <w:ind w:left="4219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z w:val="30"/>
        <w:szCs w:val="30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3" w:lineRule="auto"/>
      <w:ind w:left="4103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z w:val="30"/>
        <w:szCs w:val="30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3" w:lineRule="auto"/>
      <w:ind w:left="4103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z w:val="30"/>
        <w:szCs w:val="30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4049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pacing w:val="-16"/>
        <w:sz w:val="30"/>
        <w:szCs w:val="30"/>
      </w:rPr>
      <w:t>10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4049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pacing w:val="-16"/>
        <w:sz w:val="30"/>
        <w:szCs w:val="30"/>
      </w:rPr>
      <w:t>10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4049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pacing w:val="-16"/>
        <w:sz w:val="30"/>
        <w:szCs w:val="30"/>
      </w:rPr>
      <w:t>11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4049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pacing w:val="-16"/>
        <w:sz w:val="30"/>
        <w:szCs w:val="30"/>
      </w:rPr>
      <w:t>11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4049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pacing w:val="-16"/>
        <w:sz w:val="30"/>
        <w:szCs w:val="30"/>
      </w:rPr>
      <w:t>12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4049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pacing w:val="-16"/>
        <w:sz w:val="30"/>
        <w:szCs w:val="30"/>
      </w:rPr>
      <w:t>12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4049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pacing w:val="-16"/>
        <w:sz w:val="30"/>
        <w:szCs w:val="30"/>
      </w:rPr>
      <w:t>13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4049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pacing w:val="-16"/>
        <w:sz w:val="30"/>
        <w:szCs w:val="30"/>
      </w:rPr>
      <w:t>13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4049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pacing w:val="-16"/>
        <w:sz w:val="30"/>
        <w:szCs w:val="30"/>
      </w:rPr>
      <w:t>14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4049"/>
      <w:rPr>
        <w:rFonts w:ascii="FangSong" w:eastAsia="FangSong" w:hAnsi="FangSong" w:cs="FangSong"/>
        <w:sz w:val="30"/>
        <w:szCs w:val="30"/>
      </w:rPr>
    </w:pPr>
    <w:r>
      <w:rPr>
        <w:rFonts w:ascii="FangSong" w:eastAsia="FangSong" w:hAnsi="FangSong" w:cs="FangSong"/>
        <w:spacing w:val="-16"/>
        <w:sz w:val="30"/>
        <w:szCs w:val="30"/>
      </w:rPr>
      <w:t>14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footer" Target="footer9.xml" /><Relationship Id="rId16" Type="http://schemas.openxmlformats.org/officeDocument/2006/relationships/footer" Target="footer10.xml" /><Relationship Id="rId17" Type="http://schemas.openxmlformats.org/officeDocument/2006/relationships/footer" Target="footer11.xml" /><Relationship Id="rId18" Type="http://schemas.openxmlformats.org/officeDocument/2006/relationships/footer" Target="footer12.xml" /><Relationship Id="rId19" Type="http://schemas.openxmlformats.org/officeDocument/2006/relationships/footer" Target="footer13.xml" /><Relationship Id="rId2" Type="http://schemas.openxmlformats.org/officeDocument/2006/relationships/webSettings" Target="webSettings.xml" /><Relationship Id="rId20" Type="http://schemas.openxmlformats.org/officeDocument/2006/relationships/footer" Target="footer14.xml" /><Relationship Id="rId21" Type="http://schemas.openxmlformats.org/officeDocument/2006/relationships/footer" Target="footer15.xml" /><Relationship Id="rId22" Type="http://schemas.openxmlformats.org/officeDocument/2006/relationships/footer" Target="footer16.xml" /><Relationship Id="rId23" Type="http://schemas.openxmlformats.org/officeDocument/2006/relationships/footer" Target="footer17.xml" /><Relationship Id="rId24" Type="http://schemas.openxmlformats.org/officeDocument/2006/relationships/footer" Target="footer18.xml" /><Relationship Id="rId25" Type="http://schemas.openxmlformats.org/officeDocument/2006/relationships/footer" Target="footer19.xml" /><Relationship Id="rId26" Type="http://schemas.openxmlformats.org/officeDocument/2006/relationships/footer" Target="footer20.xml" /><Relationship Id="rId27" Type="http://schemas.openxmlformats.org/officeDocument/2006/relationships/footer" Target="footer21.xml" /><Relationship Id="rId28" Type="http://schemas.openxmlformats.org/officeDocument/2006/relationships/footer" Target="footer22.xml" /><Relationship Id="rId29" Type="http://schemas.openxmlformats.org/officeDocument/2006/relationships/footer" Target="footer23.xml" /><Relationship Id="rId3" Type="http://schemas.openxmlformats.org/officeDocument/2006/relationships/fontTable" Target="fontTable.xml" /><Relationship Id="rId30" Type="http://schemas.openxmlformats.org/officeDocument/2006/relationships/footer" Target="footer24.xml" /><Relationship Id="rId31" Type="http://schemas.openxmlformats.org/officeDocument/2006/relationships/footer" Target="footer25.xml" /><Relationship Id="rId32" Type="http://schemas.openxmlformats.org/officeDocument/2006/relationships/footer" Target="footer26.xml" /><Relationship Id="rId33" Type="http://schemas.openxmlformats.org/officeDocument/2006/relationships/hyperlink" Target="https://d.book118.com/816225234054010044" TargetMode="External" /><Relationship Id="rId34" Type="http://schemas.openxmlformats.org/officeDocument/2006/relationships/footer" Target="footer27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revision>0</cp:revision>
  <dcterms:created xsi:type="dcterms:W3CDTF">2023-06-27T21:54:36Z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2024-01-22T09:58:39Z</vt:filetime>
  </property>
  <property fmtid="{D5CDD505-2E9C-101B-9397-08002B2CF9AE}" pid="3" name="CRO">
    <vt:lpwstr>wqlLaW5nc29mdCBQREYgdG8gV1BTIDkw</vt:lpwstr>
  </property>
</Properties>
</file>