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2018-2023年长垣烹饪职业技术学院高职单招（数学／语文／英语）历年常考试题库含答案解析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《米龙老爹》小说中米龙老爹的身份是（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A.法国军人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B.雇工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C.诺曼底农庄主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D.普鲁士军官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五四以后，郁达夫是哪个社团的发起人之一（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C.新月诗社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下列文学社团中，朱自清曾经参加的是（）。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D.中国左翼作家联盟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李煜《虞美人》“雕栏玉砌应犹在，只是朱颜改”的言外之意是（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岑参《白雪歌送武判官归京》“山回路转不见君，雪上空留马行处”两句的抒情方式是（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A.直抒胸臆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B.借景抒情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C.借典故抒情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D.借议论抒情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沈从文《边城》表现的地域风情是（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A.闽东风情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C.赣南风情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D.北平风情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D.六斤裹脚事件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下列各句中，“服”字作“佩带”解的是（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A.垂明月之珠，服太阿之剑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B.故远人不服，则修文德以来之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C.石崇与王恺争豪，并穷绮丽，以饰舆服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D.军中自是服其勇也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契诃夫著名的戏剧作品有（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A.《万卡》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B.《万尼亚舅舅》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C.《哈姆雷特》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D.《胖子与瘦子》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在《爱尔克的灯光》中，“爱尔克的灯光”的象征意义是（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A.封建家庭和礼教的没落与崩溃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B.对新生活的信念和对理想的追求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C.对旧家庭的憎恶和对财富的鄙弃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D.美好希望的破灭和生活的悲剧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B.《我爱这士地》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在《答司马谏议书》一文中，司马光强加给王安石变法的罪名是（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https://d.book118.com/817040121162006044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17040121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