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397" w:lineRule="exact"/>
        <w:ind w:firstLine="12692"/>
      </w:pPr>
      <w:r>
        <w:rPr>
          <w:position w:val="-47"/>
        </w:rPr>
        <w:drawing>
          <wp:inline distT="0" distB="0" distL="0" distR="0">
            <wp:extent cx="2936284" cy="15226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36284" cy="152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312" w:line="222" w:lineRule="auto"/>
        <w:ind w:left="313"/>
        <w:outlineLvl w:val="0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b/>
          <w:bCs/>
          <w:spacing w:val="24"/>
          <w:sz w:val="96"/>
          <w:szCs w:val="96"/>
        </w:rPr>
        <w:t>中华人民共和国出入境检验检疫行业标准</w:t>
      </w:r>
    </w:p>
    <w:p>
      <w:pPr>
        <w:pStyle w:val="BodyText"/>
        <w:spacing w:line="345" w:lineRule="auto"/>
      </w:pPr>
    </w:p>
    <w:p>
      <w:pPr>
        <w:pStyle w:val="BodyText"/>
        <w:spacing w:line="346" w:lineRule="auto"/>
      </w:pPr>
    </w:p>
    <w:p>
      <w:pPr>
        <w:spacing w:before="172" w:line="225" w:lineRule="auto"/>
        <w:ind w:left="13705"/>
        <w:rPr>
          <w:rFonts w:ascii="SimSun" w:eastAsia="SimSun" w:hAnsi="SimSun" w:cs="SimSun"/>
          <w:sz w:val="53"/>
          <w:szCs w:val="53"/>
        </w:rPr>
      </w:pPr>
      <w:r>
        <w:rPr>
          <w:rFonts w:ascii="SimSun" w:eastAsia="SimSun" w:hAnsi="SimSun" w:cs="SimSun"/>
          <w:spacing w:val="-3"/>
          <w:sz w:val="53"/>
          <w:szCs w:val="53"/>
        </w:rPr>
        <w:t>SN/T</w:t>
      </w:r>
      <w:r>
        <w:rPr>
          <w:rFonts w:ascii="SimSun" w:eastAsia="SimSun" w:hAnsi="SimSun" w:cs="SimSun"/>
          <w:spacing w:val="158"/>
          <w:sz w:val="53"/>
          <w:szCs w:val="53"/>
        </w:rPr>
        <w:t xml:space="preserve"> </w:t>
      </w:r>
      <w:r>
        <w:rPr>
          <w:rFonts w:ascii="SimSun" w:eastAsia="SimSun" w:hAnsi="SimSun" w:cs="SimSun"/>
          <w:spacing w:val="-3"/>
          <w:sz w:val="53"/>
          <w:szCs w:val="53"/>
        </w:rPr>
        <w:t>2426—2010</w:t>
      </w: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line="20" w:lineRule="exact"/>
        <w:ind w:firstLine="63"/>
      </w:pPr>
      <w:r>
        <w:drawing>
          <wp:inline distT="0" distB="0" distL="0" distR="0">
            <wp:extent cx="11598377" cy="1307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598377" cy="1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303" w:line="1344" w:lineRule="exact"/>
        <w:ind w:left="1469"/>
        <w:rPr>
          <w:rFonts w:ascii="SimHei" w:eastAsia="SimHei" w:hAnsi="SimHei" w:cs="SimHei"/>
          <w:sz w:val="93"/>
          <w:szCs w:val="93"/>
        </w:rPr>
      </w:pPr>
      <w:r>
        <w:rPr>
          <w:rFonts w:ascii="SimHei" w:eastAsia="SimHei" w:hAnsi="SimHei" w:cs="SimHei"/>
          <w:spacing w:val="97"/>
          <w:position w:val="27"/>
          <w:sz w:val="93"/>
          <w:szCs w:val="93"/>
        </w:rPr>
        <w:t>进出口粮谷中桔霉素含量检测方法</w:t>
      </w:r>
    </w:p>
    <w:p>
      <w:pPr>
        <w:spacing w:before="1" w:line="222" w:lineRule="auto"/>
        <w:ind w:left="6713"/>
        <w:rPr>
          <w:rFonts w:ascii="SimHei" w:eastAsia="SimHei" w:hAnsi="SimHei" w:cs="SimHei"/>
          <w:sz w:val="93"/>
          <w:szCs w:val="93"/>
        </w:rPr>
      </w:pPr>
      <w:r>
        <w:rPr>
          <w:rFonts w:ascii="SimHei" w:eastAsia="SimHei" w:hAnsi="SimHei" w:cs="SimHei"/>
          <w:spacing w:val="68"/>
          <w:sz w:val="93"/>
          <w:szCs w:val="93"/>
        </w:rPr>
        <w:t>液相色谱法</w:t>
      </w:r>
    </w:p>
    <w:p>
      <w:pPr>
        <w:pStyle w:val="BodyText"/>
        <w:spacing w:line="320" w:lineRule="auto"/>
      </w:pPr>
    </w:p>
    <w:p>
      <w:pPr>
        <w:pStyle w:val="BodyText"/>
        <w:spacing w:line="320" w:lineRule="auto"/>
      </w:pPr>
    </w:p>
    <w:p>
      <w:pPr>
        <w:spacing w:before="153" w:line="831" w:lineRule="exact"/>
        <w:ind w:left="1405"/>
        <w:rPr>
          <w:rFonts w:ascii="Times New Roman" w:eastAsia="Times New Roman" w:hAnsi="Times New Roman" w:cs="Times New Roman"/>
          <w:sz w:val="53"/>
          <w:szCs w:val="53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30"/>
          <w:sz w:val="53"/>
          <w:szCs w:val="53"/>
        </w:rPr>
        <w:t>Determination of citrinin contents in cereals for import and</w:t>
      </w:r>
      <w:r>
        <w:rPr>
          <w:rFonts w:ascii="Times New Roman" w:eastAsia="Times New Roman" w:hAnsi="Times New Roman" w:cs="Times New Roman"/>
          <w:b/>
          <w:bCs/>
          <w:spacing w:val="21"/>
          <w:position w:val="30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30"/>
          <w:sz w:val="53"/>
          <w:szCs w:val="53"/>
        </w:rPr>
        <w:t>ex</w:t>
      </w:r>
      <w:r>
        <w:rPr>
          <w:rFonts w:ascii="Times New Roman" w:eastAsia="Times New Roman" w:hAnsi="Times New Roman" w:cs="Times New Roman"/>
          <w:b/>
          <w:bCs/>
          <w:spacing w:val="-2"/>
          <w:position w:val="30"/>
          <w:sz w:val="53"/>
          <w:szCs w:val="53"/>
        </w:rPr>
        <w:t>port—</w:t>
      </w:r>
    </w:p>
    <w:p>
      <w:pPr>
        <w:spacing w:line="189" w:lineRule="auto"/>
        <w:ind w:left="7586"/>
        <w:rPr>
          <w:rFonts w:ascii="Times New Roman" w:eastAsia="Times New Roman" w:hAnsi="Times New Roman" w:cs="Times New Roman"/>
          <w:sz w:val="53"/>
          <w:szCs w:val="53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53"/>
          <w:szCs w:val="53"/>
        </w:rPr>
        <w:t>HPLC method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  <w:sectPr>
          <w:pgSz w:w="21824" w:h="31680"/>
          <w:pgMar w:top="1074" w:right="1620" w:bottom="0" w:left="1874" w:header="0" w:footer="0" w:gutter="0"/>
          <w:cols w:num="1" w:space="708" w:equalWidth="0">
            <w:col w:w="18330" w:space="0"/>
          </w:cols>
        </w:sectPr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ectPr>
          <w:type w:val="nextPage"/>
          <w:pgSz w:w="21824" w:h="31680"/>
          <w:pgMar w:top="1074" w:right="1620" w:bottom="0" w:left="1874" w:header="0" w:footer="0" w:gutter="0"/>
          <w:pgNumType w:start="2"/>
          <w:cols w:num="1" w:space="708" w:equalWidth="0">
            <w:col w:w="18330" w:space="0"/>
          </w:cols>
          <w:titlePg w:val="0"/>
        </w:sectPr>
      </w:pPr>
    </w:p>
    <w:p>
      <w:pPr>
        <w:spacing w:before="99" w:line="192" w:lineRule="auto"/>
        <w:ind w:left="7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11"/>
          <w:sz w:val="48"/>
          <w:szCs w:val="48"/>
        </w:rPr>
        <w:t>2010-01-10发布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00" w:line="19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3"/>
          <w:sz w:val="48"/>
          <w:szCs w:val="48"/>
        </w:rPr>
        <w:t>2010-07-16</w:t>
      </w:r>
      <w:r>
        <w:rPr>
          <w:rFonts w:ascii="SimHei" w:eastAsia="SimHei" w:hAnsi="SimHei" w:cs="SimHei"/>
          <w:spacing w:val="-29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48"/>
          <w:szCs w:val="48"/>
        </w:rPr>
        <w:t>实施</w:t>
      </w:r>
    </w:p>
    <w:p>
      <w:pPr>
        <w:spacing w:line="191" w:lineRule="auto"/>
        <w:rPr>
          <w:rFonts w:ascii="SimHei" w:eastAsia="SimHei" w:hAnsi="SimHei" w:cs="SimHei"/>
          <w:sz w:val="48"/>
          <w:szCs w:val="48"/>
        </w:rPr>
        <w:sectPr>
          <w:type w:val="continuous"/>
          <w:pgSz w:w="21824" w:h="31680"/>
          <w:pgMar w:top="1074" w:right="1620" w:bottom="0" w:left="1874" w:header="0" w:footer="0" w:gutter="0"/>
          <w:pgNumType w:start="3"/>
          <w:cols w:num="2" w:space="708" w:equalWidth="0">
            <w:col w:w="14563" w:space="100"/>
            <w:col w:w="3667" w:space="0"/>
          </w:cols>
        </w:sectPr>
      </w:pPr>
    </w:p>
    <w:p>
      <w:pPr>
        <w:spacing w:before="173" w:line="21" w:lineRule="exact"/>
      </w:pPr>
      <w:r>
        <w:drawing>
          <wp:inline distT="0" distB="0" distL="0" distR="0">
            <wp:extent cx="11611402" cy="1307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11402" cy="1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62" w:lineRule="auto"/>
      </w:pPr>
    </w:p>
    <w:p>
      <w:pPr>
        <w:spacing w:before="253" w:line="174" w:lineRule="auto"/>
        <w:ind w:left="3569" w:right="3552" w:hanging="105"/>
        <w:rPr>
          <w:rFonts w:ascii="SimSun" w:eastAsia="SimSun" w:hAnsi="SimSun" w:cs="SimSun"/>
          <w:sz w:val="78"/>
          <w:szCs w:val="78"/>
        </w:rPr>
      </w:pPr>
      <w:r>
        <w:rPr>
          <w:rFonts w:ascii="SimSun" w:eastAsia="SimSun" w:hAnsi="SimSun" w:cs="SimSun"/>
          <w:b/>
          <w:bCs/>
          <w:spacing w:val="42"/>
          <w:sz w:val="78"/>
          <w:szCs w:val="78"/>
        </w:rPr>
        <w:t>中</w:t>
      </w:r>
      <w:r>
        <w:rPr>
          <w:rFonts w:ascii="SimSun" w:eastAsia="SimSun" w:hAnsi="SimSun" w:cs="SimSun"/>
          <w:spacing w:val="353"/>
          <w:sz w:val="78"/>
          <w:szCs w:val="78"/>
        </w:rPr>
        <w:t xml:space="preserve"> </w:t>
      </w:r>
      <w:r>
        <w:rPr>
          <w:rFonts w:ascii="SimSun" w:eastAsia="SimSun" w:hAnsi="SimSun" w:cs="SimSun"/>
          <w:b/>
          <w:bCs/>
          <w:spacing w:val="42"/>
          <w:sz w:val="78"/>
          <w:szCs w:val="78"/>
        </w:rPr>
        <w:t>华</w:t>
      </w:r>
      <w:r>
        <w:rPr>
          <w:rFonts w:ascii="SimSun" w:eastAsia="SimSun" w:hAnsi="SimSun" w:cs="SimSun"/>
          <w:spacing w:val="304"/>
          <w:sz w:val="78"/>
          <w:szCs w:val="78"/>
        </w:rPr>
        <w:t xml:space="preserve"> </w:t>
      </w:r>
      <w:r>
        <w:rPr>
          <w:rFonts w:ascii="SimSun" w:eastAsia="SimSun" w:hAnsi="SimSun" w:cs="SimSun"/>
          <w:b/>
          <w:bCs/>
          <w:spacing w:val="42"/>
          <w:sz w:val="78"/>
          <w:szCs w:val="78"/>
        </w:rPr>
        <w:t>人</w:t>
      </w:r>
      <w:r>
        <w:rPr>
          <w:rFonts w:ascii="SimSun" w:eastAsia="SimSun" w:hAnsi="SimSun" w:cs="SimSun"/>
          <w:spacing w:val="351"/>
          <w:sz w:val="78"/>
          <w:szCs w:val="78"/>
        </w:rPr>
        <w:t xml:space="preserve"> </w:t>
      </w:r>
      <w:r>
        <w:rPr>
          <w:rFonts w:ascii="SimSun" w:eastAsia="SimSun" w:hAnsi="SimSun" w:cs="SimSun"/>
          <w:b/>
          <w:bCs/>
          <w:spacing w:val="42"/>
          <w:sz w:val="78"/>
          <w:szCs w:val="78"/>
        </w:rPr>
        <w:t>民共。和、国发布</w:t>
      </w:r>
      <w:r>
        <w:rPr>
          <w:rFonts w:ascii="SimSun" w:eastAsia="SimSun" w:hAnsi="SimSun" w:cs="SimSun"/>
          <w:sz w:val="78"/>
          <w:szCs w:val="78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78"/>
          <w:szCs w:val="78"/>
        </w:rPr>
        <w:t>国家质量监督检验检疫总局</w:t>
      </w:r>
    </w:p>
    <w:p>
      <w:pPr>
        <w:spacing w:line="174" w:lineRule="auto"/>
        <w:rPr>
          <w:rFonts w:ascii="SimSun" w:eastAsia="SimSun" w:hAnsi="SimSun" w:cs="SimSun"/>
          <w:sz w:val="78"/>
          <w:szCs w:val="78"/>
        </w:rPr>
        <w:sectPr>
          <w:type w:val="continuous"/>
          <w:pgSz w:w="21824" w:h="31680"/>
          <w:pgMar w:top="1074" w:right="1620" w:bottom="0" w:left="1874" w:header="0" w:footer="0" w:gutter="0"/>
          <w:pgNumType w:start="4"/>
          <w:cols w:num="1" w:space="708" w:equalWidth="0">
            <w:col w:w="18330" w:space="0"/>
          </w:cols>
        </w:sectPr>
      </w:pPr>
    </w:p>
    <w:p>
      <w:pPr>
        <w:spacing w:before="77" w:line="226" w:lineRule="auto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5"/>
          <w:sz w:val="38"/>
          <w:szCs w:val="38"/>
        </w:rPr>
        <w:t>SN/T</w:t>
      </w:r>
      <w:r>
        <w:rPr>
          <w:rFonts w:ascii="SimSun" w:eastAsia="SimSun" w:hAnsi="SimSun" w:cs="SimSun"/>
          <w:spacing w:val="46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38"/>
          <w:szCs w:val="38"/>
        </w:rPr>
        <w:t>2426—2010</w:t>
      </w: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spacing w:before="185" w:line="224" w:lineRule="auto"/>
        <w:ind w:left="6785"/>
        <w:rPr>
          <w:rFonts w:ascii="SimHei" w:eastAsia="SimHei" w:hAnsi="SimHei" w:cs="SimHei"/>
          <w:sz w:val="57"/>
          <w:szCs w:val="57"/>
        </w:rPr>
      </w:pPr>
      <w:r>
        <w:rPr>
          <w:rFonts w:ascii="SimHei" w:eastAsia="SimHei" w:hAnsi="SimHei" w:cs="SimHei"/>
          <w:b/>
          <w:bCs/>
          <w:spacing w:val="-15"/>
          <w:sz w:val="57"/>
          <w:szCs w:val="57"/>
        </w:rPr>
        <w:t>前</w:t>
      </w:r>
      <w:r>
        <w:rPr>
          <w:rFonts w:ascii="SimHei" w:eastAsia="SimHei" w:hAnsi="SimHei" w:cs="SimHei"/>
          <w:spacing w:val="13"/>
          <w:sz w:val="57"/>
          <w:szCs w:val="57"/>
        </w:rPr>
        <w:t xml:space="preserve">    </w:t>
      </w:r>
      <w:r>
        <w:rPr>
          <w:rFonts w:ascii="SimHei" w:eastAsia="SimHei" w:hAnsi="SimHei" w:cs="SimHei"/>
          <w:b/>
          <w:bCs/>
          <w:spacing w:val="-15"/>
          <w:sz w:val="57"/>
          <w:szCs w:val="57"/>
        </w:rPr>
        <w:t>言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spacing w:before="124" w:line="221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"/>
          <w:sz w:val="38"/>
          <w:szCs w:val="38"/>
        </w:rPr>
        <w:t>本标准的附录</w:t>
      </w:r>
      <w:r>
        <w:rPr>
          <w:rFonts w:ascii="SimSun" w:eastAsia="SimSun" w:hAnsi="SimSun" w:cs="SimSun"/>
          <w:spacing w:val="-68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38"/>
          <w:szCs w:val="38"/>
        </w:rPr>
        <w:t>A</w:t>
      </w:r>
      <w:r>
        <w:rPr>
          <w:rFonts w:ascii="Times New Roman" w:eastAsia="Times New Roman" w:hAnsi="Times New Roman" w:cs="Times New Roman"/>
          <w:spacing w:val="5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5"/>
          <w:sz w:val="38"/>
          <w:szCs w:val="38"/>
        </w:rPr>
        <w:t>为资料性附录。</w:t>
      </w:r>
    </w:p>
    <w:p>
      <w:pPr>
        <w:spacing w:before="142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本标准由国家认证认可监督管理委员会提出并归口。</w:t>
      </w:r>
    </w:p>
    <w:p>
      <w:pPr>
        <w:spacing w:before="97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4"/>
          <w:sz w:val="40"/>
          <w:szCs w:val="40"/>
        </w:rPr>
        <w:t>本标准起草单位：中华人民共和国湖北出入境检验检疫局。</w:t>
      </w:r>
    </w:p>
    <w:p>
      <w:pPr>
        <w:spacing w:before="95" w:line="576" w:lineRule="exac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4"/>
          <w:position w:val="11"/>
          <w:sz w:val="40"/>
          <w:szCs w:val="40"/>
        </w:rPr>
        <w:t>本标准主要起草人：林雁飞、赵晓亚、胡小钟、王鹏、李晶、付晓芳。</w:t>
      </w:r>
    </w:p>
    <w:p>
      <w:pPr>
        <w:spacing w:before="1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本标准系首次发布的出入境检验检疫行业标准。</w:t>
      </w:r>
    </w:p>
    <w:p>
      <w:pPr>
        <w:spacing w:line="220" w:lineRule="auto"/>
        <w:rPr>
          <w:rFonts w:ascii="SimSun" w:eastAsia="SimSun" w:hAnsi="SimSun" w:cs="SimSun"/>
          <w:sz w:val="40"/>
          <w:szCs w:val="40"/>
        </w:rPr>
        <w:sectPr>
          <w:footerReference w:type="default" r:id="rId7"/>
          <w:pgSz w:w="21824" w:h="31680"/>
          <w:pgMar w:top="2563" w:right="2139" w:bottom="2382" w:left="3046" w:header="0" w:footer="2194" w:gutter="0"/>
          <w:pgNumType w:start="5"/>
          <w:cols w:space="708"/>
        </w:sectPr>
      </w:pPr>
    </w:p>
    <w:p>
      <w:pPr>
        <w:spacing w:before="84" w:line="227" w:lineRule="auto"/>
        <w:ind w:left="1441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9"/>
          <w:sz w:val="42"/>
          <w:szCs w:val="42"/>
        </w:rPr>
        <w:t>SN/T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42"/>
          <w:szCs w:val="42"/>
        </w:rPr>
        <w:t>2426—2010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72" w:line="875" w:lineRule="exact"/>
        <w:ind w:left="4368"/>
        <w:rPr>
          <w:rFonts w:ascii="SimHei" w:eastAsia="SimHei" w:hAnsi="SimHei" w:cs="SimHei"/>
          <w:sz w:val="53"/>
          <w:szCs w:val="53"/>
        </w:rPr>
      </w:pPr>
      <w:r>
        <w:rPr>
          <w:rFonts w:ascii="SimHei" w:eastAsia="SimHei" w:hAnsi="SimHei" w:cs="SimHei"/>
          <w:spacing w:val="57"/>
          <w:position w:val="24"/>
          <w:sz w:val="53"/>
          <w:szCs w:val="53"/>
        </w:rPr>
        <w:t>进出口粮谷中桔霉素含量检测方法</w:t>
      </w:r>
    </w:p>
    <w:p>
      <w:pPr>
        <w:spacing w:before="2" w:line="221" w:lineRule="auto"/>
        <w:ind w:left="7353"/>
        <w:rPr>
          <w:rFonts w:ascii="SimHei" w:eastAsia="SimHei" w:hAnsi="SimHei" w:cs="SimHei"/>
          <w:sz w:val="53"/>
          <w:szCs w:val="53"/>
        </w:rPr>
      </w:pPr>
      <w:r>
        <w:rPr>
          <w:rFonts w:ascii="SimHei" w:eastAsia="SimHei" w:hAnsi="SimHei" w:cs="SimHei"/>
          <w:spacing w:val="38"/>
          <w:sz w:val="53"/>
          <w:szCs w:val="53"/>
        </w:rPr>
        <w:t>液相色谱法</w:t>
      </w: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123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5"/>
          <w:sz w:val="38"/>
          <w:szCs w:val="38"/>
        </w:rPr>
        <w:t>1</w:t>
      </w:r>
      <w:r>
        <w:rPr>
          <w:rFonts w:ascii="SimHei" w:eastAsia="SimHei" w:hAnsi="SimHei" w:cs="SimHei"/>
          <w:spacing w:val="2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38"/>
          <w:szCs w:val="38"/>
        </w:rPr>
        <w:t>范围</w:t>
      </w:r>
    </w:p>
    <w:p>
      <w:pPr>
        <w:pStyle w:val="BodyText"/>
        <w:spacing w:line="347" w:lineRule="auto"/>
      </w:pPr>
    </w:p>
    <w:p>
      <w:pPr>
        <w:spacing w:before="130" w:line="221" w:lineRule="auto"/>
        <w:ind w:left="80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本标准规定了进出口粮谷中桔霉素含量液相色谱检测方法。</w:t>
      </w:r>
    </w:p>
    <w:p>
      <w:pPr>
        <w:spacing w:before="117" w:line="221" w:lineRule="auto"/>
        <w:ind w:left="80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6"/>
          <w:sz w:val="40"/>
          <w:szCs w:val="40"/>
        </w:rPr>
        <w:t>本标准适用于进出口大米、大麦、燕麦、小麦中桔霉素含量的检测。</w:t>
      </w:r>
    </w:p>
    <w:p>
      <w:pPr>
        <w:pStyle w:val="BodyText"/>
        <w:spacing w:line="261" w:lineRule="auto"/>
      </w:pPr>
    </w:p>
    <w:p>
      <w:pPr>
        <w:spacing w:before="124" w:line="223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3"/>
          <w:sz w:val="38"/>
          <w:szCs w:val="38"/>
        </w:rPr>
        <w:t>2</w:t>
      </w:r>
      <w:r>
        <w:rPr>
          <w:rFonts w:ascii="SimHei" w:eastAsia="SimHei" w:hAnsi="SimHei" w:cs="SimHei"/>
          <w:spacing w:val="1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38"/>
          <w:szCs w:val="38"/>
        </w:rPr>
        <w:t>方法提要</w:t>
      </w:r>
    </w:p>
    <w:p>
      <w:pPr>
        <w:pStyle w:val="BodyText"/>
        <w:spacing w:line="330" w:lineRule="auto"/>
      </w:pPr>
    </w:p>
    <w:p>
      <w:pPr>
        <w:spacing w:before="131"/>
        <w:ind w:right="185" w:firstLine="80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6"/>
          <w:sz w:val="40"/>
          <w:szCs w:val="40"/>
        </w:rPr>
        <w:t>用乙腈-异丙醇-水的混合溶液提取试样中桔霉素，</w:t>
      </w:r>
      <w:r>
        <w:rPr>
          <w:rFonts w:ascii="Times New Roman" w:eastAsia="Times New Roman" w:hAnsi="Times New Roman" w:cs="Times New Roman"/>
          <w:spacing w:val="-16"/>
          <w:sz w:val="40"/>
          <w:szCs w:val="40"/>
        </w:rPr>
        <w:t>Cia</w:t>
      </w:r>
      <w:r>
        <w:rPr>
          <w:rFonts w:ascii="SimSun" w:eastAsia="SimSun" w:hAnsi="SimSun" w:cs="SimSun"/>
          <w:spacing w:val="-16"/>
          <w:sz w:val="40"/>
          <w:szCs w:val="40"/>
        </w:rPr>
        <w:t>固相萃取小柱净化，用配荧光检测器的液相色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7"/>
          <w:sz w:val="40"/>
          <w:szCs w:val="40"/>
        </w:rPr>
        <w:t>谱仪测定，外标法定量。</w:t>
      </w:r>
    </w:p>
    <w:p>
      <w:pPr>
        <w:pStyle w:val="BodyText"/>
        <w:spacing w:line="294" w:lineRule="auto"/>
      </w:pPr>
    </w:p>
    <w:p>
      <w:pPr>
        <w:spacing w:before="130" w:line="223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3</w:t>
      </w:r>
      <w:r>
        <w:rPr>
          <w:rFonts w:ascii="SimHei" w:eastAsia="SimHei" w:hAnsi="SimHei" w:cs="SimHei"/>
          <w:spacing w:val="192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试剂和材料</w:t>
      </w:r>
    </w:p>
    <w:p>
      <w:pPr>
        <w:pStyle w:val="BodyText"/>
        <w:spacing w:line="308" w:lineRule="auto"/>
      </w:pPr>
    </w:p>
    <w:p>
      <w:pPr>
        <w:spacing w:before="130" w:line="221" w:lineRule="auto"/>
        <w:ind w:left="80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0"/>
          <w:sz w:val="40"/>
          <w:szCs w:val="40"/>
        </w:rPr>
        <w:t>除另有规定外，试剂均为分析纯，水为蒸馏水或相当纯度的水。</w:t>
      </w:r>
    </w:p>
    <w:p>
      <w:pPr>
        <w:spacing w:before="100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0"/>
          <w:sz w:val="40"/>
          <w:szCs w:val="40"/>
        </w:rPr>
        <w:t>3.1  异丙醇：色谱纯。</w:t>
      </w:r>
    </w:p>
    <w:p>
      <w:pPr>
        <w:spacing w:before="137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6"/>
          <w:sz w:val="40"/>
          <w:szCs w:val="40"/>
        </w:rPr>
        <w:t>3.2</w:t>
      </w:r>
      <w:r>
        <w:rPr>
          <w:rFonts w:ascii="SimSun" w:eastAsia="SimSun" w:hAnsi="SimSun" w:cs="SimSun"/>
          <w:spacing w:val="11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26"/>
          <w:sz w:val="40"/>
          <w:szCs w:val="40"/>
        </w:rPr>
        <w:t>乙腈：色谱纯。</w:t>
      </w:r>
    </w:p>
    <w:p>
      <w:pPr>
        <w:spacing w:before="100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1"/>
          <w:sz w:val="40"/>
          <w:szCs w:val="40"/>
        </w:rPr>
        <w:t>3.3  磷酸：优级纯。</w:t>
      </w:r>
    </w:p>
    <w:p>
      <w:pPr>
        <w:spacing w:before="116" w:line="214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3"/>
          <w:sz w:val="40"/>
          <w:szCs w:val="40"/>
        </w:rPr>
        <w:t>3.4</w:t>
      </w:r>
      <w:r>
        <w:rPr>
          <w:rFonts w:ascii="SimSun" w:eastAsia="SimSun" w:hAnsi="SimSun" w:cs="SimSun"/>
          <w:spacing w:val="19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"/>
          <w:sz w:val="40"/>
          <w:szCs w:val="40"/>
        </w:rPr>
        <w:t>提取溶剂：乙腈-异丙醇-水(35+10+5</w:t>
      </w:r>
      <w:r>
        <w:rPr>
          <w:rFonts w:ascii="SimSun" w:eastAsia="SimSun" w:hAnsi="SimSun" w:cs="SimSun"/>
          <w:spacing w:val="2"/>
          <w:sz w:val="40"/>
          <w:szCs w:val="40"/>
        </w:rPr>
        <w:t>5,体积比),用磷酸调</w:t>
      </w:r>
      <w:r>
        <w:rPr>
          <w:rFonts w:ascii="Times New Roman" w:eastAsia="Times New Roman" w:hAnsi="Times New Roman" w:cs="Times New Roman"/>
          <w:sz w:val="40"/>
          <w:szCs w:val="40"/>
        </w:rPr>
        <w:t>pH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为1.5。</w:t>
      </w:r>
    </w:p>
    <w:p>
      <w:pPr>
        <w:spacing w:before="179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 xml:space="preserve">3.5  磷酸溶液：取5.6 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8"/>
          <w:sz w:val="40"/>
          <w:szCs w:val="40"/>
        </w:rPr>
        <w:t xml:space="preserve">磷酸，以水定容至1000 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>mL</w:t>
      </w:r>
      <w:r>
        <w:rPr>
          <w:rFonts w:ascii="SimSun" w:eastAsia="SimSun" w:hAnsi="SimSun" w:cs="SimSun"/>
          <w:spacing w:val="-9"/>
          <w:sz w:val="40"/>
          <w:szCs w:val="40"/>
        </w:rPr>
        <w:t>。</w:t>
      </w:r>
    </w:p>
    <w:p>
      <w:pPr>
        <w:spacing w:before="68"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 xml:space="preserve">3.6  流动相：乙腈-异丙醇-0.08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mol/L</w:t>
      </w:r>
      <w:r>
        <w:rPr>
          <w:rFonts w:ascii="Times New Roman" w:eastAsia="Times New Roman" w:hAnsi="Times New Roman" w:cs="Times New Roman"/>
          <w:spacing w:val="9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磷酸(35+10+55,体积比)。</w:t>
      </w:r>
    </w:p>
    <w:p>
      <w:pPr>
        <w:spacing w:before="103" w:line="260" w:lineRule="auto"/>
        <w:ind w:right="1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3.7</w:t>
      </w:r>
      <w:r>
        <w:rPr>
          <w:rFonts w:ascii="SimSun" w:eastAsia="SimSun" w:hAnsi="SimSun" w:cs="SimSun"/>
          <w:spacing w:val="19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C₈  </w:t>
      </w:r>
      <w:r>
        <w:rPr>
          <w:rFonts w:ascii="SimSun" w:eastAsia="SimSun" w:hAnsi="SimSun" w:cs="SimSun"/>
          <w:sz w:val="40"/>
          <w:szCs w:val="40"/>
        </w:rPr>
        <w:t>固相萃取柱：500</w:t>
      </w:r>
      <w:r>
        <w:rPr>
          <w:rFonts w:ascii="Times New Roman" w:eastAsia="Times New Roman" w:hAnsi="Times New Roman" w:cs="Times New Roman"/>
          <w:sz w:val="40"/>
          <w:szCs w:val="40"/>
        </w:rPr>
        <w:t>mg,3   mL,</w:t>
      </w:r>
      <w:r>
        <w:rPr>
          <w:rFonts w:ascii="SimSun" w:eastAsia="SimSun" w:hAnsi="SimSun" w:cs="SimSun"/>
          <w:sz w:val="40"/>
          <w:szCs w:val="40"/>
        </w:rPr>
        <w:t>或相当者。使用前分别用</w:t>
      </w:r>
      <w:r>
        <w:rPr>
          <w:rFonts w:ascii="SimSun" w:eastAsia="SimSun" w:hAnsi="SimSun" w:cs="SimSun"/>
          <w:spacing w:val="-1"/>
          <w:sz w:val="40"/>
          <w:szCs w:val="40"/>
        </w:rPr>
        <w:t>5</w:t>
      </w:r>
      <w:r>
        <w:rPr>
          <w:rFonts w:ascii="SimSun" w:eastAsia="SimSun" w:hAnsi="SimSun" w:cs="SimSun"/>
          <w:spacing w:val="-12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甲醇和5</w:t>
      </w:r>
      <w:r>
        <w:rPr>
          <w:rFonts w:ascii="SimSun" w:eastAsia="SimSun" w:hAnsi="SimSun" w:cs="SimSun"/>
          <w:spacing w:val="-12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1"/>
          <w:sz w:val="40"/>
          <w:szCs w:val="40"/>
        </w:rPr>
        <w:t>水预淋洗并保持柱体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4"/>
          <w:sz w:val="40"/>
          <w:szCs w:val="40"/>
        </w:rPr>
        <w:t>湿润。</w:t>
      </w:r>
    </w:p>
    <w:p>
      <w:pPr>
        <w:spacing w:before="69" w:line="214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3.8</w:t>
      </w:r>
      <w:r>
        <w:rPr>
          <w:rFonts w:ascii="SimSun" w:eastAsia="SimSun" w:hAnsi="SimSun" w:cs="SimSun"/>
          <w:spacing w:val="17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桔霉素标准物质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 xml:space="preserve">(citrinin,Ci₃H₄O₃,CAS      </w:t>
      </w:r>
      <w:r>
        <w:rPr>
          <w:rFonts w:ascii="SimSun" w:eastAsia="SimSun" w:hAnsi="SimSun" w:cs="SimSun"/>
          <w:spacing w:val="-1"/>
          <w:sz w:val="40"/>
          <w:szCs w:val="40"/>
        </w:rPr>
        <w:t>编号：518-75-2):</w:t>
      </w:r>
      <w:r>
        <w:rPr>
          <w:rFonts w:ascii="SimSun" w:eastAsia="SimSun" w:hAnsi="SimSun" w:cs="SimSun"/>
          <w:spacing w:val="-2"/>
          <w:sz w:val="40"/>
          <w:szCs w:val="40"/>
        </w:rPr>
        <w:t>纯度大于等于97%。</w:t>
      </w:r>
    </w:p>
    <w:p>
      <w:pPr>
        <w:spacing w:before="132" w:line="214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9"/>
          <w:sz w:val="40"/>
          <w:szCs w:val="40"/>
        </w:rPr>
        <w:t>3.9</w:t>
      </w:r>
      <w:r>
        <w:rPr>
          <w:rFonts w:ascii="SimSun" w:eastAsia="SimSun" w:hAnsi="SimSun" w:cs="SimSun"/>
          <w:spacing w:val="19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9"/>
          <w:sz w:val="40"/>
          <w:szCs w:val="40"/>
        </w:rPr>
        <w:t>桔霉素标准储备液：称取适量桔霉素标准物质，用乙腈溶解并定容至1.0</w:t>
      </w:r>
      <w:r>
        <w:rPr>
          <w:rFonts w:ascii="SimSun" w:eastAsia="SimSun" w:hAnsi="SimSun" w:cs="SimSun"/>
          <w:spacing w:val="-9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mg</w:t>
      </w:r>
      <w:r>
        <w:rPr>
          <w:rFonts w:ascii="Times New Roman" w:eastAsia="Times New Roman" w:hAnsi="Times New Roman" w:cs="Times New Roman"/>
          <w:spacing w:val="9"/>
          <w:sz w:val="40"/>
          <w:szCs w:val="40"/>
        </w:rPr>
        <w:t>/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9"/>
          <w:sz w:val="40"/>
          <w:szCs w:val="40"/>
        </w:rPr>
        <w:t>,0℃</w:t>
      </w:r>
      <w:r>
        <w:rPr>
          <w:rFonts w:ascii="SimSun" w:eastAsia="SimSun" w:hAnsi="SimSun" w:cs="SimSun"/>
          <w:spacing w:val="9"/>
          <w:sz w:val="40"/>
          <w:szCs w:val="40"/>
        </w:rPr>
        <w:t>~</w:t>
      </w:r>
      <w:r>
        <w:rPr>
          <w:rFonts w:ascii="Times New Roman" w:eastAsia="Times New Roman" w:hAnsi="Times New Roman" w:cs="Times New Roman"/>
          <w:spacing w:val="9"/>
          <w:sz w:val="40"/>
          <w:szCs w:val="40"/>
        </w:rPr>
        <w:t xml:space="preserve">4    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 xml:space="preserve">  ℃</w:t>
      </w:r>
    </w:p>
    <w:p>
      <w:pPr>
        <w:spacing w:before="158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4"/>
          <w:sz w:val="40"/>
          <w:szCs w:val="40"/>
        </w:rPr>
        <w:t>保存。</w:t>
      </w:r>
    </w:p>
    <w:p>
      <w:pPr>
        <w:spacing w:before="91" w:line="245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3.10</w:t>
      </w:r>
      <w:r>
        <w:rPr>
          <w:rFonts w:ascii="SimSun" w:eastAsia="SimSun" w:hAnsi="SimSun" w:cs="SimSun"/>
          <w:spacing w:val="19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桔霉素标准工作液：根据需要用流动相将标准储备液稀释成25</w:t>
      </w:r>
      <w:r>
        <w:rPr>
          <w:rFonts w:ascii="SimSun" w:eastAsia="SimSun" w:hAnsi="SimSun" w:cs="SimSun"/>
          <w:spacing w:val="-9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ng/mL</w:t>
      </w:r>
      <w:r>
        <w:rPr>
          <w:rFonts w:ascii="Times New Roman" w:eastAsia="Times New Roman" w:hAnsi="Times New Roman" w:cs="Times New Roman"/>
          <w:spacing w:val="-5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、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50 ng/mL</w:t>
      </w:r>
      <w:r>
        <w:rPr>
          <w:rFonts w:ascii="Times New Roman" w:eastAsia="Times New Roman" w:hAnsi="Times New Roman" w:cs="Times New Roman"/>
          <w:spacing w:val="-5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、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100 ng/mL</w:t>
      </w:r>
      <w:r>
        <w:rPr>
          <w:rFonts w:ascii="SimSun" w:eastAsia="SimSun" w:hAnsi="SimSun" w:cs="SimSun"/>
          <w:spacing w:val="-3"/>
          <w:sz w:val="40"/>
          <w:szCs w:val="40"/>
        </w:rPr>
        <w:t>、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500</w:t>
      </w:r>
      <w:r>
        <w:rPr>
          <w:rFonts w:ascii="Times New Roman" w:eastAsia="Times New Roman" w:hAnsi="Times New Roman" w:cs="Times New Roman"/>
          <w:spacing w:val="8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ng/mL</w:t>
      </w:r>
      <w:r>
        <w:rPr>
          <w:rFonts w:ascii="Times New Roman" w:eastAsia="Times New Roman" w:hAnsi="Times New Roman" w:cs="Times New Roman"/>
          <w:spacing w:val="-5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、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1000</w:t>
      </w:r>
      <w:r>
        <w:rPr>
          <w:rFonts w:ascii="Times New Roman" w:eastAsia="Times New Roman" w:hAnsi="Times New Roman" w:cs="Times New Roman"/>
          <w:spacing w:val="8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ng/mL </w:t>
      </w:r>
      <w:r>
        <w:rPr>
          <w:rFonts w:ascii="SimSun" w:eastAsia="SimSun" w:hAnsi="SimSun" w:cs="SimSun"/>
          <w:spacing w:val="-4"/>
          <w:sz w:val="40"/>
          <w:szCs w:val="40"/>
        </w:rPr>
        <w:t>的标准工作溶液。</w:t>
      </w:r>
    </w:p>
    <w:p>
      <w:pPr>
        <w:spacing w:before="155" w:line="214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8"/>
          <w:sz w:val="40"/>
          <w:szCs w:val="40"/>
        </w:rPr>
        <w:t xml:space="preserve">3.11  玻璃纤维滤纸：直径11 </w:t>
      </w:r>
      <w:r>
        <w:rPr>
          <w:rFonts w:ascii="Times New Roman" w:eastAsia="Times New Roman" w:hAnsi="Times New Roman" w:cs="Times New Roman"/>
          <w:spacing w:val="-18"/>
          <w:sz w:val="40"/>
          <w:szCs w:val="40"/>
        </w:rPr>
        <w:t xml:space="preserve">cm, </w:t>
      </w:r>
      <w:r>
        <w:rPr>
          <w:rFonts w:ascii="SimSun" w:eastAsia="SimSun" w:hAnsi="SimSun" w:cs="SimSun"/>
          <w:spacing w:val="-18"/>
          <w:sz w:val="40"/>
          <w:szCs w:val="40"/>
        </w:rPr>
        <w:t>孔径1.5</w:t>
      </w:r>
      <w:r>
        <w:rPr>
          <w:rFonts w:ascii="SimSun" w:eastAsia="SimSun" w:hAnsi="SimSun" w:cs="SimSun"/>
          <w:spacing w:val="11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8"/>
          <w:sz w:val="40"/>
          <w:szCs w:val="40"/>
        </w:rPr>
        <w:t>μ</w:t>
      </w:r>
      <w:r>
        <w:rPr>
          <w:rFonts w:ascii="Times New Roman" w:eastAsia="Times New Roman" w:hAnsi="Times New Roman" w:cs="Times New Roman"/>
          <w:spacing w:val="-18"/>
          <w:sz w:val="40"/>
          <w:szCs w:val="40"/>
        </w:rPr>
        <w:t>m</w:t>
      </w:r>
      <w:r>
        <w:rPr>
          <w:rFonts w:ascii="SimSun" w:eastAsia="SimSun" w:hAnsi="SimSun" w:cs="SimSun"/>
          <w:spacing w:val="-18"/>
          <w:sz w:val="40"/>
          <w:szCs w:val="40"/>
        </w:rPr>
        <w:t>。</w:t>
      </w:r>
    </w:p>
    <w:p>
      <w:pPr>
        <w:pStyle w:val="BodyText"/>
        <w:spacing w:line="281" w:lineRule="auto"/>
      </w:pPr>
    </w:p>
    <w:p>
      <w:pPr>
        <w:spacing w:before="124" w:line="221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2"/>
          <w:sz w:val="38"/>
          <w:szCs w:val="38"/>
        </w:rPr>
        <w:t>4</w:t>
      </w:r>
      <w:r>
        <w:rPr>
          <w:rFonts w:ascii="SimSun" w:eastAsia="SimSun" w:hAnsi="SimSun" w:cs="SimSun"/>
          <w:spacing w:val="29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2"/>
          <w:sz w:val="38"/>
          <w:szCs w:val="38"/>
        </w:rPr>
        <w:t>仪器和设备</w:t>
      </w:r>
    </w:p>
    <w:p>
      <w:pPr>
        <w:pStyle w:val="BodyText"/>
        <w:spacing w:line="295" w:lineRule="auto"/>
      </w:pPr>
    </w:p>
    <w:p>
      <w:pPr>
        <w:spacing w:before="130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5"/>
          <w:sz w:val="40"/>
          <w:szCs w:val="40"/>
        </w:rPr>
        <w:t>4.1  高效液相色谱仪：配有荧光检测器。</w:t>
      </w:r>
    </w:p>
    <w:p>
      <w:pPr>
        <w:spacing w:before="156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4.2</w:t>
      </w:r>
      <w:r>
        <w:rPr>
          <w:rFonts w:ascii="SimSun" w:eastAsia="SimSun" w:hAnsi="SimSun" w:cs="SimSun"/>
          <w:spacing w:val="19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sz w:val="40"/>
          <w:szCs w:val="40"/>
        </w:rPr>
        <w:t>振荡器。</w:t>
      </w:r>
    </w:p>
    <w:p>
      <w:pPr>
        <w:spacing w:before="117" w:line="221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4.3</w:t>
      </w:r>
      <w:r>
        <w:rPr>
          <w:rFonts w:ascii="SimSun" w:eastAsia="SimSun" w:hAnsi="SimSun" w:cs="SimSun"/>
          <w:spacing w:val="29"/>
          <w:sz w:val="38"/>
          <w:szCs w:val="38"/>
        </w:rPr>
        <w:t xml:space="preserve">  </w:t>
      </w:r>
      <w:r>
        <w:rPr>
          <w:rFonts w:ascii="SimSun" w:eastAsia="SimSun" w:hAnsi="SimSun" w:cs="SimSun"/>
          <w:sz w:val="38"/>
          <w:szCs w:val="38"/>
        </w:rPr>
        <w:t xml:space="preserve">离心机：4000 </w:t>
      </w:r>
      <w:r>
        <w:rPr>
          <w:rFonts w:ascii="Times New Roman" w:eastAsia="Times New Roman" w:hAnsi="Times New Roman" w:cs="Times New Roman"/>
          <w:sz w:val="38"/>
          <w:szCs w:val="38"/>
        </w:rPr>
        <w:t>r/min</w:t>
      </w:r>
      <w:r>
        <w:rPr>
          <w:rFonts w:ascii="SimSun" w:eastAsia="SimSun" w:hAnsi="SimSun" w:cs="SimSun"/>
          <w:sz w:val="38"/>
          <w:szCs w:val="38"/>
        </w:rPr>
        <w:t>。</w:t>
      </w:r>
    </w:p>
    <w:p>
      <w:pPr>
        <w:spacing w:before="144" w:line="221" w:lineRule="auto"/>
        <w:rPr>
          <w:rFonts w:ascii="SimSun" w:eastAsia="SimSun" w:hAnsi="SimSun" w:cs="SimSun"/>
          <w:sz w:val="38"/>
          <w:szCs w:val="38"/>
        </w:rPr>
        <w:sectPr>
          <w:footerReference w:type="default" r:id="rId8"/>
          <w:pgSz w:w="21824" w:h="31680"/>
          <w:pgMar w:top="2603" w:right="2014" w:bottom="2386" w:left="2194" w:header="0" w:footer="2133" w:gutter="0"/>
          <w:pgNumType w:start="6"/>
          <w:cols w:space="708"/>
        </w:sectPr>
      </w:pPr>
      <w:r>
        <w:rPr>
          <w:rFonts w:ascii="SimSun" w:eastAsia="SimSun" w:hAnsi="SimSun" w:cs="SimSun"/>
          <w:spacing w:val="8"/>
          <w:sz w:val="38"/>
          <w:szCs w:val="38"/>
        </w:rPr>
        <w:t>4.4  真空固相萃取装置。</w:t>
      </w:r>
    </w:p>
    <w:p>
      <w:pPr>
        <w:spacing w:before="120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4.5</w:t>
      </w:r>
      <w:r>
        <w:rPr>
          <w:rFonts w:ascii="SimSun" w:eastAsia="SimSun" w:hAnsi="SimSun" w:cs="SimSun"/>
          <w:spacing w:val="18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氮吹仪。</w:t>
      </w:r>
    </w:p>
    <w:p>
      <w:pPr>
        <w:spacing w:before="101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4.6</w:t>
      </w:r>
      <w:r>
        <w:rPr>
          <w:rFonts w:ascii="SimSun" w:eastAsia="SimSun" w:hAnsi="SimSun" w:cs="SimSun"/>
          <w:spacing w:val="19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分析天平。</w:t>
      </w:r>
    </w:p>
    <w:p>
      <w:pPr>
        <w:pStyle w:val="BodyText"/>
        <w:spacing w:line="276" w:lineRule="auto"/>
      </w:pPr>
    </w:p>
    <w:p>
      <w:pPr>
        <w:spacing w:before="123" w:line="223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1"/>
          <w:sz w:val="38"/>
          <w:szCs w:val="38"/>
        </w:rPr>
        <w:t>5</w:t>
      </w:r>
      <w:r>
        <w:rPr>
          <w:rFonts w:ascii="SimHei" w:eastAsia="SimHei" w:hAnsi="SimHei" w:cs="SimHei"/>
          <w:spacing w:val="11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1"/>
          <w:sz w:val="38"/>
          <w:szCs w:val="38"/>
        </w:rPr>
        <w:t>试样制备和保存</w:t>
      </w:r>
    </w:p>
    <w:p>
      <w:pPr>
        <w:pStyle w:val="BodyText"/>
        <w:spacing w:line="291" w:lineRule="auto"/>
      </w:pPr>
    </w:p>
    <w:p>
      <w:pPr>
        <w:spacing w:before="131" w:line="663" w:lineRule="exact"/>
        <w:ind w:left="80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position w:val="19"/>
          <w:sz w:val="40"/>
          <w:szCs w:val="40"/>
        </w:rPr>
        <w:t xml:space="preserve">取有代表性样品500 </w:t>
      </w:r>
      <w:r>
        <w:rPr>
          <w:rFonts w:ascii="Times New Roman" w:eastAsia="Times New Roman" w:hAnsi="Times New Roman" w:cs="Times New Roman"/>
          <w:spacing w:val="1"/>
          <w:position w:val="19"/>
          <w:sz w:val="40"/>
          <w:szCs w:val="40"/>
        </w:rPr>
        <w:t xml:space="preserve">g, </w:t>
      </w:r>
      <w:r>
        <w:rPr>
          <w:rFonts w:ascii="SimSun" w:eastAsia="SimSun" w:hAnsi="SimSun" w:cs="SimSun"/>
          <w:spacing w:val="1"/>
          <w:position w:val="19"/>
          <w:sz w:val="40"/>
          <w:szCs w:val="40"/>
        </w:rPr>
        <w:t>用粉碎机粉碎并通过83</w:t>
      </w:r>
      <w:r>
        <w:rPr>
          <w:rFonts w:ascii="SimSun" w:eastAsia="SimSun" w:hAnsi="SimSun" w:cs="SimSun"/>
          <w:position w:val="19"/>
          <w:sz w:val="40"/>
          <w:szCs w:val="40"/>
        </w:rPr>
        <w:t>0μ</w:t>
      </w:r>
      <w:r>
        <w:rPr>
          <w:rFonts w:ascii="Times New Roman" w:eastAsia="Times New Roman" w:hAnsi="Times New Roman" w:cs="Times New Roman"/>
          <w:position w:val="19"/>
          <w:sz w:val="40"/>
          <w:szCs w:val="40"/>
        </w:rPr>
        <w:t xml:space="preserve">m </w:t>
      </w:r>
      <w:r>
        <w:rPr>
          <w:rFonts w:ascii="SimSun" w:eastAsia="SimSun" w:hAnsi="SimSun" w:cs="SimSun"/>
          <w:spacing w:val="-37"/>
          <w:position w:val="19"/>
          <w:sz w:val="40"/>
          <w:szCs w:val="40"/>
        </w:rPr>
        <w:t>圆孔筛，混匀，分成两份，装入洁净容器内，密</w:t>
      </w:r>
    </w:p>
    <w:p>
      <w:pPr>
        <w:spacing w:before="1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封并标识。在制样的操作过程中，应防止样品受到污染或发生残留物含量的变化。</w:t>
      </w:r>
    </w:p>
    <w:p>
      <w:pPr>
        <w:spacing w:line="221" w:lineRule="auto"/>
        <w:rPr>
          <w:rFonts w:ascii="SimSun" w:eastAsia="SimSun" w:hAnsi="SimSun" w:cs="SimSun"/>
          <w:sz w:val="40"/>
          <w:szCs w:val="40"/>
        </w:rPr>
        <w:sectPr>
          <w:footerReference w:type="default" r:id="rId9"/>
          <w:type w:val="nextPage"/>
          <w:pgSz w:w="21824" w:h="31680"/>
          <w:pgMar w:top="2603" w:right="2014" w:bottom="2386" w:left="2194" w:header="0" w:footer="2133" w:gutter="0"/>
          <w:pgNumType w:start="7"/>
          <w:cols w:space="708"/>
          <w:titlePg w:val="0"/>
        </w:sectPr>
      </w:pPr>
    </w:p>
    <w:p>
      <w:pPr>
        <w:spacing w:before="74" w:line="226" w:lineRule="auto"/>
        <w:ind w:left="5"/>
        <w:rPr>
          <w:rFonts w:ascii="SimSun" w:eastAsia="SimSun" w:hAnsi="SimSun" w:cs="SimSun"/>
          <w:sz w:val="36"/>
          <w:szCs w:val="36"/>
        </w:rPr>
      </w:pPr>
      <w:r>
        <w:pict>
          <v:rect id="_x0000_s1025" style="width:170.55pt;height:1.05pt;margin-top:545.59pt;margin-left:395.31pt;mso-position-horizontal-relative:page;mso-position-vertical-relative:page;position:absolute;z-index:251660288" o:allowincell="f" filled="t" fillcolor="black" stroked="f"/>
        </w:pict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5061167</wp:posOffset>
            </wp:positionH>
            <wp:positionV relativeFrom="page">
              <wp:posOffset>8498140</wp:posOffset>
            </wp:positionV>
            <wp:extent cx="3815726" cy="1136398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5726" cy="1136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5020424</wp:posOffset>
            </wp:positionH>
            <wp:positionV relativeFrom="page">
              <wp:posOffset>9593903</wp:posOffset>
            </wp:positionV>
            <wp:extent cx="3884049" cy="14483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84049" cy="14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4"/>
          <w:sz w:val="36"/>
          <w:szCs w:val="36"/>
        </w:rPr>
        <w:t>SN/T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  </w:t>
      </w:r>
      <w:r>
        <w:rPr>
          <w:rFonts w:ascii="SimSun" w:eastAsia="SimSun" w:hAnsi="SimSun" w:cs="SimSun"/>
          <w:b/>
          <w:bCs/>
          <w:spacing w:val="-4"/>
          <w:sz w:val="36"/>
          <w:szCs w:val="36"/>
        </w:rPr>
        <w:t>2426—2010</w:t>
      </w:r>
    </w:p>
    <w:p>
      <w:pPr>
        <w:pStyle w:val="BodyText"/>
        <w:spacing w:line="356" w:lineRule="auto"/>
      </w:pPr>
    </w:p>
    <w:p>
      <w:pPr>
        <w:pStyle w:val="BodyText"/>
        <w:spacing w:line="357" w:lineRule="auto"/>
      </w:pPr>
    </w:p>
    <w:p>
      <w:pPr>
        <w:spacing w:before="130" w:line="223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6</w:t>
      </w:r>
      <w:r>
        <w:rPr>
          <w:rFonts w:ascii="SimHei" w:eastAsia="SimHei" w:hAnsi="SimHei" w:cs="SimHei"/>
          <w:spacing w:val="-6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测定步骤</w:t>
      </w:r>
    </w:p>
    <w:p>
      <w:pPr>
        <w:pStyle w:val="BodyText"/>
        <w:spacing w:line="301" w:lineRule="auto"/>
      </w:pPr>
    </w:p>
    <w:p>
      <w:pPr>
        <w:spacing w:before="130" w:line="223" w:lineRule="auto"/>
        <w:ind w:left="5"/>
        <w:outlineLvl w:val="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4"/>
          <w:sz w:val="40"/>
          <w:szCs w:val="40"/>
        </w:rPr>
        <w:t>6.1</w:t>
      </w:r>
      <w:r>
        <w:rPr>
          <w:rFonts w:ascii="SimHei" w:eastAsia="SimHei" w:hAnsi="SimHei" w:cs="SimHei"/>
          <w:spacing w:val="188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40"/>
          <w:szCs w:val="40"/>
        </w:rPr>
        <w:t>提取</w:t>
      </w:r>
    </w:p>
    <w:p>
      <w:pPr>
        <w:spacing w:before="31" w:line="282" w:lineRule="auto"/>
        <w:ind w:right="116" w:firstLine="831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8"/>
          <w:sz w:val="40"/>
          <w:szCs w:val="40"/>
        </w:rPr>
        <w:t>称取试样约5</w:t>
      </w:r>
      <w:r>
        <w:rPr>
          <w:rFonts w:ascii="SimSun" w:eastAsia="SimSun" w:hAnsi="SimSun" w:cs="SimSun"/>
          <w:spacing w:val="-10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>g</w:t>
      </w:r>
      <w:r>
        <w:rPr>
          <w:rFonts w:ascii="SimSun" w:eastAsia="SimSun" w:hAnsi="SimSun" w:cs="SimSun"/>
          <w:spacing w:val="8"/>
          <w:sz w:val="40"/>
          <w:szCs w:val="40"/>
        </w:rPr>
        <w:t>(精确至0.01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 xml:space="preserve">g) </w:t>
      </w:r>
      <w:r>
        <w:rPr>
          <w:rFonts w:ascii="SimSun" w:eastAsia="SimSun" w:hAnsi="SimSun" w:cs="SimSun"/>
          <w:spacing w:val="8"/>
          <w:sz w:val="40"/>
          <w:szCs w:val="40"/>
        </w:rPr>
        <w:t>于50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8"/>
          <w:sz w:val="40"/>
          <w:szCs w:val="40"/>
        </w:rPr>
        <w:t xml:space="preserve">离心管中，加10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-1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8"/>
          <w:sz w:val="40"/>
          <w:szCs w:val="40"/>
        </w:rPr>
        <w:t>提取溶剂(3.4),在振荡器上振荡提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4"/>
          <w:sz w:val="40"/>
          <w:szCs w:val="40"/>
        </w:rPr>
        <w:t>取30</w:t>
      </w:r>
      <w:r>
        <w:rPr>
          <w:rFonts w:ascii="SimSun" w:eastAsia="SimSun" w:hAnsi="SimSun" w:cs="SimSun"/>
          <w:spacing w:val="-10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-4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4"/>
          <w:sz w:val="40"/>
          <w:szCs w:val="40"/>
        </w:rPr>
        <w:t>。于3500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>r/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24"/>
          <w:sz w:val="40"/>
          <w:szCs w:val="40"/>
        </w:rPr>
        <w:t>离心4</w:t>
      </w:r>
      <w:r>
        <w:rPr>
          <w:rFonts w:ascii="SimSun" w:eastAsia="SimSun" w:hAnsi="SimSun" w:cs="SimSun"/>
          <w:spacing w:val="-10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4"/>
          <w:sz w:val="40"/>
          <w:szCs w:val="40"/>
        </w:rPr>
        <w:t>上清液转入另一离心管中。在残渣中再加入5</w:t>
      </w:r>
      <w:r>
        <w:rPr>
          <w:rFonts w:ascii="SimSun" w:eastAsia="SimSun" w:hAnsi="SimSun" w:cs="SimSun"/>
          <w:spacing w:val="-9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4"/>
          <w:sz w:val="40"/>
          <w:szCs w:val="40"/>
        </w:rPr>
        <w:t>提取溶剂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(3.4),重复上述操作，合并上清液。在提取液中加水至40</w:t>
      </w:r>
      <w:r>
        <w:rPr>
          <w:rFonts w:ascii="Times New Roman" w:eastAsia="Times New Roman" w:hAnsi="Times New Roman" w:cs="Times New Roman"/>
          <w:sz w:val="40"/>
          <w:szCs w:val="40"/>
        </w:rPr>
        <w:t>mL,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并用磷酸调</w:t>
      </w:r>
      <w:r>
        <w:rPr>
          <w:rFonts w:ascii="Times New Roman" w:eastAsia="Times New Roman" w:hAnsi="Times New Roman" w:cs="Times New Roman"/>
          <w:sz w:val="40"/>
          <w:szCs w:val="40"/>
        </w:rPr>
        <w:t>pH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为1.5,过</w:t>
      </w:r>
      <w:r>
        <w:rPr>
          <w:rFonts w:ascii="SimSun" w:eastAsia="SimSun" w:hAnsi="SimSun" w:cs="SimSun"/>
          <w:spacing w:val="-1"/>
          <w:sz w:val="40"/>
          <w:szCs w:val="40"/>
        </w:rPr>
        <w:t>玻璃纤维滤纸</w:t>
      </w:r>
    </w:p>
    <w:p>
      <w:pPr>
        <w:spacing w:before="1" w:line="218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(3.11),待净化。</w:t>
      </w:r>
    </w:p>
    <w:p>
      <w:pPr>
        <w:spacing w:before="145" w:line="222" w:lineRule="auto"/>
        <w:ind w:left="5"/>
        <w:outlineLvl w:val="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8"/>
          <w:sz w:val="40"/>
          <w:szCs w:val="40"/>
        </w:rPr>
        <w:t>6.2</w:t>
      </w:r>
      <w:r>
        <w:rPr>
          <w:rFonts w:ascii="SimSun" w:eastAsia="SimSun" w:hAnsi="SimSun" w:cs="SimSun"/>
          <w:spacing w:val="8"/>
          <w:sz w:val="40"/>
          <w:szCs w:val="40"/>
        </w:rPr>
        <w:t xml:space="preserve">  </w:t>
      </w:r>
      <w:r>
        <w:rPr>
          <w:rFonts w:ascii="SimSun" w:eastAsia="SimSun" w:hAnsi="SimSun" w:cs="SimSun"/>
          <w:b/>
          <w:bCs/>
          <w:spacing w:val="-8"/>
          <w:sz w:val="40"/>
          <w:szCs w:val="40"/>
        </w:rPr>
        <w:t>净化</w:t>
      </w:r>
    </w:p>
    <w:p>
      <w:pPr>
        <w:spacing w:before="53" w:line="662" w:lineRule="exact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position w:val="19"/>
          <w:sz w:val="40"/>
          <w:szCs w:val="40"/>
        </w:rPr>
        <w:t>将上述溶液过预淋洗好的C</w:t>
      </w:r>
      <w:r>
        <w:rPr>
          <w:rFonts w:ascii="Calibri" w:eastAsia="Calibri" w:hAnsi="Calibri" w:cs="Calibri"/>
          <w:spacing w:val="-3"/>
          <w:position w:val="19"/>
          <w:sz w:val="40"/>
          <w:szCs w:val="40"/>
        </w:rPr>
        <w:t>₈</w:t>
      </w:r>
      <w:r>
        <w:rPr>
          <w:rFonts w:ascii="Calibri" w:eastAsia="Calibri" w:hAnsi="Calibri" w:cs="Calibri"/>
          <w:spacing w:val="30"/>
          <w:position w:val="19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3"/>
          <w:position w:val="19"/>
          <w:sz w:val="40"/>
          <w:szCs w:val="40"/>
        </w:rPr>
        <w:t>固相萃取柱，用5</w:t>
      </w:r>
      <w:r>
        <w:rPr>
          <w:rFonts w:ascii="SimSun" w:eastAsia="SimSun" w:hAnsi="SimSun" w:cs="SimSun"/>
          <w:spacing w:val="-97"/>
          <w:position w:val="1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position w:val="19"/>
          <w:sz w:val="40"/>
          <w:szCs w:val="40"/>
        </w:rPr>
        <w:t>mL</w:t>
      </w:r>
      <w:r>
        <w:rPr>
          <w:rFonts w:ascii="SimSun" w:eastAsia="SimSun" w:hAnsi="SimSun" w:cs="SimSun"/>
          <w:spacing w:val="84"/>
          <w:position w:val="1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position w:val="19"/>
          <w:sz w:val="40"/>
          <w:szCs w:val="40"/>
        </w:rPr>
        <w:t>水</w:t>
      </w:r>
      <w:r>
        <w:rPr>
          <w:rFonts w:ascii="SimSun" w:eastAsia="SimSun" w:hAnsi="SimSun" w:cs="SimSun"/>
          <w:spacing w:val="-4"/>
          <w:position w:val="19"/>
          <w:sz w:val="40"/>
          <w:szCs w:val="40"/>
        </w:rPr>
        <w:t>淋洗柱子。待淋洗液全部流出柱子后，减压</w:t>
      </w:r>
    </w:p>
    <w:p>
      <w:pPr>
        <w:spacing w:before="2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抽干3</w:t>
      </w:r>
      <w:r>
        <w:rPr>
          <w:rFonts w:ascii="SimSun" w:eastAsia="SimSun" w:hAnsi="SimSun" w:cs="SimSun"/>
          <w:spacing w:val="-12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-45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。用</w:t>
      </w:r>
      <w:r>
        <w:rPr>
          <w:rFonts w:ascii="SimSun" w:eastAsia="SimSun" w:hAnsi="SimSun" w:cs="SimSun"/>
          <w:spacing w:val="-59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1</w:t>
      </w:r>
      <w:r>
        <w:rPr>
          <w:rFonts w:ascii="SimSun" w:eastAsia="SimSun" w:hAnsi="SimSun" w:cs="SimSun"/>
          <w:spacing w:val="-85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0</w:t>
      </w:r>
      <w:r>
        <w:rPr>
          <w:rFonts w:ascii="Times New Roman" w:eastAsia="Times New Roman" w:hAnsi="Times New Roman" w:cs="Times New Roman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66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甲醇以1.0</w:t>
      </w:r>
      <w:r>
        <w:rPr>
          <w:rFonts w:ascii="Times New Roman" w:eastAsia="Times New Roman" w:hAnsi="Times New Roman" w:cs="Times New Roman"/>
          <w:sz w:val="40"/>
          <w:szCs w:val="40"/>
        </w:rPr>
        <w:t>mL/mm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 </w:t>
      </w:r>
      <w:r>
        <w:rPr>
          <w:rFonts w:ascii="SimSun" w:eastAsia="SimSun" w:hAnsi="SimSun" w:cs="SimSun"/>
          <w:sz w:val="40"/>
          <w:szCs w:val="40"/>
        </w:rPr>
        <w:t>的速度洗脱，收集全部洗</w:t>
      </w:r>
      <w:r>
        <w:rPr>
          <w:rFonts w:ascii="SimSun" w:eastAsia="SimSun" w:hAnsi="SimSun" w:cs="SimSun"/>
          <w:spacing w:val="-1"/>
          <w:sz w:val="40"/>
          <w:szCs w:val="40"/>
        </w:rPr>
        <w:t>脱液，在40℃下，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N₂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吹干，再以</w:t>
      </w:r>
    </w:p>
    <w:p>
      <w:pPr>
        <w:spacing w:before="181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1.0mL  流动相溶解，过0.2μ</w:t>
      </w: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>m</w:t>
      </w:r>
      <w:r>
        <w:rPr>
          <w:rFonts w:ascii="SimSun" w:eastAsia="SimSun" w:hAnsi="SimSun" w:cs="SimSun"/>
          <w:spacing w:val="-10"/>
          <w:sz w:val="40"/>
          <w:szCs w:val="40"/>
        </w:rPr>
        <w:t>滤膜，供液相色谱测定。</w:t>
      </w:r>
    </w:p>
    <w:p>
      <w:pPr>
        <w:spacing w:before="55" w:line="226" w:lineRule="auto"/>
        <w:ind w:left="5"/>
        <w:outlineLvl w:val="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4"/>
          <w:sz w:val="40"/>
          <w:szCs w:val="40"/>
        </w:rPr>
        <w:t>6.3</w:t>
      </w:r>
      <w:r>
        <w:rPr>
          <w:rFonts w:ascii="SimHei" w:eastAsia="SimHei" w:hAnsi="SimHei" w:cs="SimHei"/>
          <w:spacing w:val="-4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40"/>
          <w:szCs w:val="40"/>
        </w:rPr>
        <w:t>测定</w:t>
      </w:r>
    </w:p>
    <w:p>
      <w:pPr>
        <w:spacing w:before="98" w:line="223" w:lineRule="auto"/>
        <w:ind w:left="5"/>
        <w:outlineLvl w:val="1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6.3.1</w:t>
      </w:r>
      <w:r>
        <w:rPr>
          <w:rFonts w:ascii="SimHei" w:eastAsia="SimHei" w:hAnsi="SimHei" w:cs="SimHei"/>
          <w:spacing w:val="3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液相色谱条件</w:t>
      </w:r>
    </w:p>
    <w:p>
      <w:pPr>
        <w:spacing w:before="18" w:line="214" w:lineRule="auto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 xml:space="preserve">a)     </w:t>
      </w:r>
      <w:r>
        <w:rPr>
          <w:rFonts w:ascii="SimSun" w:eastAsia="SimSun" w:hAnsi="SimSun" w:cs="SimSun"/>
          <w:spacing w:val="-6"/>
          <w:sz w:val="40"/>
          <w:szCs w:val="40"/>
        </w:rPr>
        <w:t>色谱柱：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 xml:space="preserve">C   </w:t>
      </w:r>
      <w:r>
        <w:rPr>
          <w:rFonts w:ascii="SimSun" w:eastAsia="SimSun" w:hAnsi="SimSun" w:cs="SimSun"/>
          <w:spacing w:val="-6"/>
          <w:sz w:val="40"/>
          <w:szCs w:val="40"/>
        </w:rPr>
        <w:t>柱，250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 xml:space="preserve">mm×4.6mm    </w:t>
      </w:r>
      <w:r>
        <w:rPr>
          <w:rFonts w:ascii="SimSun" w:eastAsia="SimSun" w:hAnsi="SimSun" w:cs="SimSun"/>
          <w:spacing w:val="-6"/>
          <w:sz w:val="40"/>
          <w:szCs w:val="40"/>
        </w:rPr>
        <w:t>(内径),粒径5μ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m,</w:t>
      </w:r>
      <w:r>
        <w:rPr>
          <w:rFonts w:ascii="SimSun" w:eastAsia="SimSun" w:hAnsi="SimSun" w:cs="SimSun"/>
          <w:spacing w:val="-6"/>
          <w:sz w:val="40"/>
          <w:szCs w:val="40"/>
        </w:rPr>
        <w:t>或相当者；</w:t>
      </w:r>
    </w:p>
    <w:p>
      <w:pPr>
        <w:spacing w:before="176" w:line="704" w:lineRule="exact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22"/>
          <w:sz w:val="40"/>
          <w:szCs w:val="40"/>
        </w:rPr>
        <w:t xml:space="preserve">b)    </w:t>
      </w:r>
      <w:r>
        <w:rPr>
          <w:rFonts w:ascii="SimSun" w:eastAsia="SimSun" w:hAnsi="SimSun" w:cs="SimSun"/>
          <w:spacing w:val="-2"/>
          <w:position w:val="22"/>
          <w:sz w:val="40"/>
          <w:szCs w:val="40"/>
        </w:rPr>
        <w:t xml:space="preserve">流动相：乙腈-异丙醇-0.08 </w:t>
      </w:r>
      <w:r>
        <w:rPr>
          <w:rFonts w:ascii="Times New Roman" w:eastAsia="Times New Roman" w:hAnsi="Times New Roman" w:cs="Times New Roman"/>
          <w:spacing w:val="-2"/>
          <w:position w:val="22"/>
          <w:sz w:val="40"/>
          <w:szCs w:val="40"/>
        </w:rPr>
        <w:t xml:space="preserve">mol/I  </w:t>
      </w:r>
      <w:r>
        <w:rPr>
          <w:rFonts w:ascii="SimSun" w:eastAsia="SimSun" w:hAnsi="SimSun" w:cs="SimSun"/>
          <w:spacing w:val="-2"/>
          <w:position w:val="22"/>
          <w:sz w:val="40"/>
          <w:szCs w:val="40"/>
        </w:rPr>
        <w:t>磷酸</w:t>
      </w:r>
      <w:r>
        <w:rPr>
          <w:rFonts w:ascii="SimSun" w:eastAsia="SimSun" w:hAnsi="SimSun" w:cs="SimSun"/>
          <w:spacing w:val="-3"/>
          <w:position w:val="22"/>
          <w:sz w:val="40"/>
          <w:szCs w:val="40"/>
        </w:rPr>
        <w:t>(35+10±55,体积比);</w:t>
      </w:r>
    </w:p>
    <w:p>
      <w:pPr>
        <w:spacing w:before="1" w:line="214" w:lineRule="auto"/>
        <w:ind w:left="83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6"/>
          <w:sz w:val="40"/>
          <w:szCs w:val="40"/>
        </w:rPr>
        <w:t>c),</w:t>
      </w:r>
      <w:r>
        <w:rPr>
          <w:rFonts w:ascii="Times New Roman" w:eastAsia="Times New Roman" w:hAnsi="Times New Roman" w:cs="Times New Roman"/>
          <w:spacing w:val="21"/>
          <w:sz w:val="40"/>
          <w:szCs w:val="40"/>
        </w:rPr>
        <w:t xml:space="preserve">   </w:t>
      </w:r>
      <w:r>
        <w:rPr>
          <w:rFonts w:ascii="SimSun" w:eastAsia="SimSun" w:hAnsi="SimSun" w:cs="SimSun"/>
          <w:spacing w:val="-16"/>
          <w:sz w:val="40"/>
          <w:szCs w:val="40"/>
        </w:rPr>
        <w:t xml:space="preserve">流速：1.0 </w:t>
      </w:r>
      <w:r>
        <w:rPr>
          <w:rFonts w:ascii="Times New Roman" w:eastAsia="Times New Roman" w:hAnsi="Times New Roman" w:cs="Times New Roman"/>
          <w:spacing w:val="-16"/>
          <w:sz w:val="40"/>
          <w:szCs w:val="40"/>
        </w:rPr>
        <w:t>mL/min;</w:t>
      </w:r>
    </w:p>
    <w:p>
      <w:pPr>
        <w:spacing w:before="48" w:line="214" w:lineRule="auto"/>
        <w:ind w:left="83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7"/>
          <w:sz w:val="40"/>
          <w:szCs w:val="40"/>
        </w:rPr>
        <w:t xml:space="preserve">d)     </w:t>
      </w:r>
      <w:r>
        <w:rPr>
          <w:rFonts w:ascii="SimSun" w:eastAsia="SimSun" w:hAnsi="SimSun" w:cs="SimSun"/>
          <w:spacing w:val="-17"/>
          <w:sz w:val="40"/>
          <w:szCs w:val="40"/>
        </w:rPr>
        <w:t xml:space="preserve">进样量：50 </w:t>
      </w:r>
      <w:r>
        <w:rPr>
          <w:rFonts w:ascii="Times New Roman" w:eastAsia="Times New Roman" w:hAnsi="Times New Roman" w:cs="Times New Roman"/>
          <w:spacing w:val="-17"/>
          <w:sz w:val="40"/>
          <w:szCs w:val="40"/>
        </w:rPr>
        <w:t>pL;</w:t>
      </w:r>
    </w:p>
    <w:p>
      <w:pPr>
        <w:spacing w:before="154" w:line="214" w:lineRule="auto"/>
        <w:ind w:left="831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-22"/>
          <w:sz w:val="38"/>
          <w:szCs w:val="38"/>
        </w:rPr>
        <w:t>e)</w:t>
      </w:r>
      <w:r>
        <w:rPr>
          <w:rFonts w:ascii="Times New Roman" w:eastAsia="Times New Roman" w:hAnsi="Times New Roman" w:cs="Times New Roman"/>
          <w:spacing w:val="6"/>
          <w:sz w:val="38"/>
          <w:szCs w:val="38"/>
        </w:rPr>
        <w:t xml:space="preserve">     </w:t>
      </w:r>
      <w:r>
        <w:rPr>
          <w:rFonts w:ascii="SimSun" w:eastAsia="SimSun" w:hAnsi="SimSun" w:cs="SimSun"/>
          <w:spacing w:val="-22"/>
          <w:sz w:val="38"/>
          <w:szCs w:val="38"/>
        </w:rPr>
        <w:t>柱温：28</w:t>
      </w:r>
      <w:r>
        <w:rPr>
          <w:rFonts w:ascii="SimSun" w:eastAsia="SimSun" w:hAnsi="SimSun" w:cs="SimSun"/>
          <w:spacing w:val="2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2"/>
          <w:sz w:val="38"/>
          <w:szCs w:val="38"/>
        </w:rPr>
        <w:t>℃;</w:t>
      </w:r>
    </w:p>
    <w:p>
      <w:pPr>
        <w:spacing w:before="199" w:line="214" w:lineRule="auto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 xml:space="preserve">f)    </w:t>
      </w:r>
      <w:r>
        <w:rPr>
          <w:rFonts w:ascii="SimSun" w:eastAsia="SimSun" w:hAnsi="SimSun" w:cs="SimSun"/>
          <w:spacing w:val="-5"/>
          <w:sz w:val="40"/>
          <w:szCs w:val="40"/>
        </w:rPr>
        <w:t>检测波长：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Ex=331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 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nm,Em=500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 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n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m</w:t>
      </w:r>
      <w:r>
        <w:rPr>
          <w:rFonts w:ascii="SimSun" w:eastAsia="SimSun" w:hAnsi="SimSun" w:cs="SimSun"/>
          <w:spacing w:val="-6"/>
          <w:sz w:val="40"/>
          <w:szCs w:val="40"/>
        </w:rPr>
        <w:t>。</w:t>
      </w:r>
    </w:p>
    <w:p>
      <w:pPr>
        <w:spacing w:before="145" w:line="179" w:lineRule="auto"/>
        <w:ind w:left="5"/>
        <w:outlineLvl w:val="2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z w:val="36"/>
          <w:szCs w:val="36"/>
        </w:rPr>
        <w:t>6.3.2</w:t>
      </w:r>
      <w:r>
        <w:rPr>
          <w:rFonts w:ascii="SimHei" w:eastAsia="SimHei" w:hAnsi="SimHei" w:cs="SimHei"/>
          <w:spacing w:val="86"/>
          <w:sz w:val="36"/>
          <w:szCs w:val="36"/>
        </w:rPr>
        <w:t xml:space="preserve">  </w:t>
      </w:r>
      <w:r>
        <w:rPr>
          <w:rFonts w:ascii="SimHei" w:eastAsia="SimHei" w:hAnsi="SimHei" w:cs="SimHei"/>
          <w:b/>
          <w:bCs/>
          <w:sz w:val="36"/>
          <w:szCs w:val="36"/>
        </w:rPr>
        <w:t>色谱测定</w:t>
      </w:r>
    </w:p>
    <w:p>
      <w:pPr>
        <w:spacing w:line="735" w:lineRule="exact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position w:val="24"/>
          <w:sz w:val="40"/>
          <w:szCs w:val="40"/>
        </w:rPr>
        <w:t>根据样液中被测桔霉素含量情况，选定峰面积相近的标准工作溶液。标准工</w:t>
      </w:r>
      <w:r>
        <w:rPr>
          <w:rFonts w:ascii="SimSun" w:eastAsia="SimSun" w:hAnsi="SimSun" w:cs="SimSun"/>
          <w:spacing w:val="-5"/>
          <w:position w:val="24"/>
          <w:sz w:val="40"/>
          <w:szCs w:val="40"/>
        </w:rPr>
        <w:t>作液和样液中桔霉素</w:t>
      </w:r>
    </w:p>
    <w:p>
      <w:pPr>
        <w:spacing w:line="218" w:lineRule="auto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响应值均应在仪器检测线性范围内、对标准工作波和样液等体积参插进样测定。在上述色谱条件下，</w:t>
      </w:r>
    </w:p>
    <w:p>
      <w:pPr>
        <w:spacing w:before="221" w:line="214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5"/>
          <w:sz w:val="40"/>
          <w:szCs w:val="40"/>
        </w:rPr>
        <w:t xml:space="preserve">桔霉素保留时间约为9.1 </w:t>
      </w:r>
      <w:r>
        <w:rPr>
          <w:rFonts w:ascii="Times New Roman" w:eastAsia="Times New Roman" w:hAnsi="Times New Roman" w:cs="Times New Roman"/>
          <w:sz w:val="40"/>
          <w:szCs w:val="40"/>
        </w:rPr>
        <w:t>min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>,</w:t>
      </w:r>
      <w:r>
        <w:rPr>
          <w:rFonts w:ascii="SimSun" w:eastAsia="SimSun" w:hAnsi="SimSun" w:cs="SimSun"/>
          <w:spacing w:val="5"/>
          <w:sz w:val="40"/>
          <w:szCs w:val="40"/>
        </w:rPr>
        <w:t>标准物质色谱图参见附录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5"/>
          <w:sz w:val="40"/>
          <w:szCs w:val="40"/>
        </w:rPr>
        <w:t>中图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>A.1)</w:t>
      </w:r>
    </w:p>
    <w:p>
      <w:pPr>
        <w:spacing w:before="104" w:line="223" w:lineRule="auto"/>
        <w:ind w:left="5"/>
        <w:outlineLvl w:val="1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z w:val="38"/>
          <w:szCs w:val="38"/>
        </w:rPr>
        <w:t>6.3.3</w:t>
      </w:r>
      <w:r>
        <w:rPr>
          <w:rFonts w:ascii="SimHei" w:eastAsia="SimHei" w:hAnsi="SimHei" w:cs="SimHei"/>
          <w:spacing w:val="3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z w:val="38"/>
          <w:szCs w:val="38"/>
        </w:rPr>
        <w:t>空白试验</w:t>
      </w:r>
    </w:p>
    <w:p>
      <w:pPr>
        <w:spacing w:before="256" w:line="221" w:lineRule="auto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7"/>
          <w:sz w:val="40"/>
          <w:szCs w:val="40"/>
        </w:rPr>
        <w:t>除不加试样外，均按上述操作步骤进行。</w:t>
      </w:r>
    </w:p>
    <w:p>
      <w:pPr>
        <w:spacing w:before="280" w:line="224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2"/>
          <w:sz w:val="40"/>
          <w:szCs w:val="40"/>
        </w:rPr>
        <w:t>7</w:t>
      </w:r>
      <w:r>
        <w:rPr>
          <w:rFonts w:ascii="SimHei" w:eastAsia="SimHei" w:hAnsi="SimHei" w:cs="SimHei"/>
          <w:spacing w:val="18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12"/>
          <w:sz w:val="40"/>
          <w:szCs w:val="40"/>
        </w:rPr>
        <w:t>结果计算和表述</w:t>
      </w:r>
    </w:p>
    <w:p>
      <w:pPr>
        <w:spacing w:before="353" w:line="221" w:lineRule="auto"/>
        <w:ind w:left="831"/>
        <w:rPr>
          <w:rFonts w:ascii="SimSun" w:eastAsia="SimSun" w:hAnsi="SimSun" w:cs="SimSun"/>
          <w:sz w:val="40"/>
          <w:szCs w:val="4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80.8pt;height:94.25pt;margin-top:22.37pt;margin-left:374.08pt;position:absolute;z-index:251661312" filled="f" stroked="f">
            <o:lock v:ext="edit" aspectratio="f"/>
            <v:textbox inset="0,0,0,0">
              <w:txbxContent>
                <w:p>
                  <w:pPr>
                    <w:spacing w:before="17" w:line="189" w:lineRule="auto"/>
                    <w:jc w:val="right"/>
                    <w:rPr>
                      <w:rFonts w:ascii="Times New Roman" w:eastAsia="Times New Roman" w:hAnsi="Times New Roman" w:cs="Times New Roman"/>
                      <w:sz w:val="204"/>
                      <w:szCs w:val="20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8"/>
                      <w:w w:val="64"/>
                      <w:sz w:val="204"/>
                      <w:szCs w:val="204"/>
                    </w:rPr>
                    <w:t>x-4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1"/>
          <w:sz w:val="40"/>
          <w:szCs w:val="40"/>
        </w:rPr>
        <w:t>用色谱数据处理软件或按式(1)计算试样中桔霉素含量</w:t>
      </w:r>
      <w:r>
        <w:rPr>
          <w:rFonts w:ascii="SimSun" w:eastAsia="SimSun" w:hAnsi="SimSun" w:cs="SimSun"/>
          <w:spacing w:val="-12"/>
          <w:sz w:val="40"/>
          <w:szCs w:val="40"/>
        </w:rPr>
        <w:t>，计算结果需将空白值扣除：</w:t>
      </w:r>
    </w:p>
    <w:p>
      <w:pPr>
        <w:spacing w:before="334" w:line="223" w:lineRule="auto"/>
        <w:ind w:left="12701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2"/>
          <w:sz w:val="34"/>
          <w:szCs w:val="34"/>
        </w:rPr>
        <w:t>……………………………(1)</w:t>
      </w:r>
    </w:p>
    <w:p>
      <w:pPr>
        <w:pStyle w:val="BodyText"/>
        <w:spacing w:line="330" w:lineRule="auto"/>
      </w:pPr>
    </w:p>
    <w:p>
      <w:pPr>
        <w:spacing w:before="130" w:line="222" w:lineRule="auto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式中：</w:t>
      </w:r>
    </w:p>
    <w:p>
      <w:pPr>
        <w:spacing w:before="133" w:line="280" w:lineRule="auto"/>
        <w:ind w:left="831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X</w:t>
      </w:r>
      <w:r>
        <w:rPr>
          <w:rFonts w:ascii="Times New Roman" w:eastAsia="Times New Roman" w:hAnsi="Times New Roman" w:cs="Times New Roman"/>
          <w:spacing w:val="27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38"/>
          <w:szCs w:val="38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4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"/>
          <w:sz w:val="38"/>
          <w:szCs w:val="38"/>
        </w:rPr>
        <w:t>试样中枯霉素含量，单位为毫克每千克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sz w:val="38"/>
          <w:szCs w:val="38"/>
        </w:rPr>
        <w:t>mg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sz w:val="38"/>
          <w:szCs w:val="38"/>
        </w:rPr>
        <w:t>kg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);</w:t>
      </w:r>
    </w:p>
    <w:p>
      <w:pPr>
        <w:spacing w:before="1" w:line="221" w:lineRule="auto"/>
        <w:ind w:left="831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9"/>
          <w:sz w:val="38"/>
          <w:szCs w:val="38"/>
        </w:rPr>
        <w:t>A——</w:t>
      </w:r>
      <w:r>
        <w:rPr>
          <w:rFonts w:ascii="SimSun" w:eastAsia="SimSun" w:hAnsi="SimSun" w:cs="SimSun"/>
          <w:spacing w:val="9"/>
          <w:sz w:val="38"/>
          <w:szCs w:val="38"/>
        </w:rPr>
        <w:t>样液中桔霉素的峰面积；</w:t>
      </w:r>
    </w:p>
    <w:p>
      <w:pPr>
        <w:spacing w:before="116" w:line="214" w:lineRule="auto"/>
        <w:ind w:left="788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A,——</w:t>
      </w:r>
      <w:r>
        <w:rPr>
          <w:rFonts w:ascii="SimSun" w:eastAsia="SimSun" w:hAnsi="SimSun" w:cs="SimSun"/>
          <w:spacing w:val="-5"/>
          <w:sz w:val="40"/>
          <w:szCs w:val="40"/>
        </w:rPr>
        <w:t>标准工作液中桔霉素的峰面积；</w:t>
      </w:r>
    </w:p>
    <w:p>
      <w:pPr>
        <w:tabs>
          <w:tab w:val="left" w:pos="2045"/>
        </w:tabs>
        <w:spacing w:before="102" w:line="216" w:lineRule="auto"/>
        <w:ind w:left="1044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  <w:u w:val="single" w:color="auto"/>
        </w:rPr>
        <w:tab/>
      </w:r>
      <w:r>
        <w:rPr>
          <w:rFonts w:ascii="SimSun" w:eastAsia="SimSun" w:hAnsi="SimSun" w:cs="SimSun"/>
          <w:spacing w:val="-15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6"/>
          <w:sz w:val="40"/>
          <w:szCs w:val="40"/>
        </w:rPr>
        <w:t>标准工作液中桔霉素的浓度，单位为微克每毫升(μ</w:t>
      </w:r>
      <w:r>
        <w:rPr>
          <w:rFonts w:ascii="SimSun" w:eastAsia="SimSun" w:hAnsi="SimSun" w:cs="SimSun"/>
          <w:spacing w:val="-17"/>
          <w:sz w:val="40"/>
          <w:szCs w:val="40"/>
        </w:rPr>
        <w:t>g/mL)</w:t>
      </w:r>
    </w:p>
    <w:p>
      <w:pPr>
        <w:spacing w:before="100" w:line="214" w:lineRule="auto"/>
        <w:ind w:left="83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3"/>
          <w:sz w:val="40"/>
          <w:szCs w:val="40"/>
        </w:rPr>
        <w:t>V——</w:t>
      </w:r>
      <w:r>
        <w:rPr>
          <w:rFonts w:ascii="SimSun" w:eastAsia="SimSun" w:hAnsi="SimSun" w:cs="SimSun"/>
          <w:spacing w:val="-13"/>
          <w:sz w:val="40"/>
          <w:szCs w:val="40"/>
        </w:rPr>
        <w:t>样液最终定容体积，单位为毫升</w:t>
      </w:r>
      <w:r>
        <w:rPr>
          <w:rFonts w:ascii="Times New Roman" w:eastAsia="Times New Roman" w:hAnsi="Times New Roman" w:cs="Times New Roman"/>
          <w:spacing w:val="-13"/>
          <w:sz w:val="40"/>
          <w:szCs w:val="40"/>
        </w:rPr>
        <w:t>(mL);</w:t>
      </w:r>
    </w:p>
    <w:p>
      <w:pPr>
        <w:spacing w:before="132" w:line="214" w:lineRule="auto"/>
        <w:ind w:left="831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3"/>
          <w:sz w:val="40"/>
          <w:szCs w:val="40"/>
        </w:rPr>
        <w:t>m——</w:t>
      </w:r>
      <w:r>
        <w:rPr>
          <w:rFonts w:ascii="SimSun" w:eastAsia="SimSun" w:hAnsi="SimSun" w:cs="SimSun"/>
          <w:spacing w:val="-13"/>
          <w:sz w:val="40"/>
          <w:szCs w:val="40"/>
        </w:rPr>
        <w:t>最终样液所代表的试样量，单位为克</w:t>
      </w:r>
      <w:r>
        <w:rPr>
          <w:rFonts w:ascii="Times New Roman" w:eastAsia="Times New Roman" w:hAnsi="Times New Roman" w:cs="Times New Roman"/>
          <w:spacing w:val="-13"/>
          <w:sz w:val="40"/>
          <w:szCs w:val="40"/>
        </w:rPr>
        <w:t>(g)</w:t>
      </w:r>
      <w:r>
        <w:rPr>
          <w:rFonts w:ascii="SimSun" w:eastAsia="SimSun" w:hAnsi="SimSun" w:cs="SimSun"/>
          <w:spacing w:val="-13"/>
          <w:sz w:val="40"/>
          <w:szCs w:val="40"/>
        </w:rPr>
        <w:t>。</w:t>
      </w:r>
    </w:p>
    <w:p>
      <w:pPr>
        <w:pStyle w:val="BodyText"/>
        <w:spacing w:line="365" w:lineRule="auto"/>
      </w:pPr>
    </w:p>
    <w:p>
      <w:pPr>
        <w:spacing w:before="124" w:line="225" w:lineRule="auto"/>
        <w:ind w:left="5"/>
        <w:outlineLvl w:val="1"/>
        <w:rPr>
          <w:rFonts w:ascii="SimHei" w:eastAsia="SimHei" w:hAnsi="SimHei" w:cs="SimHei"/>
          <w:sz w:val="38"/>
          <w:szCs w:val="38"/>
        </w:rPr>
        <w:sectPr>
          <w:footerReference w:type="default" r:id="rId12"/>
          <w:pgSz w:w="21824" w:h="31680"/>
          <w:pgMar w:top="2692" w:right="2250" w:bottom="2399" w:left="2002" w:header="0" w:footer="2127" w:gutter="0"/>
          <w:pgNumType w:start="8"/>
          <w:cols w:space="708"/>
        </w:sectPr>
      </w:pPr>
      <w:r>
        <w:rPr>
          <w:rFonts w:ascii="SimHei" w:eastAsia="SimHei" w:hAnsi="SimHei" w:cs="SimHei"/>
          <w:b/>
          <w:bCs/>
          <w:spacing w:val="-14"/>
          <w:sz w:val="38"/>
          <w:szCs w:val="38"/>
        </w:rPr>
        <w:t>8</w:t>
      </w:r>
      <w:r>
        <w:rPr>
          <w:rFonts w:ascii="SimHei" w:eastAsia="SimHei" w:hAnsi="SimHei" w:cs="SimHei"/>
          <w:spacing w:val="1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14"/>
          <w:sz w:val="38"/>
          <w:szCs w:val="38"/>
        </w:rPr>
        <w:t>测定低限、回收率</w:t>
      </w:r>
    </w:p>
    <w:p>
      <w:pPr>
        <w:pStyle w:val="BodyText"/>
        <w:spacing w:line="281" w:lineRule="auto"/>
      </w:pPr>
    </w:p>
    <w:p>
      <w:pPr>
        <w:spacing w:before="130" w:line="225" w:lineRule="auto"/>
        <w:ind w:left="5"/>
        <w:outlineLvl w:val="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4"/>
          <w:sz w:val="40"/>
          <w:szCs w:val="40"/>
        </w:rPr>
        <w:t>8.1</w:t>
      </w:r>
      <w:r>
        <w:rPr>
          <w:rFonts w:ascii="SimHei" w:eastAsia="SimHei" w:hAnsi="SimHei" w:cs="SimHei"/>
          <w:spacing w:val="-4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40"/>
          <w:szCs w:val="40"/>
        </w:rPr>
        <w:t>测定低限</w:t>
      </w:r>
    </w:p>
    <w:p>
      <w:pPr>
        <w:spacing w:before="110" w:line="214" w:lineRule="auto"/>
        <w:ind w:left="831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sz w:val="38"/>
          <w:szCs w:val="38"/>
        </w:rPr>
        <w:t xml:space="preserve">本方法的测定低限为0.01 </w:t>
      </w:r>
      <w:r>
        <w:rPr>
          <w:rFonts w:ascii="Times New Roman" w:eastAsia="Times New Roman" w:hAnsi="Times New Roman" w:cs="Times New Roman"/>
          <w:sz w:val="38"/>
          <w:szCs w:val="38"/>
        </w:rPr>
        <w:t>mg</w:t>
      </w:r>
      <w:r>
        <w:rPr>
          <w:rFonts w:ascii="Times New Roman" w:eastAsia="Times New Roman" w:hAnsi="Times New Roman" w:cs="Times New Roman"/>
          <w:spacing w:val="12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sz w:val="38"/>
          <w:szCs w:val="38"/>
        </w:rPr>
        <w:t>kg</w:t>
      </w:r>
      <w:r>
        <w:rPr>
          <w:rFonts w:ascii="SimSun" w:eastAsia="SimSun" w:hAnsi="SimSun" w:cs="SimSun"/>
          <w:spacing w:val="12"/>
          <w:sz w:val="38"/>
          <w:szCs w:val="38"/>
        </w:rPr>
        <w:t>。</w:t>
      </w:r>
    </w:p>
    <w:p>
      <w:pPr>
        <w:spacing w:before="195" w:line="225" w:lineRule="auto"/>
        <w:ind w:left="5"/>
        <w:outlineLvl w:val="1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6"/>
          <w:sz w:val="38"/>
          <w:szCs w:val="38"/>
        </w:rPr>
        <w:t>8.2</w:t>
      </w:r>
      <w:r>
        <w:rPr>
          <w:rFonts w:ascii="SimHei" w:eastAsia="SimHei" w:hAnsi="SimHei" w:cs="SimHei"/>
          <w:spacing w:val="51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38"/>
          <w:szCs w:val="38"/>
        </w:rPr>
        <w:t>回收率</w:t>
      </w:r>
    </w:p>
    <w:p>
      <w:pPr>
        <w:spacing w:before="115" w:line="221" w:lineRule="auto"/>
        <w:ind w:left="831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4"/>
          <w:sz w:val="38"/>
          <w:szCs w:val="38"/>
        </w:rPr>
        <w:t>粮谷中桔霉素检测的添加回收率数据见表1。</w:t>
      </w:r>
    </w:p>
    <w:p>
      <w:pPr>
        <w:spacing w:line="221" w:lineRule="auto"/>
        <w:rPr>
          <w:rFonts w:ascii="SimSun" w:eastAsia="SimSun" w:hAnsi="SimSun" w:cs="SimSun"/>
          <w:sz w:val="38"/>
          <w:szCs w:val="38"/>
        </w:rPr>
        <w:sectPr>
          <w:footerReference w:type="default" r:id="rId13"/>
          <w:type w:val="nextPage"/>
          <w:pgSz w:w="21824" w:h="31680"/>
          <w:pgMar w:top="2692" w:right="2250" w:bottom="2399" w:left="2002" w:header="0" w:footer="2127" w:gutter="0"/>
          <w:pgNumType w:start="9"/>
          <w:cols w:space="708"/>
          <w:titlePg w:val="0"/>
        </w:sectPr>
      </w:pPr>
    </w:p>
    <w:p>
      <w:pPr>
        <w:spacing w:before="84" w:line="227" w:lineRule="auto"/>
        <w:ind w:right="62"/>
        <w:jc w:val="right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9"/>
          <w:sz w:val="42"/>
          <w:szCs w:val="42"/>
        </w:rPr>
        <w:t>SN/T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42"/>
          <w:szCs w:val="42"/>
        </w:rPr>
        <w:t>2426—2010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14" w:line="220" w:lineRule="auto"/>
        <w:ind w:left="714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8"/>
          <w:sz w:val="35"/>
          <w:szCs w:val="35"/>
        </w:rPr>
        <w:t>表1</w:t>
      </w:r>
      <w:r>
        <w:rPr>
          <w:rFonts w:ascii="SimSun" w:eastAsia="SimSun" w:hAnsi="SimSun" w:cs="SimSun"/>
          <w:spacing w:val="30"/>
          <w:sz w:val="35"/>
          <w:szCs w:val="35"/>
        </w:rPr>
        <w:t xml:space="preserve">  </w:t>
      </w:r>
      <w:r>
        <w:rPr>
          <w:rFonts w:ascii="SimSun" w:eastAsia="SimSun" w:hAnsi="SimSun" w:cs="SimSun"/>
          <w:b/>
          <w:bCs/>
          <w:spacing w:val="-8"/>
          <w:sz w:val="35"/>
          <w:szCs w:val="35"/>
        </w:rPr>
        <w:t>回收率数据</w:t>
      </w:r>
    </w:p>
    <w:p>
      <w:pPr>
        <w:spacing w:line="161" w:lineRule="exact"/>
      </w:pPr>
    </w:p>
    <w:tbl>
      <w:tblPr>
        <w:tblStyle w:val="TableNormal0"/>
        <w:tblW w:w="1734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726"/>
        <w:gridCol w:w="1901"/>
        <w:gridCol w:w="4892"/>
        <w:gridCol w:w="1115"/>
        <w:gridCol w:w="5707"/>
      </w:tblGrid>
      <w:tr>
        <w:tblPrEx>
          <w:tblW w:w="1734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8"/>
        </w:trPr>
        <w:tc>
          <w:tcPr>
            <w:tcW w:w="3726" w:type="dxa"/>
            <w:vAlign w:val="top"/>
          </w:tcPr>
          <w:p>
            <w:pPr>
              <w:pStyle w:val="TableText"/>
              <w:spacing w:before="189" w:line="224" w:lineRule="auto"/>
              <w:ind w:left="1166"/>
            </w:pPr>
            <w:r>
              <w:rPr>
                <w:spacing w:val="-4"/>
              </w:rPr>
              <w:t>基</w:t>
            </w:r>
            <w:r>
              <w:rPr>
                <w:spacing w:val="3"/>
              </w:rPr>
              <w:t xml:space="preserve">     </w:t>
            </w:r>
            <w:r>
              <w:rPr>
                <w:spacing w:val="-4"/>
              </w:rPr>
              <w:t>体</w:t>
            </w:r>
          </w:p>
        </w:tc>
        <w:tc>
          <w:tcPr>
            <w:tcW w:w="6793" w:type="dxa"/>
            <w:gridSpan w:val="2"/>
            <w:vAlign w:val="top"/>
          </w:tcPr>
          <w:p>
            <w:pPr>
              <w:pStyle w:val="TableText"/>
              <w:spacing w:before="176" w:line="217" w:lineRule="auto"/>
              <w:ind w:left="2130"/>
            </w:pPr>
            <w:r>
              <w:rPr>
                <w:spacing w:val="14"/>
              </w:rPr>
              <w:t>添加浓度/(</w:t>
            </w:r>
            <w:r>
              <w:t>mg</w:t>
            </w:r>
            <w:r>
              <w:rPr>
                <w:spacing w:val="14"/>
              </w:rPr>
              <w:t>/</w:t>
            </w:r>
            <w:r>
              <w:t>kg</w:t>
            </w:r>
            <w:r>
              <w:rPr>
                <w:spacing w:val="14"/>
              </w:rPr>
              <w:t>)</w:t>
            </w:r>
          </w:p>
        </w:tc>
        <w:tc>
          <w:tcPr>
            <w:tcW w:w="6822" w:type="dxa"/>
            <w:gridSpan w:val="2"/>
            <w:vAlign w:val="top"/>
          </w:tcPr>
          <w:p>
            <w:pPr>
              <w:pStyle w:val="TableText"/>
              <w:spacing w:before="186" w:line="223" w:lineRule="auto"/>
              <w:ind w:left="2640"/>
            </w:pPr>
            <w:r>
              <w:rPr>
                <w:spacing w:val="-15"/>
              </w:rPr>
              <w:t>回</w:t>
            </w:r>
            <w:r>
              <w:rPr>
                <w:spacing w:val="-50"/>
              </w:rPr>
              <w:t xml:space="preserve"> </w:t>
            </w:r>
            <w:r>
              <w:rPr>
                <w:spacing w:val="-15"/>
              </w:rPr>
              <w:t>收</w:t>
            </w:r>
            <w:r>
              <w:rPr>
                <w:spacing w:val="-59"/>
              </w:rPr>
              <w:t xml:space="preserve"> </w:t>
            </w:r>
            <w:r>
              <w:rPr>
                <w:spacing w:val="-15"/>
              </w:rPr>
              <w:t>率</w:t>
            </w:r>
            <w:r>
              <w:rPr>
                <w:spacing w:val="-63"/>
              </w:rPr>
              <w:t xml:space="preserve"> </w:t>
            </w:r>
            <w:r>
              <w:rPr>
                <w:spacing w:val="-15"/>
              </w:rPr>
              <w:t>/</w:t>
            </w:r>
            <w:r>
              <w:rPr>
                <w:spacing w:val="-70"/>
              </w:rPr>
              <w:t xml:space="preserve"> </w:t>
            </w:r>
            <w:r>
              <w:rPr>
                <w:spacing w:val="-15"/>
              </w:rPr>
              <w:t>%</w:t>
            </w:r>
          </w:p>
        </w:tc>
      </w:tr>
      <w:tr>
        <w:tblPrEx>
          <w:tblW w:w="17341" w:type="dxa"/>
          <w:tblInd w:w="2" w:type="dxa"/>
          <w:tblLayout w:type="fixed"/>
        </w:tblPrEx>
        <w:trPr>
          <w:trHeight w:val="689"/>
        </w:trPr>
        <w:tc>
          <w:tcPr>
            <w:tcW w:w="3726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3" w:lineRule="auto"/>
              <w:ind w:left="1543"/>
            </w:pPr>
            <w:r>
              <w:rPr>
                <w:spacing w:val="12"/>
              </w:rPr>
              <w:t>大米</w:t>
            </w:r>
          </w:p>
        </w:tc>
        <w:tc>
          <w:tcPr>
            <w:tcW w:w="6793" w:type="dxa"/>
            <w:gridSpan w:val="2"/>
            <w:vAlign w:val="top"/>
          </w:tcPr>
          <w:p>
            <w:pPr>
              <w:pStyle w:val="TableText"/>
              <w:spacing w:before="278" w:line="186" w:lineRule="auto"/>
              <w:ind w:left="3077"/>
            </w:pPr>
            <w:r>
              <w:rPr>
                <w:spacing w:val="-1"/>
              </w:rPr>
              <w:t>0.01</w:t>
            </w:r>
          </w:p>
        </w:tc>
        <w:tc>
          <w:tcPr>
            <w:tcW w:w="6822" w:type="dxa"/>
            <w:gridSpan w:val="2"/>
            <w:vAlign w:val="top"/>
          </w:tcPr>
          <w:p>
            <w:pPr>
              <w:pStyle w:val="TableText"/>
              <w:spacing w:before="279" w:line="185" w:lineRule="auto"/>
              <w:ind w:left="2619"/>
            </w:pPr>
            <w:r>
              <w:t>78.9～90.2</w:t>
            </w:r>
          </w:p>
        </w:tc>
      </w:tr>
      <w:tr>
        <w:tblPrEx>
          <w:tblW w:w="17341" w:type="dxa"/>
          <w:tblInd w:w="2" w:type="dxa"/>
          <w:tblLayout w:type="fixed"/>
        </w:tblPrEx>
        <w:trPr>
          <w:trHeight w:val="669"/>
        </w:trPr>
        <w:tc>
          <w:tcPr>
            <w:tcW w:w="37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3" w:type="dxa"/>
            <w:gridSpan w:val="2"/>
            <w:vAlign w:val="top"/>
          </w:tcPr>
          <w:p>
            <w:pPr>
              <w:pStyle w:val="TableText"/>
              <w:spacing w:before="269" w:line="185" w:lineRule="auto"/>
              <w:ind w:left="3077"/>
            </w:pPr>
            <w:r>
              <w:rPr>
                <w:spacing w:val="-1"/>
              </w:rPr>
              <w:t>0.05</w:t>
            </w:r>
          </w:p>
        </w:tc>
        <w:tc>
          <w:tcPr>
            <w:tcW w:w="6822" w:type="dxa"/>
            <w:gridSpan w:val="2"/>
            <w:vAlign w:val="top"/>
          </w:tcPr>
          <w:p>
            <w:pPr>
              <w:pStyle w:val="TableText"/>
              <w:spacing w:before="283" w:line="184" w:lineRule="auto"/>
              <w:ind w:left="28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88.0～91.4</w:t>
            </w:r>
          </w:p>
        </w:tc>
      </w:tr>
      <w:tr>
        <w:tblPrEx>
          <w:tblW w:w="17341" w:type="dxa"/>
          <w:tblInd w:w="2" w:type="dxa"/>
          <w:tblLayout w:type="fixed"/>
        </w:tblPrEx>
        <w:trPr>
          <w:trHeight w:val="671"/>
        </w:trPr>
        <w:tc>
          <w:tcPr>
            <w:tcW w:w="37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3" w:type="dxa"/>
            <w:gridSpan w:val="2"/>
            <w:vAlign w:val="top"/>
          </w:tcPr>
          <w:p>
            <w:pPr>
              <w:pStyle w:val="TableText"/>
              <w:spacing w:before="270" w:line="186" w:lineRule="auto"/>
              <w:ind w:left="3077"/>
            </w:pPr>
            <w:r>
              <w:rPr>
                <w:spacing w:val="-1"/>
              </w:rPr>
              <w:t>0.10</w:t>
            </w:r>
          </w:p>
        </w:tc>
        <w:tc>
          <w:tcPr>
            <w:tcW w:w="6822" w:type="dxa"/>
            <w:gridSpan w:val="2"/>
            <w:vAlign w:val="top"/>
          </w:tcPr>
          <w:p>
            <w:pPr>
              <w:pStyle w:val="TableText"/>
              <w:spacing w:before="285" w:line="183" w:lineRule="auto"/>
              <w:ind w:left="28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74.8～96.6</w:t>
            </w:r>
          </w:p>
        </w:tc>
      </w:tr>
      <w:tr>
        <w:tblPrEx>
          <w:tblW w:w="17341" w:type="dxa"/>
          <w:tblInd w:w="2" w:type="dxa"/>
          <w:tblLayout w:type="fixed"/>
        </w:tblPrEx>
        <w:trPr>
          <w:trHeight w:val="676"/>
        </w:trPr>
        <w:tc>
          <w:tcPr>
            <w:tcW w:w="3726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2" w:lineRule="auto"/>
              <w:ind w:left="1543"/>
            </w:pPr>
            <w:r>
              <w:rPr>
                <w:spacing w:val="12"/>
              </w:rPr>
              <w:t>大麦</w:t>
            </w:r>
          </w:p>
        </w:tc>
        <w:tc>
          <w:tcPr>
            <w:tcW w:w="6793" w:type="dxa"/>
            <w:gridSpan w:val="2"/>
            <w:vAlign w:val="top"/>
          </w:tcPr>
          <w:p>
            <w:pPr>
              <w:pStyle w:val="TableText"/>
              <w:spacing w:before="272" w:line="186" w:lineRule="auto"/>
              <w:ind w:left="3077"/>
            </w:pPr>
            <w:r>
              <w:rPr>
                <w:spacing w:val="-1"/>
              </w:rPr>
              <w:t>0.01</w:t>
            </w:r>
          </w:p>
        </w:tc>
        <w:tc>
          <w:tcPr>
            <w:tcW w:w="6822" w:type="dxa"/>
            <w:gridSpan w:val="2"/>
            <w:vAlign w:val="top"/>
          </w:tcPr>
          <w:p>
            <w:pPr>
              <w:pStyle w:val="TableText"/>
              <w:spacing w:before="274" w:line="185" w:lineRule="auto"/>
              <w:ind w:left="2619"/>
            </w:pPr>
            <w:r>
              <w:t>75.2～96.8</w:t>
            </w:r>
          </w:p>
        </w:tc>
      </w:tr>
      <w:tr>
        <w:tblPrEx>
          <w:tblW w:w="17341" w:type="dxa"/>
          <w:tblInd w:w="2" w:type="dxa"/>
          <w:tblLayout w:type="fixed"/>
        </w:tblPrEx>
        <w:trPr>
          <w:trHeight w:val="685"/>
        </w:trPr>
        <w:tc>
          <w:tcPr>
            <w:tcW w:w="37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3" w:type="dxa"/>
            <w:gridSpan w:val="2"/>
            <w:vAlign w:val="top"/>
          </w:tcPr>
          <w:p>
            <w:pPr>
              <w:pStyle w:val="TableText"/>
              <w:spacing w:before="279" w:line="185" w:lineRule="auto"/>
              <w:ind w:left="3077"/>
            </w:pPr>
            <w:r>
              <w:rPr>
                <w:spacing w:val="-1"/>
              </w:rPr>
              <w:t>0.05</w:t>
            </w:r>
          </w:p>
        </w:tc>
        <w:tc>
          <w:tcPr>
            <w:tcW w:w="6822" w:type="dxa"/>
            <w:gridSpan w:val="2"/>
            <w:vAlign w:val="top"/>
          </w:tcPr>
          <w:p>
            <w:pPr>
              <w:pStyle w:val="TableText"/>
              <w:spacing w:before="277" w:line="186" w:lineRule="auto"/>
              <w:ind w:left="2619"/>
            </w:pPr>
            <w:r>
              <w:t>79.1～94.2</w:t>
            </w:r>
          </w:p>
        </w:tc>
      </w:tr>
      <w:tr>
        <w:tblPrEx>
          <w:tblW w:w="17341" w:type="dxa"/>
          <w:tblInd w:w="2" w:type="dxa"/>
          <w:tblLayout w:type="fixed"/>
        </w:tblPrEx>
        <w:trPr>
          <w:trHeight w:val="664"/>
        </w:trPr>
        <w:tc>
          <w:tcPr>
            <w:tcW w:w="37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3" w:type="dxa"/>
            <w:gridSpan w:val="2"/>
            <w:vAlign w:val="top"/>
          </w:tcPr>
          <w:p>
            <w:pPr>
              <w:pStyle w:val="TableText"/>
              <w:spacing w:before="266" w:line="186" w:lineRule="auto"/>
              <w:ind w:left="3077"/>
            </w:pPr>
            <w:r>
              <w:rPr>
                <w:spacing w:val="-1"/>
              </w:rPr>
              <w:t>0.10</w:t>
            </w:r>
          </w:p>
        </w:tc>
        <w:tc>
          <w:tcPr>
            <w:tcW w:w="6822" w:type="dxa"/>
            <w:gridSpan w:val="2"/>
            <w:vAlign w:val="top"/>
          </w:tcPr>
          <w:p>
            <w:pPr>
              <w:pStyle w:val="TableText"/>
              <w:spacing w:before="288" w:line="187" w:lineRule="auto"/>
              <w:ind w:left="286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75.8～97.6</w:t>
            </w:r>
          </w:p>
        </w:tc>
      </w:tr>
      <w:tr>
        <w:tblPrEx>
          <w:tblW w:w="17341" w:type="dxa"/>
          <w:tblInd w:w="2" w:type="dxa"/>
          <w:tblLayout w:type="fixed"/>
        </w:tblPrEx>
        <w:trPr>
          <w:trHeight w:val="673"/>
        </w:trPr>
        <w:tc>
          <w:tcPr>
            <w:tcW w:w="3726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2" w:lineRule="auto"/>
              <w:ind w:left="1543"/>
            </w:pPr>
            <w:r>
              <w:rPr>
                <w:spacing w:val="12"/>
              </w:rPr>
              <w:t>燕麦</w:t>
            </w:r>
          </w:p>
        </w:tc>
        <w:tc>
          <w:tcPr>
            <w:tcW w:w="19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2" w:type="dxa"/>
            <w:vAlign w:val="top"/>
          </w:tcPr>
          <w:p>
            <w:pPr>
              <w:pStyle w:val="TableText"/>
              <w:spacing w:before="271" w:line="186" w:lineRule="auto"/>
              <w:ind w:left="1150"/>
            </w:pPr>
            <w:r>
              <w:rPr>
                <w:spacing w:val="-1"/>
              </w:rPr>
              <w:t>0.01</w:t>
            </w:r>
          </w:p>
        </w:tc>
        <w:tc>
          <w:tcPr>
            <w:tcW w:w="11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7" w:type="dxa"/>
            <w:vAlign w:val="top"/>
          </w:tcPr>
          <w:p>
            <w:pPr>
              <w:pStyle w:val="TableText"/>
              <w:spacing w:before="273" w:line="185" w:lineRule="auto"/>
              <w:ind w:left="1459"/>
            </w:pPr>
            <w:r>
              <w:t>74.6～90.5</w:t>
            </w:r>
          </w:p>
        </w:tc>
      </w:tr>
      <w:tr>
        <w:tblPrEx>
          <w:tblW w:w="17341" w:type="dxa"/>
          <w:tblInd w:w="2" w:type="dxa"/>
          <w:tblLayout w:type="fixed"/>
        </w:tblPrEx>
        <w:trPr>
          <w:trHeight w:val="685"/>
        </w:trPr>
        <w:tc>
          <w:tcPr>
            <w:tcW w:w="37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2" w:type="dxa"/>
            <w:vAlign w:val="top"/>
          </w:tcPr>
          <w:p>
            <w:pPr>
              <w:pStyle w:val="TableText"/>
              <w:spacing w:before="281" w:line="185" w:lineRule="auto"/>
              <w:ind w:left="1150"/>
            </w:pPr>
            <w:r>
              <w:rPr>
                <w:spacing w:val="-1"/>
              </w:rPr>
              <w:t>0.05</w:t>
            </w:r>
          </w:p>
        </w:tc>
        <w:tc>
          <w:tcPr>
            <w:tcW w:w="11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7" w:type="dxa"/>
            <w:vAlign w:val="top"/>
          </w:tcPr>
          <w:p>
            <w:pPr>
              <w:pStyle w:val="TableText"/>
              <w:spacing w:before="281" w:line="185" w:lineRule="auto"/>
              <w:ind w:left="1461"/>
            </w:pPr>
            <w:r>
              <w:t>76.2～89.7</w:t>
            </w:r>
          </w:p>
        </w:tc>
      </w:tr>
      <w:tr>
        <w:tblPrEx>
          <w:tblW w:w="17341" w:type="dxa"/>
          <w:tblInd w:w="2" w:type="dxa"/>
          <w:tblLayout w:type="fixed"/>
        </w:tblPrEx>
        <w:trPr>
          <w:trHeight w:val="671"/>
        </w:trPr>
        <w:tc>
          <w:tcPr>
            <w:tcW w:w="37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3" w:type="dxa"/>
            <w:gridSpan w:val="2"/>
            <w:vAlign w:val="top"/>
          </w:tcPr>
          <w:p>
            <w:pPr>
              <w:pStyle w:val="TableText"/>
              <w:spacing w:before="286" w:line="184" w:lineRule="auto"/>
              <w:ind w:left="2971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一0.10-</w:t>
            </w:r>
          </w:p>
        </w:tc>
        <w:tc>
          <w:tcPr>
            <w:tcW w:w="6822" w:type="dxa"/>
            <w:gridSpan w:val="2"/>
            <w:vAlign w:val="top"/>
          </w:tcPr>
          <w:p>
            <w:pPr>
              <w:pStyle w:val="TableText"/>
              <w:spacing w:before="272" w:line="186" w:lineRule="auto"/>
              <w:ind w:left="2619"/>
            </w:pPr>
            <w:r>
              <w:t>75.9～91.3</w:t>
            </w:r>
          </w:p>
        </w:tc>
      </w:tr>
      <w:tr>
        <w:tblPrEx>
          <w:tblW w:w="17341" w:type="dxa"/>
          <w:tblInd w:w="2" w:type="dxa"/>
          <w:tblLayout w:type="fixed"/>
        </w:tblPrEx>
        <w:trPr>
          <w:trHeight w:val="683"/>
        </w:trPr>
        <w:tc>
          <w:tcPr>
            <w:tcW w:w="3726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2" w:lineRule="auto"/>
              <w:ind w:left="1543"/>
            </w:pPr>
            <w:r>
              <w:rPr>
                <w:spacing w:val="12"/>
              </w:rPr>
              <w:t>小麦</w:t>
            </w:r>
          </w:p>
        </w:tc>
        <w:tc>
          <w:tcPr>
            <w:tcW w:w="6793" w:type="dxa"/>
            <w:gridSpan w:val="2"/>
            <w:vAlign w:val="top"/>
          </w:tcPr>
          <w:p>
            <w:pPr>
              <w:pStyle w:val="TableText"/>
              <w:spacing w:before="277" w:line="186" w:lineRule="auto"/>
              <w:ind w:left="3077"/>
            </w:pPr>
            <w:r>
              <w:rPr>
                <w:spacing w:val="-1"/>
              </w:rPr>
              <w:t>0.01</w:t>
            </w:r>
          </w:p>
        </w:tc>
        <w:tc>
          <w:tcPr>
            <w:tcW w:w="6822" w:type="dxa"/>
            <w:gridSpan w:val="2"/>
            <w:vAlign w:val="top"/>
          </w:tcPr>
          <w:p>
            <w:pPr>
              <w:pStyle w:val="TableText"/>
              <w:spacing w:before="295" w:line="183" w:lineRule="auto"/>
              <w:ind w:left="28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77.9～96.2</w:t>
            </w:r>
          </w:p>
        </w:tc>
      </w:tr>
      <w:tr>
        <w:tblPrEx>
          <w:tblW w:w="17341" w:type="dxa"/>
          <w:tblInd w:w="2" w:type="dxa"/>
          <w:tblLayout w:type="fixed"/>
        </w:tblPrEx>
        <w:trPr>
          <w:trHeight w:val="673"/>
        </w:trPr>
        <w:tc>
          <w:tcPr>
            <w:tcW w:w="37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3" w:type="dxa"/>
            <w:gridSpan w:val="2"/>
            <w:vAlign w:val="top"/>
          </w:tcPr>
          <w:p>
            <w:pPr>
              <w:pStyle w:val="TableText"/>
              <w:spacing w:before="274" w:line="185" w:lineRule="auto"/>
              <w:ind w:left="3234"/>
            </w:pPr>
            <w:r>
              <w:rPr>
                <w:spacing w:val="-3"/>
              </w:rPr>
              <w:t>05</w:t>
            </w:r>
          </w:p>
        </w:tc>
        <w:tc>
          <w:tcPr>
            <w:tcW w:w="6822" w:type="dxa"/>
            <w:gridSpan w:val="2"/>
            <w:vAlign w:val="top"/>
          </w:tcPr>
          <w:p>
            <w:pPr>
              <w:pStyle w:val="TableText"/>
              <w:spacing w:before="273" w:line="186" w:lineRule="auto"/>
              <w:ind w:left="2619"/>
            </w:pPr>
            <w:r>
              <w:t>79.9～93.1</w:t>
            </w:r>
          </w:p>
        </w:tc>
      </w:tr>
      <w:tr>
        <w:tblPrEx>
          <w:tblW w:w="17341" w:type="dxa"/>
          <w:tblInd w:w="2" w:type="dxa"/>
          <w:tblLayout w:type="fixed"/>
        </w:tblPrEx>
        <w:trPr>
          <w:trHeight w:val="690"/>
        </w:trPr>
        <w:tc>
          <w:tcPr>
            <w:tcW w:w="37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3" w:type="dxa"/>
            <w:gridSpan w:val="2"/>
            <w:vAlign w:val="top"/>
          </w:tcPr>
          <w:p>
            <w:pPr>
              <w:pStyle w:val="TableText"/>
              <w:spacing w:before="283" w:line="186" w:lineRule="auto"/>
              <w:ind w:left="3077"/>
            </w:pPr>
            <w:r>
              <w:rPr>
                <w:spacing w:val="-1"/>
              </w:rPr>
              <w:t>0.10</w:t>
            </w:r>
          </w:p>
        </w:tc>
        <w:tc>
          <w:tcPr>
            <w:tcW w:w="6822" w:type="dxa"/>
            <w:gridSpan w:val="2"/>
            <w:vAlign w:val="top"/>
          </w:tcPr>
          <w:p>
            <w:pPr>
              <w:pStyle w:val="TableText"/>
              <w:spacing w:before="285" w:line="185" w:lineRule="auto"/>
              <w:ind w:left="2619"/>
            </w:pPr>
            <w:r>
              <w:rPr>
                <w:spacing w:val="1"/>
              </w:rPr>
              <w:t>80.4～95.9</w:t>
            </w:r>
          </w:p>
        </w:tc>
      </w:tr>
    </w:tbl>
    <w:p>
      <w:pPr>
        <w:spacing w:line="1917" w:lineRule="exact"/>
        <w:ind w:firstLine="5585"/>
      </w:pPr>
      <w:r>
        <w:rPr>
          <w:position w:val="-38"/>
        </w:rPr>
        <w:drawing>
          <wp:inline distT="0" distB="0" distL="0" distR="0">
            <wp:extent cx="3870883" cy="121730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70883" cy="1217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9" w:line="6385" w:lineRule="exact"/>
        <w:ind w:firstLine="5139"/>
      </w:pPr>
      <w:r>
        <w:rPr>
          <w:position w:val="-127"/>
        </w:rPr>
        <w:drawing>
          <wp:inline distT="0" distB="0" distL="0" distR="0">
            <wp:extent cx="4316564" cy="405393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16564" cy="405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385" w:lineRule="exact"/>
        <w:sectPr>
          <w:footerReference w:type="default" r:id="rId16"/>
          <w:pgSz w:w="21824" w:h="31680"/>
          <w:pgMar w:top="2495" w:right="1923" w:bottom="2385" w:left="2554" w:header="0" w:footer="2133" w:gutter="0"/>
          <w:pgNumType w:start="10"/>
          <w:cols w:space="708"/>
        </w:sectPr>
      </w:pPr>
    </w:p>
    <w:p>
      <w:pPr>
        <w:spacing w:before="93" w:line="228" w:lineRule="auto"/>
        <w:rPr>
          <w:rFonts w:ascii="SimSun" w:eastAsia="SimSun" w:hAnsi="SimSun" w:cs="SimSun"/>
          <w:sz w:val="46"/>
          <w:szCs w:val="46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5386282</wp:posOffset>
            </wp:positionH>
            <wp:positionV relativeFrom="page">
              <wp:posOffset>12717079</wp:posOffset>
            </wp:positionV>
            <wp:extent cx="2557399" cy="63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5739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30"/>
          <w:sz w:val="46"/>
          <w:szCs w:val="46"/>
        </w:rPr>
        <w:t>SN/T</w:t>
      </w:r>
      <w:r>
        <w:rPr>
          <w:rFonts w:ascii="SimSun" w:eastAsia="SimSun" w:hAnsi="SimSun" w:cs="SimSun"/>
          <w:spacing w:val="-30"/>
          <w:sz w:val="46"/>
          <w:szCs w:val="46"/>
        </w:rPr>
        <w:t xml:space="preserve"> </w:t>
      </w:r>
      <w:r>
        <w:rPr>
          <w:rFonts w:ascii="SimSun" w:eastAsia="SimSun" w:hAnsi="SimSun" w:cs="SimSun"/>
          <w:b/>
          <w:bCs/>
          <w:spacing w:val="-30"/>
          <w:sz w:val="46"/>
          <w:szCs w:val="46"/>
        </w:rPr>
        <w:t>2426—2010</w: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before="117" w:line="223" w:lineRule="auto"/>
        <w:ind w:left="7774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SimHei" w:eastAsia="SimHei" w:hAnsi="SimHei" w:cs="SimHei"/>
          <w:spacing w:val="-15"/>
          <w:sz w:val="36"/>
          <w:szCs w:val="36"/>
        </w:rPr>
        <w:t>附</w:t>
      </w:r>
      <w:r>
        <w:rPr>
          <w:rFonts w:ascii="SimHei" w:eastAsia="SimHei" w:hAnsi="SimHei" w:cs="SimHei"/>
          <w:spacing w:val="49"/>
          <w:sz w:val="36"/>
          <w:szCs w:val="36"/>
        </w:rPr>
        <w:t xml:space="preserve">  </w:t>
      </w:r>
      <w:r>
        <w:rPr>
          <w:rFonts w:ascii="SimHei" w:eastAsia="SimHei" w:hAnsi="SimHei" w:cs="SimHei"/>
          <w:spacing w:val="-15"/>
          <w:sz w:val="36"/>
          <w:szCs w:val="36"/>
        </w:rPr>
        <w:t>录</w:t>
      </w:r>
      <w:r>
        <w:rPr>
          <w:rFonts w:ascii="SimHei" w:eastAsia="SimHei" w:hAnsi="SimHei" w:cs="SimHei"/>
          <w:spacing w:val="19"/>
          <w:sz w:val="36"/>
          <w:szCs w:val="36"/>
        </w:rPr>
        <w:t xml:space="preserve">  </w:t>
      </w:r>
      <w:r>
        <w:rPr>
          <w:rFonts w:ascii="Times New Roman" w:eastAsia="Times New Roman" w:hAnsi="Times New Roman" w:cs="Times New Roman"/>
          <w:spacing w:val="-15"/>
          <w:sz w:val="36"/>
          <w:szCs w:val="36"/>
        </w:rPr>
        <w:t>A</w:t>
      </w:r>
    </w:p>
    <w:p>
      <w:pPr>
        <w:spacing w:before="120" w:line="596" w:lineRule="exact"/>
        <w:ind w:left="7539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16"/>
          <w:position w:val="15"/>
          <w:sz w:val="38"/>
          <w:szCs w:val="38"/>
        </w:rPr>
        <w:t>(资料性附录)</w:t>
      </w:r>
    </w:p>
    <w:p>
      <w:pPr>
        <w:spacing w:before="2" w:line="222" w:lineRule="auto"/>
        <w:ind w:left="7347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-7"/>
          <w:sz w:val="40"/>
          <w:szCs w:val="40"/>
        </w:rPr>
        <w:t>标准物质色谱图</w:t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line="10802" w:lineRule="exact"/>
        <w:ind w:firstLine="1548"/>
      </w:pPr>
      <w:r>
        <w:rPr>
          <w:position w:val="-216"/>
        </w:rPr>
        <w:drawing>
          <wp:inline distT="0" distB="0" distL="0" distR="0">
            <wp:extent cx="8968360" cy="685942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968360" cy="6859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3" w:lineRule="auto"/>
      </w:pPr>
    </w:p>
    <w:p>
      <w:pPr>
        <w:spacing w:before="137" w:line="215" w:lineRule="auto"/>
        <w:ind w:left="4108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-11"/>
          <w:sz w:val="42"/>
          <w:szCs w:val="42"/>
        </w:rPr>
        <w:t>图</w:t>
      </w:r>
      <w:r>
        <w:rPr>
          <w:rFonts w:ascii="SimHei" w:eastAsia="SimHei" w:hAnsi="SimHei" w:cs="SimHei"/>
          <w:spacing w:val="-88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42"/>
          <w:szCs w:val="42"/>
        </w:rPr>
        <w:t xml:space="preserve">A.1    </w:t>
      </w:r>
      <w:r>
        <w:rPr>
          <w:rFonts w:ascii="SimHei" w:eastAsia="SimHei" w:hAnsi="SimHei" w:cs="SimHei"/>
          <w:spacing w:val="-11"/>
          <w:sz w:val="42"/>
          <w:szCs w:val="42"/>
        </w:rPr>
        <w:t>桔霉素标准物质(100</w:t>
      </w:r>
      <w:r>
        <w:rPr>
          <w:rFonts w:ascii="SimHei" w:eastAsia="SimHei" w:hAnsi="SimHei" w:cs="SimHei"/>
          <w:spacing w:val="-11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42"/>
          <w:szCs w:val="42"/>
        </w:rPr>
        <w:t>ng/mL)</w:t>
      </w:r>
      <w:r>
        <w:rPr>
          <w:rFonts w:ascii="SimHei" w:eastAsia="SimHei" w:hAnsi="SimHei" w:cs="SimHei"/>
          <w:spacing w:val="-11"/>
          <w:sz w:val="42"/>
          <w:szCs w:val="42"/>
        </w:rPr>
        <w:t>的液相色谱图</w:t>
      </w:r>
    </w:p>
    <w:p>
      <w:pPr>
        <w:spacing w:line="215" w:lineRule="auto"/>
        <w:rPr>
          <w:rFonts w:ascii="SimHei" w:eastAsia="SimHei" w:hAnsi="SimHei" w:cs="SimHei"/>
          <w:sz w:val="42"/>
          <w:szCs w:val="42"/>
        </w:rPr>
        <w:sectPr>
          <w:footerReference w:type="default" r:id="rId19"/>
          <w:pgSz w:w="21824" w:h="31680"/>
          <w:pgMar w:top="2466" w:right="3273" w:bottom="2428" w:left="1900" w:header="0" w:footer="2176" w:gutter="0"/>
          <w:pgNumType w:start="11"/>
          <w:cols w:space="708"/>
        </w:sectPr>
      </w:pPr>
    </w:p>
    <w:p>
      <w:pPr>
        <w:spacing w:before="77" w:line="226" w:lineRule="auto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5"/>
          <w:sz w:val="38"/>
          <w:szCs w:val="38"/>
        </w:rPr>
        <w:t>SN/T</w:t>
      </w:r>
      <w:r>
        <w:rPr>
          <w:rFonts w:ascii="SimSun" w:eastAsia="SimSun" w:hAnsi="SimSun" w:cs="SimSun"/>
          <w:spacing w:val="45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38"/>
          <w:szCs w:val="38"/>
        </w:rPr>
        <w:t>2426—2010</w:t>
      </w: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before="190" w:line="196" w:lineRule="auto"/>
        <w:ind w:left="7245"/>
        <w:rPr>
          <w:sz w:val="66"/>
          <w:szCs w:val="66"/>
        </w:rPr>
      </w:pPr>
      <w:r>
        <w:rPr>
          <w:b/>
          <w:bCs/>
          <w:spacing w:val="-20"/>
          <w:sz w:val="66"/>
          <w:szCs w:val="66"/>
        </w:rPr>
        <w:t>Foreword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before="115" w:line="551" w:lineRule="exact"/>
        <w:rPr>
          <w:sz w:val="40"/>
          <w:szCs w:val="40"/>
        </w:rPr>
      </w:pPr>
      <w:r>
        <w:rPr>
          <w:position w:val="2"/>
          <w:sz w:val="40"/>
          <w:szCs w:val="40"/>
        </w:rPr>
        <w:t>Annex A of this standard is a</w:t>
      </w:r>
      <w:r>
        <w:rPr>
          <w:spacing w:val="-1"/>
          <w:position w:val="2"/>
          <w:sz w:val="40"/>
          <w:szCs w:val="40"/>
        </w:rPr>
        <w:t>n</w:t>
      </w:r>
      <w:r>
        <w:rPr>
          <w:spacing w:val="26"/>
          <w:position w:val="2"/>
          <w:sz w:val="40"/>
          <w:szCs w:val="40"/>
        </w:rPr>
        <w:t xml:space="preserve"> </w:t>
      </w:r>
      <w:r>
        <w:rPr>
          <w:spacing w:val="-1"/>
          <w:position w:val="2"/>
          <w:sz w:val="40"/>
          <w:szCs w:val="40"/>
        </w:rPr>
        <w:t>informative annex.</w:t>
      </w: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before="109" w:line="304" w:lineRule="auto"/>
        <w:ind w:right="109"/>
        <w:rPr>
          <w:sz w:val="38"/>
          <w:szCs w:val="38"/>
        </w:rPr>
      </w:pPr>
      <w:r>
        <w:rPr>
          <w:sz w:val="38"/>
          <w:szCs w:val="38"/>
        </w:rPr>
        <w:t>This</w:t>
      </w:r>
      <w:r>
        <w:rPr>
          <w:spacing w:val="37"/>
          <w:sz w:val="38"/>
          <w:szCs w:val="38"/>
        </w:rPr>
        <w:t xml:space="preserve"> </w:t>
      </w:r>
      <w:r>
        <w:rPr>
          <w:sz w:val="38"/>
          <w:szCs w:val="38"/>
        </w:rPr>
        <w:t>standard</w:t>
      </w:r>
      <w:r>
        <w:rPr>
          <w:spacing w:val="16"/>
          <w:sz w:val="38"/>
          <w:szCs w:val="38"/>
        </w:rPr>
        <w:t xml:space="preserve"> </w:t>
      </w:r>
      <w:r>
        <w:rPr>
          <w:sz w:val="38"/>
          <w:szCs w:val="38"/>
        </w:rPr>
        <w:t>was</w:t>
      </w:r>
      <w:r>
        <w:rPr>
          <w:spacing w:val="48"/>
          <w:sz w:val="38"/>
          <w:szCs w:val="38"/>
        </w:rPr>
        <w:t xml:space="preserve"> </w:t>
      </w:r>
      <w:r>
        <w:rPr>
          <w:sz w:val="38"/>
          <w:szCs w:val="38"/>
        </w:rPr>
        <w:t>proposed</w:t>
      </w:r>
      <w:r>
        <w:rPr>
          <w:spacing w:val="48"/>
          <w:sz w:val="38"/>
          <w:szCs w:val="38"/>
        </w:rPr>
        <w:t xml:space="preserve"> </w:t>
      </w:r>
      <w:r>
        <w:rPr>
          <w:sz w:val="38"/>
          <w:szCs w:val="38"/>
        </w:rPr>
        <w:t>by</w:t>
      </w:r>
      <w:r>
        <w:rPr>
          <w:spacing w:val="36"/>
          <w:sz w:val="38"/>
          <w:szCs w:val="38"/>
        </w:rPr>
        <w:t xml:space="preserve"> </w:t>
      </w:r>
      <w:r>
        <w:rPr>
          <w:sz w:val="38"/>
          <w:szCs w:val="38"/>
        </w:rPr>
        <w:t>and</w:t>
      </w:r>
      <w:r>
        <w:rPr>
          <w:spacing w:val="48"/>
          <w:sz w:val="38"/>
          <w:szCs w:val="38"/>
        </w:rPr>
        <w:t xml:space="preserve"> </w:t>
      </w:r>
      <w:r>
        <w:rPr>
          <w:sz w:val="38"/>
          <w:szCs w:val="38"/>
        </w:rPr>
        <w:t>is</w:t>
      </w:r>
      <w:r>
        <w:rPr>
          <w:spacing w:val="47"/>
          <w:sz w:val="38"/>
          <w:szCs w:val="38"/>
        </w:rPr>
        <w:t xml:space="preserve"> </w:t>
      </w:r>
      <w:r>
        <w:rPr>
          <w:sz w:val="38"/>
          <w:szCs w:val="38"/>
        </w:rPr>
        <w:t>under</w:t>
      </w:r>
      <w:r>
        <w:rPr>
          <w:spacing w:val="16"/>
          <w:sz w:val="38"/>
          <w:szCs w:val="38"/>
        </w:rPr>
        <w:t xml:space="preserve"> </w:t>
      </w:r>
      <w:r>
        <w:rPr>
          <w:sz w:val="38"/>
          <w:szCs w:val="38"/>
        </w:rPr>
        <w:t>the</w:t>
      </w:r>
      <w:r>
        <w:rPr>
          <w:spacing w:val="16"/>
          <w:sz w:val="38"/>
          <w:szCs w:val="38"/>
        </w:rPr>
        <w:t xml:space="preserve"> </w:t>
      </w:r>
      <w:r>
        <w:rPr>
          <w:sz w:val="38"/>
          <w:szCs w:val="38"/>
        </w:rPr>
        <w:t>jurisdiction</w:t>
      </w:r>
      <w:r>
        <w:rPr>
          <w:spacing w:val="35"/>
          <w:sz w:val="38"/>
          <w:szCs w:val="38"/>
        </w:rPr>
        <w:t xml:space="preserve"> </w:t>
      </w:r>
      <w:r>
        <w:rPr>
          <w:sz w:val="38"/>
          <w:szCs w:val="38"/>
        </w:rPr>
        <w:t>of</w:t>
      </w:r>
      <w:r>
        <w:rPr>
          <w:spacing w:val="28"/>
          <w:sz w:val="38"/>
          <w:szCs w:val="38"/>
        </w:rPr>
        <w:t xml:space="preserve"> </w:t>
      </w:r>
      <w:r>
        <w:rPr>
          <w:sz w:val="38"/>
          <w:szCs w:val="38"/>
        </w:rPr>
        <w:t>Certification</w:t>
      </w:r>
      <w:r>
        <w:rPr>
          <w:spacing w:val="36"/>
          <w:sz w:val="38"/>
          <w:szCs w:val="38"/>
        </w:rPr>
        <w:t xml:space="preserve"> </w:t>
      </w:r>
      <w:r>
        <w:rPr>
          <w:sz w:val="38"/>
          <w:szCs w:val="38"/>
        </w:rPr>
        <w:t>and</w:t>
      </w:r>
      <w:r>
        <w:rPr>
          <w:spacing w:val="16"/>
          <w:sz w:val="38"/>
          <w:szCs w:val="38"/>
        </w:rPr>
        <w:t xml:space="preserve"> </w:t>
      </w:r>
      <w:r>
        <w:rPr>
          <w:sz w:val="38"/>
          <w:szCs w:val="38"/>
        </w:rPr>
        <w:t>Accreditation</w:t>
      </w:r>
      <w:r>
        <w:rPr>
          <w:spacing w:val="16"/>
          <w:sz w:val="38"/>
          <w:szCs w:val="38"/>
        </w:rPr>
        <w:t xml:space="preserve"> </w:t>
      </w:r>
      <w:r>
        <w:rPr>
          <w:sz w:val="38"/>
          <w:szCs w:val="38"/>
        </w:rPr>
        <w:t>Admin</w:t>
      </w:r>
      <w:r>
        <w:rPr>
          <w:spacing w:val="16"/>
          <w:sz w:val="38"/>
          <w:szCs w:val="38"/>
        </w:rPr>
        <w:t>-</w:t>
      </w:r>
      <w:r>
        <w:rPr>
          <w:sz w:val="38"/>
          <w:szCs w:val="38"/>
        </w:rPr>
        <w:t xml:space="preserve"> </w:t>
      </w:r>
      <w:r>
        <w:rPr>
          <w:sz w:val="38"/>
          <w:szCs w:val="38"/>
        </w:rPr>
        <w:t>istration</w:t>
      </w:r>
      <w:r>
        <w:rPr>
          <w:spacing w:val="56"/>
          <w:sz w:val="38"/>
          <w:szCs w:val="38"/>
        </w:rPr>
        <w:t xml:space="preserve"> </w:t>
      </w:r>
      <w:r>
        <w:rPr>
          <w:sz w:val="38"/>
          <w:szCs w:val="38"/>
        </w:rPr>
        <w:t>of</w:t>
      </w:r>
      <w:r>
        <w:rPr>
          <w:spacing w:val="36"/>
          <w:sz w:val="38"/>
          <w:szCs w:val="38"/>
        </w:rPr>
        <w:t xml:space="preserve"> </w:t>
      </w:r>
      <w:r>
        <w:rPr>
          <w:sz w:val="38"/>
          <w:szCs w:val="38"/>
        </w:rPr>
        <w:t>the</w:t>
      </w:r>
      <w:r>
        <w:rPr>
          <w:spacing w:val="73"/>
          <w:sz w:val="38"/>
          <w:szCs w:val="38"/>
        </w:rPr>
        <w:t xml:space="preserve"> </w:t>
      </w:r>
      <w:r>
        <w:rPr>
          <w:sz w:val="38"/>
          <w:szCs w:val="38"/>
        </w:rPr>
        <w:t>People's</w:t>
      </w:r>
      <w:r>
        <w:rPr>
          <w:spacing w:val="74"/>
          <w:sz w:val="38"/>
          <w:szCs w:val="38"/>
        </w:rPr>
        <w:t xml:space="preserve"> </w:t>
      </w:r>
      <w:r>
        <w:rPr>
          <w:sz w:val="38"/>
          <w:szCs w:val="38"/>
        </w:rPr>
        <w:t>Repu</w:t>
      </w:r>
      <w:r>
        <w:rPr>
          <w:spacing w:val="-1"/>
          <w:sz w:val="38"/>
          <w:szCs w:val="38"/>
        </w:rPr>
        <w:t>blic</w:t>
      </w:r>
      <w:r>
        <w:rPr>
          <w:spacing w:val="56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of</w:t>
      </w:r>
      <w:r>
        <w:rPr>
          <w:spacing w:val="48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China.</w:t>
      </w: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pStyle w:val="BodyText"/>
        <w:spacing w:before="109" w:line="320" w:lineRule="auto"/>
        <w:ind w:right="109"/>
        <w:rPr>
          <w:sz w:val="38"/>
          <w:szCs w:val="38"/>
        </w:rPr>
      </w:pPr>
      <w:r>
        <w:rPr>
          <w:spacing w:val="-1"/>
          <w:sz w:val="38"/>
          <w:szCs w:val="38"/>
        </w:rPr>
        <w:t>This standard</w:t>
      </w:r>
      <w:r>
        <w:rPr>
          <w:spacing w:val="42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is drafted</w:t>
      </w:r>
      <w:r>
        <w:rPr>
          <w:spacing w:val="27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by</w:t>
      </w:r>
      <w:r>
        <w:rPr>
          <w:spacing w:val="33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Hubei</w:t>
      </w:r>
      <w:r>
        <w:rPr>
          <w:spacing w:val="32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Entry-Exit</w:t>
      </w:r>
      <w:r>
        <w:rPr>
          <w:spacing w:val="38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Inspection and Quarantine</w:t>
      </w:r>
      <w:r>
        <w:rPr>
          <w:spacing w:val="30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Bureau of the</w:t>
      </w:r>
      <w:r>
        <w:rPr>
          <w:spacing w:val="32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People's</w:t>
      </w:r>
      <w:r>
        <w:rPr>
          <w:spacing w:val="32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Repub-</w:t>
      </w:r>
      <w:r>
        <w:rPr>
          <w:sz w:val="38"/>
          <w:szCs w:val="38"/>
        </w:rPr>
        <w:t xml:space="preserve"> </w:t>
      </w:r>
      <w:r>
        <w:rPr>
          <w:sz w:val="38"/>
          <w:szCs w:val="38"/>
        </w:rPr>
        <w:t>lic</w:t>
      </w:r>
      <w:r>
        <w:rPr>
          <w:spacing w:val="51"/>
          <w:sz w:val="38"/>
          <w:szCs w:val="38"/>
        </w:rPr>
        <w:t xml:space="preserve"> </w:t>
      </w:r>
      <w:r>
        <w:rPr>
          <w:sz w:val="38"/>
          <w:szCs w:val="38"/>
        </w:rPr>
        <w:t>of</w:t>
      </w:r>
      <w:r>
        <w:rPr>
          <w:spacing w:val="44"/>
          <w:sz w:val="38"/>
          <w:szCs w:val="38"/>
        </w:rPr>
        <w:t xml:space="preserve"> </w:t>
      </w:r>
      <w:r>
        <w:rPr>
          <w:sz w:val="38"/>
          <w:szCs w:val="38"/>
        </w:rPr>
        <w:t>China</w:t>
      </w:r>
      <w:r>
        <w:rPr>
          <w:spacing w:val="9"/>
          <w:sz w:val="38"/>
          <w:szCs w:val="38"/>
        </w:rPr>
        <w:t>.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before="110" w:line="691" w:lineRule="exact"/>
        <w:rPr>
          <w:sz w:val="38"/>
          <w:szCs w:val="38"/>
        </w:rPr>
      </w:pPr>
      <w:r>
        <w:rPr>
          <w:position w:val="19"/>
          <w:sz w:val="38"/>
          <w:szCs w:val="38"/>
        </w:rPr>
        <w:t>Main</w:t>
      </w:r>
      <w:r>
        <w:rPr>
          <w:spacing w:val="42"/>
          <w:position w:val="19"/>
          <w:sz w:val="38"/>
          <w:szCs w:val="38"/>
        </w:rPr>
        <w:t xml:space="preserve">  </w:t>
      </w:r>
      <w:r>
        <w:rPr>
          <w:position w:val="19"/>
          <w:sz w:val="38"/>
          <w:szCs w:val="38"/>
        </w:rPr>
        <w:t>drafters</w:t>
      </w:r>
      <w:r>
        <w:rPr>
          <w:spacing w:val="41"/>
          <w:position w:val="19"/>
          <w:sz w:val="38"/>
          <w:szCs w:val="38"/>
        </w:rPr>
        <w:t xml:space="preserve">  </w:t>
      </w:r>
      <w:r>
        <w:rPr>
          <w:position w:val="19"/>
          <w:sz w:val="38"/>
          <w:szCs w:val="38"/>
        </w:rPr>
        <w:t>of</w:t>
      </w:r>
      <w:r>
        <w:rPr>
          <w:spacing w:val="32"/>
          <w:position w:val="19"/>
          <w:sz w:val="38"/>
          <w:szCs w:val="38"/>
        </w:rPr>
        <w:t xml:space="preserve">  </w:t>
      </w:r>
      <w:r>
        <w:rPr>
          <w:position w:val="19"/>
          <w:sz w:val="38"/>
          <w:szCs w:val="38"/>
        </w:rPr>
        <w:t>this</w:t>
      </w:r>
      <w:r>
        <w:rPr>
          <w:spacing w:val="41"/>
          <w:position w:val="19"/>
          <w:sz w:val="38"/>
          <w:szCs w:val="38"/>
        </w:rPr>
        <w:t xml:space="preserve">  </w:t>
      </w:r>
      <w:r>
        <w:rPr>
          <w:position w:val="19"/>
          <w:sz w:val="38"/>
          <w:szCs w:val="38"/>
        </w:rPr>
        <w:t>standard</w:t>
      </w:r>
      <w:r>
        <w:rPr>
          <w:spacing w:val="43"/>
          <w:position w:val="19"/>
          <w:sz w:val="38"/>
          <w:szCs w:val="38"/>
        </w:rPr>
        <w:t xml:space="preserve">  </w:t>
      </w:r>
      <w:r>
        <w:rPr>
          <w:position w:val="19"/>
          <w:sz w:val="38"/>
          <w:szCs w:val="38"/>
        </w:rPr>
        <w:t>are</w:t>
      </w:r>
      <w:r>
        <w:rPr>
          <w:spacing w:val="4"/>
          <w:position w:val="19"/>
          <w:sz w:val="38"/>
          <w:szCs w:val="38"/>
        </w:rPr>
        <w:t>:</w:t>
      </w:r>
      <w:r>
        <w:rPr>
          <w:position w:val="19"/>
          <w:sz w:val="38"/>
          <w:szCs w:val="38"/>
        </w:rPr>
        <w:t>Lin</w:t>
      </w:r>
      <w:r>
        <w:rPr>
          <w:spacing w:val="35"/>
          <w:position w:val="19"/>
          <w:sz w:val="38"/>
          <w:szCs w:val="38"/>
        </w:rPr>
        <w:t xml:space="preserve">  </w:t>
      </w:r>
      <w:r>
        <w:rPr>
          <w:position w:val="19"/>
          <w:sz w:val="38"/>
          <w:szCs w:val="38"/>
        </w:rPr>
        <w:t>Yanfei</w:t>
      </w:r>
      <w:r>
        <w:rPr>
          <w:spacing w:val="4"/>
          <w:position w:val="19"/>
          <w:sz w:val="38"/>
          <w:szCs w:val="38"/>
        </w:rPr>
        <w:t>,</w:t>
      </w:r>
      <w:r>
        <w:rPr>
          <w:position w:val="19"/>
          <w:sz w:val="38"/>
          <w:szCs w:val="38"/>
        </w:rPr>
        <w:t>Zhao</w:t>
      </w:r>
      <w:r>
        <w:rPr>
          <w:spacing w:val="36"/>
          <w:position w:val="19"/>
          <w:sz w:val="38"/>
          <w:szCs w:val="38"/>
        </w:rPr>
        <w:t xml:space="preserve">  </w:t>
      </w:r>
      <w:r>
        <w:rPr>
          <w:position w:val="19"/>
          <w:sz w:val="38"/>
          <w:szCs w:val="38"/>
        </w:rPr>
        <w:t>Xiaoya</w:t>
      </w:r>
      <w:r>
        <w:rPr>
          <w:spacing w:val="4"/>
          <w:position w:val="19"/>
          <w:sz w:val="38"/>
          <w:szCs w:val="38"/>
        </w:rPr>
        <w:t>,</w:t>
      </w:r>
      <w:r>
        <w:rPr>
          <w:position w:val="19"/>
          <w:sz w:val="38"/>
          <w:szCs w:val="38"/>
        </w:rPr>
        <w:t>Hu</w:t>
      </w:r>
      <w:r>
        <w:rPr>
          <w:spacing w:val="36"/>
          <w:position w:val="19"/>
          <w:sz w:val="38"/>
          <w:szCs w:val="38"/>
        </w:rPr>
        <w:t xml:space="preserve">  </w:t>
      </w:r>
      <w:r>
        <w:rPr>
          <w:position w:val="19"/>
          <w:sz w:val="38"/>
          <w:szCs w:val="38"/>
        </w:rPr>
        <w:t>Xiaozhong</w:t>
      </w:r>
      <w:r>
        <w:rPr>
          <w:spacing w:val="4"/>
          <w:position w:val="19"/>
          <w:sz w:val="38"/>
          <w:szCs w:val="38"/>
        </w:rPr>
        <w:t>,</w:t>
      </w:r>
      <w:r>
        <w:rPr>
          <w:position w:val="19"/>
          <w:sz w:val="38"/>
          <w:szCs w:val="38"/>
        </w:rPr>
        <w:t>Wang</w:t>
      </w:r>
      <w:r>
        <w:rPr>
          <w:spacing w:val="50"/>
          <w:position w:val="19"/>
          <w:sz w:val="38"/>
          <w:szCs w:val="38"/>
        </w:rPr>
        <w:t xml:space="preserve">  </w:t>
      </w:r>
      <w:r>
        <w:rPr>
          <w:position w:val="19"/>
          <w:sz w:val="38"/>
          <w:szCs w:val="38"/>
        </w:rPr>
        <w:t>Peng</w:t>
      </w:r>
      <w:r>
        <w:rPr>
          <w:spacing w:val="4"/>
          <w:position w:val="19"/>
          <w:sz w:val="38"/>
          <w:szCs w:val="38"/>
        </w:rPr>
        <w:t>,</w:t>
      </w:r>
      <w:r>
        <w:rPr>
          <w:position w:val="19"/>
          <w:sz w:val="38"/>
          <w:szCs w:val="38"/>
        </w:rPr>
        <w:t>Li</w:t>
      </w:r>
      <w:r>
        <w:rPr>
          <w:spacing w:val="41"/>
          <w:position w:val="19"/>
          <w:sz w:val="38"/>
          <w:szCs w:val="38"/>
        </w:rPr>
        <w:t xml:space="preserve">  </w:t>
      </w:r>
      <w:r>
        <w:rPr>
          <w:position w:val="19"/>
          <w:sz w:val="38"/>
          <w:szCs w:val="38"/>
        </w:rPr>
        <w:t>Jing</w:t>
      </w:r>
      <w:r>
        <w:rPr>
          <w:spacing w:val="4"/>
          <w:position w:val="19"/>
          <w:sz w:val="38"/>
          <w:szCs w:val="38"/>
        </w:rPr>
        <w:t>,</w:t>
      </w:r>
    </w:p>
    <w:p>
      <w:pPr>
        <w:pStyle w:val="BodyText"/>
        <w:spacing w:before="1" w:line="200" w:lineRule="auto"/>
        <w:rPr>
          <w:sz w:val="38"/>
          <w:szCs w:val="38"/>
        </w:rPr>
      </w:pPr>
      <w:r>
        <w:rPr>
          <w:sz w:val="38"/>
          <w:szCs w:val="38"/>
        </w:rPr>
        <w:t>Fu</w:t>
      </w:r>
      <w:r>
        <w:rPr>
          <w:spacing w:val="21"/>
          <w:sz w:val="38"/>
          <w:szCs w:val="38"/>
        </w:rPr>
        <w:t xml:space="preserve"> </w:t>
      </w:r>
      <w:r>
        <w:rPr>
          <w:sz w:val="38"/>
          <w:szCs w:val="38"/>
        </w:rPr>
        <w:t>Xiaofang</w:t>
      </w:r>
      <w:r>
        <w:rPr>
          <w:spacing w:val="20"/>
          <w:sz w:val="38"/>
          <w:szCs w:val="38"/>
        </w:rPr>
        <w:t>.</w:t>
      </w:r>
    </w:p>
    <w:p>
      <w:pPr>
        <w:pStyle w:val="BodyText"/>
        <w:spacing w:line="289" w:lineRule="auto"/>
      </w:pPr>
    </w:p>
    <w:p>
      <w:pPr>
        <w:pStyle w:val="BodyText"/>
        <w:spacing w:line="290" w:lineRule="auto"/>
      </w:pPr>
    </w:p>
    <w:p>
      <w:pPr>
        <w:pStyle w:val="BodyText"/>
        <w:spacing w:before="109" w:line="296" w:lineRule="auto"/>
        <w:ind w:right="109"/>
        <w:rPr>
          <w:sz w:val="38"/>
          <w:szCs w:val="38"/>
        </w:rPr>
      </w:pPr>
      <w:r>
        <w:rPr>
          <w:spacing w:val="-1"/>
          <w:sz w:val="38"/>
          <w:szCs w:val="38"/>
        </w:rPr>
        <w:t>This</w:t>
      </w:r>
      <w:r>
        <w:rPr>
          <w:spacing w:val="57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standard</w:t>
      </w:r>
      <w:r>
        <w:rPr>
          <w:spacing w:val="53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is</w:t>
      </w:r>
      <w:r>
        <w:rPr>
          <w:spacing w:val="42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a</w:t>
      </w:r>
      <w:r>
        <w:rPr>
          <w:spacing w:val="53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professional</w:t>
      </w:r>
      <w:r>
        <w:rPr>
          <w:spacing w:val="40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standard</w:t>
      </w:r>
      <w:r>
        <w:rPr>
          <w:spacing w:val="31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for</w:t>
      </w:r>
      <w:r>
        <w:rPr>
          <w:spacing w:val="53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Entry-Exit</w:t>
      </w:r>
      <w:r>
        <w:rPr>
          <w:spacing w:val="53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inspection</w:t>
      </w:r>
      <w:r>
        <w:rPr>
          <w:spacing w:val="42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and</w:t>
      </w:r>
      <w:r>
        <w:rPr>
          <w:spacing w:val="41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quarantine</w:t>
      </w:r>
      <w:r>
        <w:rPr>
          <w:spacing w:val="41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of the</w:t>
      </w:r>
      <w:r>
        <w:rPr>
          <w:spacing w:val="57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People's</w:t>
      </w:r>
      <w:r>
        <w:rPr>
          <w:spacing w:val="59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Re-</w:t>
      </w:r>
      <w:r>
        <w:rPr>
          <w:sz w:val="38"/>
          <w:szCs w:val="38"/>
        </w:rPr>
        <w:t xml:space="preserve"> </w:t>
      </w:r>
      <w:r>
        <w:rPr>
          <w:sz w:val="38"/>
          <w:szCs w:val="38"/>
        </w:rPr>
        <w:t>public</w:t>
      </w:r>
      <w:r>
        <w:rPr>
          <w:spacing w:val="69"/>
          <w:sz w:val="38"/>
          <w:szCs w:val="38"/>
        </w:rPr>
        <w:t xml:space="preserve"> </w:t>
      </w:r>
      <w:r>
        <w:rPr>
          <w:sz w:val="38"/>
          <w:szCs w:val="38"/>
        </w:rPr>
        <w:t>of</w:t>
      </w:r>
      <w:r>
        <w:rPr>
          <w:spacing w:val="62"/>
          <w:sz w:val="38"/>
          <w:szCs w:val="38"/>
        </w:rPr>
        <w:t xml:space="preserve"> </w:t>
      </w:r>
      <w:r>
        <w:rPr>
          <w:sz w:val="38"/>
          <w:szCs w:val="38"/>
        </w:rPr>
        <w:t>China</w:t>
      </w:r>
      <w:r>
        <w:rPr>
          <w:spacing w:val="83"/>
          <w:sz w:val="38"/>
          <w:szCs w:val="38"/>
        </w:rPr>
        <w:t xml:space="preserve"> </w:t>
      </w:r>
      <w:r>
        <w:rPr>
          <w:sz w:val="38"/>
          <w:szCs w:val="38"/>
        </w:rPr>
        <w:t>promulgated</w:t>
      </w:r>
      <w:r>
        <w:rPr>
          <w:spacing w:val="60"/>
          <w:sz w:val="38"/>
          <w:szCs w:val="38"/>
        </w:rPr>
        <w:t xml:space="preserve"> </w:t>
      </w:r>
      <w:r>
        <w:rPr>
          <w:sz w:val="38"/>
          <w:szCs w:val="38"/>
        </w:rPr>
        <w:t>for</w:t>
      </w:r>
      <w:r>
        <w:rPr>
          <w:spacing w:val="59"/>
          <w:sz w:val="38"/>
          <w:szCs w:val="38"/>
        </w:rPr>
        <w:t xml:space="preserve"> </w:t>
      </w:r>
      <w:r>
        <w:rPr>
          <w:sz w:val="38"/>
          <w:szCs w:val="38"/>
        </w:rPr>
        <w:t>the</w:t>
      </w:r>
      <w:r>
        <w:rPr>
          <w:spacing w:val="60"/>
          <w:sz w:val="38"/>
          <w:szCs w:val="38"/>
        </w:rPr>
        <w:t xml:space="preserve"> </w:t>
      </w:r>
      <w:r>
        <w:rPr>
          <w:sz w:val="38"/>
          <w:szCs w:val="38"/>
        </w:rPr>
        <w:t>first</w:t>
      </w:r>
      <w:r>
        <w:rPr>
          <w:spacing w:val="64"/>
          <w:sz w:val="38"/>
          <w:szCs w:val="38"/>
        </w:rPr>
        <w:t xml:space="preserve"> </w:t>
      </w:r>
      <w:r>
        <w:rPr>
          <w:sz w:val="38"/>
          <w:szCs w:val="38"/>
        </w:rPr>
        <w:t>time</w:t>
      </w:r>
      <w:r>
        <w:rPr>
          <w:spacing w:val="17"/>
          <w:sz w:val="38"/>
          <w:szCs w:val="38"/>
        </w:rPr>
        <w:t>.</w:t>
      </w:r>
    </w:p>
    <w:p>
      <w:pPr>
        <w:spacing w:line="296" w:lineRule="auto"/>
        <w:rPr>
          <w:sz w:val="38"/>
          <w:szCs w:val="38"/>
        </w:rPr>
      </w:pPr>
      <w:r>
        <w:rPr>
          <w:sz w:val="38"/>
          <w:szCs w:val="38"/>
        </w:rPr>
        <w:br/>
      </w:r>
      <w:r>
        <w:rPr>
          <w:sz w:val="38"/>
          <w:szCs w:val="3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https://d.book118.com/817116154104006052</w:t>
        </w:r>
      </w:hyperlink>
    </w:p>
    <w:p>
      <w:pPr>
        <w:spacing w:line="296" w:lineRule="auto"/>
        <w:rPr>
          <w:sz w:val="38"/>
          <w:szCs w:val="38"/>
        </w:rPr>
      </w:pPr>
    </w:p>
    <w:sectPr>
      <w:footerReference w:type="default" r:id="rId21"/>
      <w:pgSz w:w="21824" w:h="31680"/>
      <w:pgMar w:top="2627" w:right="2054" w:bottom="2362" w:left="2301" w:header="0" w:footer="2112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6112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17049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17049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319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319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17052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58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6964"/>
      <w:rPr>
        <w:rFonts w:ascii="SimHei" w:eastAsia="SimHei" w:hAnsi="SimHei" w:cs="SimHei"/>
        <w:sz w:val="25"/>
        <w:szCs w:val="25"/>
      </w:rPr>
    </w:pPr>
    <w:r>
      <w:rPr>
        <w:rFonts w:ascii="SimHei" w:eastAsia="SimHei" w:hAnsi="SimHei" w:cs="SimHei"/>
        <w:sz w:val="25"/>
        <w:szCs w:val="25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1"/>
      <w:szCs w:val="3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image" Target="media/image6.png" /><Relationship Id="rId15" Type="http://schemas.openxmlformats.org/officeDocument/2006/relationships/image" Target="media/image7.jpeg" /><Relationship Id="rId16" Type="http://schemas.openxmlformats.org/officeDocument/2006/relationships/footer" Target="footer6.xml" /><Relationship Id="rId17" Type="http://schemas.openxmlformats.org/officeDocument/2006/relationships/image" Target="media/image8.jpeg" /><Relationship Id="rId18" Type="http://schemas.openxmlformats.org/officeDocument/2006/relationships/image" Target="media/image9.jpeg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817116154104006052" TargetMode="External" /><Relationship Id="rId21" Type="http://schemas.openxmlformats.org/officeDocument/2006/relationships/footer" Target="footer8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2024-03-13T11:46:33Z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2024-03-13T11:46:41Z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65f12169cc71d6001fe88f7ewl</vt:lpwstr>
  </property>
</Properties>
</file>