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5"/>
        <w:rPr>
          <w:rFonts w:ascii="Times New Roman"/>
          <w:sz w:val="24"/>
        </w:rPr>
      </w:pPr>
    </w:p>
    <w:p>
      <w:pPr>
        <w:spacing w:before="87"/>
        <w:ind w:left="2438" w:right="2617" w:firstLine="0"/>
        <w:jc w:val="center"/>
        <w:rPr>
          <w:rFonts w:ascii="Arial"/>
          <w:b/>
          <w:sz w:val="40"/>
        </w:rPr>
      </w:pPr>
      <w:r>
        <w:rPr>
          <w:rFonts w:ascii="Arial"/>
          <w:b/>
          <w:sz w:val="40"/>
        </w:rPr>
        <w:t>ISO</w:t>
      </w:r>
      <w:r>
        <w:rPr>
          <w:rFonts w:ascii="Arial"/>
          <w:b/>
          <w:spacing w:val="-1"/>
          <w:sz w:val="40"/>
        </w:rPr>
        <w:t xml:space="preserve"> </w:t>
      </w:r>
      <w:r>
        <w:rPr>
          <w:rFonts w:ascii="Arial"/>
          <w:b/>
          <w:sz w:val="40"/>
        </w:rPr>
        <w:t>50001:2018</w:t>
      </w:r>
    </w:p>
    <w:p>
      <w:pPr>
        <w:pStyle w:val="BodyText"/>
        <w:spacing w:before="2"/>
        <w:rPr>
          <w:rFonts w:ascii="Arial"/>
          <w:b/>
          <w:sz w:val="39"/>
        </w:rPr>
      </w:pPr>
    </w:p>
    <w:p>
      <w:pPr>
        <w:pStyle w:val="Title"/>
      </w:pPr>
      <w:r>
        <w:rPr>
          <w:spacing w:val="11"/>
          <w:w w:val="95"/>
        </w:rPr>
        <w:t>能源管理体系 要求及使用指南</w:t>
      </w:r>
    </w:p>
    <w:p>
      <w:pPr>
        <w:spacing w:after="0"/>
        <w:sectPr>
          <w:headerReference w:type="default" r:id="rId4"/>
          <w:type w:val="continuous"/>
          <w:pgSz w:w="12240" w:h="15840"/>
          <w:pgMar w:top="1300" w:right="1480" w:bottom="280" w:left="1660" w:header="978" w:footer="708"/>
          <w:cols w:space="708"/>
        </w:sect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24"/>
        </w:rPr>
      </w:pPr>
    </w:p>
    <w:p>
      <w:pPr>
        <w:pStyle w:val="Heading1"/>
        <w:spacing w:before="61"/>
        <w:ind w:left="0" w:right="177" w:firstLine="0"/>
        <w:jc w:val="center"/>
      </w:pPr>
      <w:r>
        <w:rPr>
          <w:spacing w:val="4"/>
        </w:rPr>
        <w:t>目 录</w:t>
      </w:r>
    </w:p>
    <w:p>
      <w:pPr>
        <w:spacing w:after="0"/>
        <w:jc w:val="center"/>
        <w:sectPr>
          <w:headerReference w:type="default" r:id="rId5"/>
          <w:pgSz w:w="12240" w:h="15840"/>
          <w:pgMar w:top="1380" w:right="1480" w:bottom="1547" w:left="1660" w:header="978" w:footer="0"/>
          <w:pgNumType w:start="2"/>
          <w:cols w:space="708"/>
        </w:sectPr>
      </w:pPr>
    </w:p>
    <w:sdt>
      <w:sdtPr>
        <w:id w:val="57561325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8519"/>
            </w:tabs>
            <w:spacing w:before="917"/>
            <w:ind w:left="0" w:firstLine="0"/>
            <w:jc w:val="center"/>
            <w:rPr>
              <w:rFonts w:ascii="Calibri" w:eastAsia="Calibri"/>
            </w:rPr>
          </w:pPr>
          <w:hyperlink w:anchor="_bookmark0" w:history="1">
            <w:r>
              <w:t>前</w:t>
            </w:r>
            <w:r>
              <w:rPr>
                <w:spacing w:val="73"/>
              </w:rPr>
              <w:t xml:space="preserve"> </w:t>
            </w:r>
            <w: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4</w:t>
            </w:r>
          </w:hyperlink>
        </w:p>
        <w:p>
          <w:pPr>
            <w:pStyle w:val="TOC1"/>
            <w:tabs>
              <w:tab w:val="left" w:leader="dot" w:pos="8519"/>
            </w:tabs>
            <w:spacing w:before="147"/>
            <w:ind w:left="0" w:firstLine="0"/>
            <w:jc w:val="center"/>
            <w:rPr>
              <w:rFonts w:ascii="Calibri" w:eastAsia="Calibri"/>
            </w:rPr>
          </w:pPr>
          <w:hyperlink w:anchor="_bookmark1" w:history="1">
            <w:r>
              <w:t>引</w:t>
            </w:r>
            <w:r>
              <w:rPr>
                <w:spacing w:val="11"/>
              </w:rPr>
              <w:t xml:space="preserve"> </w:t>
            </w:r>
            <w: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5</w:t>
            </w:r>
          </w:hyperlink>
        </w:p>
        <w:p>
          <w:pPr>
            <w:pStyle w:val="TOC1"/>
            <w:numPr>
              <w:ilvl w:val="0"/>
              <w:numId w:val="35"/>
            </w:numPr>
            <w:tabs>
              <w:tab w:val="left" w:pos="324"/>
              <w:tab w:val="left" w:leader="dot" w:pos="8519"/>
            </w:tabs>
            <w:spacing w:before="145" w:after="0" w:line="240" w:lineRule="auto"/>
            <w:ind w:left="324" w:right="186" w:hanging="324"/>
            <w:jc w:val="left"/>
            <w:rPr>
              <w:rFonts w:ascii="Calibri" w:eastAsia="Calibri"/>
            </w:rPr>
          </w:pPr>
          <w:hyperlink w:anchor="_bookmark2" w:history="1">
            <w:r>
              <w:t>范围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8</w:t>
            </w:r>
          </w:hyperlink>
        </w:p>
        <w:p>
          <w:pPr>
            <w:pStyle w:val="TOC1"/>
            <w:numPr>
              <w:ilvl w:val="0"/>
              <w:numId w:val="35"/>
            </w:numPr>
            <w:tabs>
              <w:tab w:val="left" w:pos="324"/>
              <w:tab w:val="left" w:leader="dot" w:pos="8519"/>
            </w:tabs>
            <w:spacing w:before="146" w:after="0" w:line="240" w:lineRule="auto"/>
            <w:ind w:left="324" w:right="186" w:hanging="324"/>
            <w:jc w:val="left"/>
            <w:rPr>
              <w:rFonts w:ascii="Calibri" w:eastAsia="Calibri"/>
            </w:rPr>
          </w:pPr>
          <w:hyperlink w:anchor="_bookmark3" w:history="1">
            <w:r>
              <w:t>规范性引用文件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8</w:t>
            </w:r>
          </w:hyperlink>
        </w:p>
        <w:p>
          <w:pPr>
            <w:pStyle w:val="TOC1"/>
            <w:numPr>
              <w:ilvl w:val="0"/>
              <w:numId w:val="35"/>
            </w:numPr>
            <w:tabs>
              <w:tab w:val="left" w:pos="324"/>
              <w:tab w:val="left" w:leader="dot" w:pos="8519"/>
            </w:tabs>
            <w:spacing w:before="147" w:after="0" w:line="240" w:lineRule="auto"/>
            <w:ind w:left="324" w:right="186" w:hanging="324"/>
            <w:jc w:val="left"/>
            <w:rPr>
              <w:rFonts w:ascii="Calibri" w:eastAsia="Calibri"/>
            </w:rPr>
          </w:pPr>
          <w:hyperlink w:anchor="_bookmark4" w:history="1">
            <w:r>
              <w:t>术语和定义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8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659"/>
            </w:tabs>
            <w:spacing w:before="146" w:after="0" w:line="240" w:lineRule="auto"/>
            <w:ind w:left="727" w:right="0" w:hanging="368"/>
            <w:jc w:val="left"/>
            <w:rPr>
              <w:rFonts w:ascii="Calibri" w:eastAsia="Calibri"/>
            </w:rPr>
          </w:pPr>
          <w:hyperlink w:anchor="_bookmark5" w:history="1">
            <w:r>
              <w:t>与组织相关的术语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8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659"/>
            </w:tabs>
            <w:spacing w:before="146" w:after="0" w:line="240" w:lineRule="auto"/>
            <w:ind w:left="727" w:right="0" w:hanging="368"/>
            <w:jc w:val="left"/>
            <w:rPr>
              <w:rFonts w:ascii="Calibri" w:eastAsia="Calibri"/>
            </w:rPr>
          </w:pPr>
          <w:hyperlink w:anchor="_bookmark6" w:history="1">
            <w:r>
              <w:t>与管理体系相关的术语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9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6" w:after="0" w:line="240" w:lineRule="auto"/>
            <w:ind w:left="727" w:right="0" w:hanging="368"/>
            <w:jc w:val="left"/>
            <w:rPr>
              <w:rFonts w:ascii="Calibri" w:eastAsia="Calibri"/>
            </w:rPr>
          </w:pPr>
          <w:hyperlink w:anchor="_bookmark7" w:history="1">
            <w:r>
              <w:t>与要求相关的术语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10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7" w:after="0" w:line="240" w:lineRule="auto"/>
            <w:ind w:left="727" w:right="0" w:hanging="368"/>
            <w:jc w:val="left"/>
            <w:rPr>
              <w:rFonts w:ascii="Calibri" w:eastAsia="Calibri"/>
            </w:rPr>
          </w:pPr>
          <w:hyperlink w:anchor="_bookmark8" w:history="1">
            <w:r>
              <w:t>与绩效相关的术语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12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6" w:after="0" w:line="240" w:lineRule="auto"/>
            <w:ind w:left="727" w:right="0" w:hanging="368"/>
            <w:jc w:val="left"/>
            <w:rPr>
              <w:rFonts w:ascii="Calibri" w:eastAsia="Calibri"/>
            </w:rPr>
          </w:pPr>
          <w:hyperlink w:anchor="_bookmark9" w:history="1">
            <w:r>
              <w:t>与能源相关的术语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14</w:t>
            </w:r>
          </w:hyperlink>
        </w:p>
        <w:p>
          <w:pPr>
            <w:pStyle w:val="TOC1"/>
            <w:numPr>
              <w:ilvl w:val="0"/>
              <w:numId w:val="35"/>
            </w:numPr>
            <w:tabs>
              <w:tab w:val="left" w:pos="324"/>
              <w:tab w:val="left" w:leader="dot" w:pos="8408"/>
            </w:tabs>
            <w:spacing w:before="146" w:after="0" w:line="240" w:lineRule="auto"/>
            <w:ind w:left="324" w:right="186" w:hanging="324"/>
            <w:jc w:val="left"/>
            <w:rPr>
              <w:rFonts w:ascii="Calibri" w:eastAsia="Calibri"/>
            </w:rPr>
          </w:pPr>
          <w:hyperlink w:anchor="_bookmark10" w:history="1">
            <w:r>
              <w:t>组织环境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16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6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11" w:history="1">
            <w:r>
              <w:t>理解组织及其所处的环境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16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7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12" w:history="1">
            <w:r>
              <w:t>理解相关方的需求和期望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16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7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13" w:history="1">
            <w:r>
              <w:t>确定能源管理体系的范围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16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5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14" w:history="1">
            <w:r>
              <w:t>能源管理体系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16</w:t>
            </w:r>
          </w:hyperlink>
        </w:p>
        <w:p>
          <w:pPr>
            <w:pStyle w:val="TOC1"/>
            <w:numPr>
              <w:ilvl w:val="0"/>
              <w:numId w:val="35"/>
            </w:numPr>
            <w:tabs>
              <w:tab w:val="left" w:pos="324"/>
              <w:tab w:val="left" w:leader="dot" w:pos="8408"/>
            </w:tabs>
            <w:spacing w:before="146" w:after="0" w:line="240" w:lineRule="auto"/>
            <w:ind w:left="324" w:right="186" w:hanging="324"/>
            <w:jc w:val="left"/>
            <w:rPr>
              <w:rFonts w:ascii="Calibri" w:eastAsia="Calibri"/>
            </w:rPr>
          </w:pPr>
          <w:hyperlink w:anchor="_bookmark15" w:history="1">
            <w:r>
              <w:t>领导作用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17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7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16" w:history="1">
            <w:r>
              <w:t>领导作用与承诺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17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7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17" w:history="1">
            <w:r>
              <w:t>能源方针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17</w:t>
            </w:r>
          </w:hyperlink>
        </w:p>
        <w:p>
          <w:pPr>
            <w:pStyle w:val="TOC4"/>
            <w:numPr>
              <w:ilvl w:val="1"/>
              <w:numId w:val="35"/>
            </w:numPr>
            <w:tabs>
              <w:tab w:val="left" w:pos="728"/>
              <w:tab w:val="left" w:leader="dot" w:pos="8548"/>
            </w:tabs>
            <w:spacing w:before="145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18" w:history="1">
            <w:r>
              <w:t>组织的角色、职责和权限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18</w:t>
            </w:r>
          </w:hyperlink>
        </w:p>
        <w:p>
          <w:pPr>
            <w:pStyle w:val="TOC1"/>
            <w:tabs>
              <w:tab w:val="left" w:leader="dot" w:pos="8408"/>
            </w:tabs>
            <w:ind w:left="0" w:firstLine="0"/>
            <w:jc w:val="center"/>
            <w:rPr>
              <w:rFonts w:ascii="Calibri" w:eastAsia="Calibri"/>
            </w:rPr>
          </w:pPr>
          <w:hyperlink w:anchor="_bookmark19" w:history="1">
            <w:r>
              <w:rPr>
                <w:rFonts w:ascii="Arial" w:eastAsia="Arial"/>
              </w:rPr>
              <w:t>6</w:t>
            </w:r>
            <w:r>
              <w:rPr>
                <w:rFonts w:ascii="Arial" w:eastAsia="Arial"/>
                <w:spacing w:val="-1"/>
              </w:rPr>
              <w:t xml:space="preserve"> </w:t>
            </w:r>
            <w:r>
              <w:t>策划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18</w:t>
            </w:r>
          </w:hyperlink>
        </w:p>
        <w:p>
          <w:pPr>
            <w:pStyle w:val="TOC4"/>
            <w:numPr>
              <w:ilvl w:val="1"/>
              <w:numId w:val="34"/>
            </w:numPr>
            <w:tabs>
              <w:tab w:val="left" w:pos="728"/>
              <w:tab w:val="left" w:leader="dot" w:pos="8548"/>
            </w:tabs>
            <w:spacing w:before="147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20" w:history="1">
            <w:r>
              <w:t>应对风险和机遇的措施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18</w:t>
            </w:r>
          </w:hyperlink>
        </w:p>
        <w:p>
          <w:pPr>
            <w:pStyle w:val="TOC4"/>
            <w:numPr>
              <w:ilvl w:val="1"/>
              <w:numId w:val="34"/>
            </w:numPr>
            <w:tabs>
              <w:tab w:val="left" w:pos="728"/>
              <w:tab w:val="left" w:leader="dot" w:pos="8548"/>
            </w:tabs>
            <w:spacing w:before="146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21" w:history="1">
            <w:r>
              <w:t>目标、能源指标及其实现的策划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18</w:t>
            </w:r>
          </w:hyperlink>
        </w:p>
        <w:p>
          <w:pPr>
            <w:pStyle w:val="TOC4"/>
            <w:numPr>
              <w:ilvl w:val="1"/>
              <w:numId w:val="34"/>
            </w:numPr>
            <w:tabs>
              <w:tab w:val="left" w:pos="728"/>
              <w:tab w:val="left" w:leader="dot" w:pos="8548"/>
            </w:tabs>
            <w:spacing w:before="146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22" w:history="1">
            <w:r>
              <w:t>能源评审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19</w:t>
            </w:r>
          </w:hyperlink>
        </w:p>
        <w:p>
          <w:pPr>
            <w:pStyle w:val="TOC4"/>
            <w:numPr>
              <w:ilvl w:val="1"/>
              <w:numId w:val="34"/>
            </w:numPr>
            <w:tabs>
              <w:tab w:val="left" w:pos="728"/>
              <w:tab w:val="left" w:leader="dot" w:pos="8548"/>
            </w:tabs>
            <w:spacing w:before="146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23" w:history="1">
            <w:r>
              <w:t>能源绩效指标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19</w:t>
            </w:r>
          </w:hyperlink>
        </w:p>
        <w:p>
          <w:pPr>
            <w:pStyle w:val="TOC4"/>
            <w:numPr>
              <w:ilvl w:val="1"/>
              <w:numId w:val="34"/>
            </w:numPr>
            <w:tabs>
              <w:tab w:val="left" w:pos="714"/>
              <w:tab w:val="left" w:leader="dot" w:pos="8548"/>
            </w:tabs>
            <w:spacing w:before="147" w:after="0" w:line="240" w:lineRule="auto"/>
            <w:ind w:left="714" w:right="0" w:hanging="355"/>
            <w:jc w:val="left"/>
            <w:rPr>
              <w:rFonts w:ascii="Calibri" w:eastAsia="Calibri"/>
            </w:rPr>
            <w:sectPr>
              <w:headerReference w:type="default" r:id="rId6"/>
              <w:type w:val="continuous"/>
              <w:pgSz w:w="12240" w:h="15840"/>
              <w:pgMar w:top="1380" w:right="1480" w:bottom="1547" w:left="1660" w:header="708" w:footer="708"/>
              <w:pgNumType w:start="3"/>
              <w:cols w:space="708"/>
            </w:sectPr>
          </w:pPr>
          <w:hyperlink w:anchor="_bookmark24" w:history="1">
            <w:r>
              <w:t>能源基准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20</w:t>
            </w:r>
          </w:hyperlink>
        </w:p>
      </w:sdtContent>
    </w:sdt>
    <w:sdt>
      <w:sdtPr>
        <w:id w:val="412712877"/>
        <w:docPartObj>
          <w:docPartGallery w:val="Table of Contents"/>
          <w:docPartUnique/>
        </w:docPartObj>
      </w:sdtPr>
      <w:sdtContent>
        <w:p>
          <w:pPr>
            <w:pStyle w:val="TOC4"/>
            <w:numPr>
              <w:ilvl w:val="1"/>
              <w:numId w:val="34"/>
            </w:numPr>
            <w:tabs>
              <w:tab w:val="left" w:pos="714"/>
              <w:tab w:val="left" w:leader="dot" w:pos="8548"/>
            </w:tabs>
            <w:spacing w:before="147" w:after="20" w:line="240" w:lineRule="auto"/>
            <w:ind w:left="714" w:right="0" w:hanging="355"/>
            <w:jc w:val="left"/>
            <w:rPr>
              <w:rFonts w:ascii="Calibri" w:eastAsia="Calibri"/>
            </w:rPr>
          </w:pPr>
          <w:hyperlink w:anchor="_bookmark25" w:history="1">
            <w:r>
              <w:t>能源数据收集的策划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20</w:t>
            </w:r>
          </w:hyperlink>
        </w:p>
        <w:p>
          <w:pPr>
            <w:pStyle w:val="TOC3"/>
            <w:tabs>
              <w:tab w:val="right" w:leader="dot" w:pos="8771"/>
            </w:tabs>
            <w:rPr>
              <w:rFonts w:ascii="Calibri" w:eastAsia="Calibri"/>
            </w:rPr>
          </w:pPr>
          <w:bookmarkStart w:id="0" w:name="_bookmark0"/>
          <w:bookmarkEnd w:id="0"/>
          <w:hyperlink w:anchor="_bookmark26" w:history="1">
            <w:r>
              <w:t>7</w:t>
            </w:r>
            <w:r>
              <w:rPr>
                <w:spacing w:val="-1"/>
              </w:rPr>
              <w:t xml:space="preserve"> </w:t>
            </w:r>
            <w:r>
              <w:rPr>
                <w:rFonts w:ascii="宋体" w:eastAsia="宋体" w:hint="eastAsia"/>
              </w:rPr>
              <w:t>支持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20</w:t>
            </w:r>
          </w:hyperlink>
        </w:p>
        <w:p>
          <w:pPr>
            <w:pStyle w:val="TOC4"/>
            <w:tabs>
              <w:tab w:val="right" w:leader="dot" w:pos="8771"/>
            </w:tabs>
            <w:spacing w:before="145"/>
            <w:ind w:left="359" w:firstLine="0"/>
            <w:rPr>
              <w:rFonts w:ascii="Calibri" w:eastAsia="Calibri"/>
            </w:rPr>
          </w:pPr>
          <w:hyperlink w:anchor="_bookmark27" w:history="1">
            <w:r>
              <w:rPr>
                <w:rFonts w:ascii="Arial" w:eastAsia="Arial"/>
              </w:rPr>
              <w:t>7.1</w:t>
            </w:r>
            <w:r>
              <w:rPr>
                <w:rFonts w:ascii="Arial" w:eastAsia="Arial"/>
                <w:spacing w:val="-1"/>
              </w:rPr>
              <w:t xml:space="preserve"> </w:t>
            </w:r>
            <w:r>
              <w:t>资源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20</w:t>
            </w:r>
          </w:hyperlink>
        </w:p>
        <w:p>
          <w:pPr>
            <w:pStyle w:val="TOC4"/>
            <w:tabs>
              <w:tab w:val="right" w:leader="dot" w:pos="8771"/>
            </w:tabs>
            <w:ind w:left="359" w:firstLine="0"/>
            <w:rPr>
              <w:rFonts w:ascii="Calibri" w:eastAsia="Calibri"/>
            </w:rPr>
          </w:pPr>
          <w:hyperlink w:anchor="_bookmark28" w:history="1">
            <w:r>
              <w:rPr>
                <w:rFonts w:ascii="Arial" w:eastAsia="Arial"/>
              </w:rPr>
              <w:t>7.2</w:t>
            </w:r>
            <w:r>
              <w:rPr>
                <w:rFonts w:ascii="Arial" w:eastAsia="Arial"/>
                <w:spacing w:val="-1"/>
              </w:rPr>
              <w:t xml:space="preserve"> </w:t>
            </w:r>
            <w:r>
              <w:t>能力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4"/>
            <w:tabs>
              <w:tab w:val="right" w:leader="dot" w:pos="8771"/>
            </w:tabs>
            <w:spacing w:before="146"/>
            <w:ind w:left="359" w:firstLine="0"/>
            <w:rPr>
              <w:rFonts w:ascii="Calibri" w:eastAsia="Calibri"/>
            </w:rPr>
          </w:pPr>
          <w:hyperlink w:anchor="_bookmark29" w:history="1">
            <w:r>
              <w:rPr>
                <w:rFonts w:ascii="Arial" w:eastAsia="Arial"/>
              </w:rPr>
              <w:t>7.3</w:t>
            </w:r>
            <w:r>
              <w:rPr>
                <w:rFonts w:ascii="Arial" w:eastAsia="Arial"/>
                <w:spacing w:val="-1"/>
              </w:rPr>
              <w:t xml:space="preserve"> </w:t>
            </w:r>
            <w:r>
              <w:t>意识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4"/>
            <w:numPr>
              <w:ilvl w:val="1"/>
              <w:numId w:val="33"/>
            </w:numPr>
            <w:tabs>
              <w:tab w:val="left" w:pos="728"/>
              <w:tab w:val="right" w:leader="dot" w:pos="8771"/>
            </w:tabs>
            <w:spacing w:before="147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30" w:history="1">
            <w:r>
              <w:t>信息交流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4"/>
            <w:numPr>
              <w:ilvl w:val="1"/>
              <w:numId w:val="33"/>
            </w:numPr>
            <w:tabs>
              <w:tab w:val="left" w:pos="728"/>
              <w:tab w:val="right" w:leader="dot" w:pos="8771"/>
            </w:tabs>
            <w:spacing w:before="145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31" w:history="1">
            <w:r>
              <w:t>文件化信息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5"/>
            <w:tabs>
              <w:tab w:val="right" w:leader="dot" w:pos="8771"/>
            </w:tabs>
            <w:rPr>
              <w:rFonts w:ascii="Calibri" w:eastAsia="Calibri"/>
            </w:rPr>
          </w:pPr>
          <w:hyperlink w:anchor="_bookmark32" w:history="1">
            <w:r>
              <w:rPr>
                <w:rFonts w:ascii="Arial" w:eastAsia="Arial"/>
              </w:rPr>
              <w:t>7.5.1</w:t>
            </w:r>
            <w:r>
              <w:rPr>
                <w:rFonts w:ascii="Arial" w:eastAsia="Arial"/>
                <w:spacing w:val="-15"/>
              </w:rPr>
              <w:t xml:space="preserve"> </w:t>
            </w:r>
            <w:r>
              <w:t>总则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21</w:t>
            </w:r>
          </w:hyperlink>
        </w:p>
        <w:p>
          <w:pPr>
            <w:pStyle w:val="TOC5"/>
            <w:numPr>
              <w:ilvl w:val="2"/>
              <w:numId w:val="33"/>
            </w:numPr>
            <w:tabs>
              <w:tab w:val="left" w:pos="1132"/>
              <w:tab w:val="right" w:leader="dot" w:pos="8771"/>
            </w:tabs>
            <w:spacing w:before="146" w:after="0" w:line="240" w:lineRule="auto"/>
            <w:ind w:left="1131" w:right="0" w:hanging="552"/>
            <w:jc w:val="left"/>
            <w:rPr>
              <w:rFonts w:ascii="Calibri" w:eastAsia="Calibri"/>
            </w:rPr>
          </w:pPr>
          <w:hyperlink w:anchor="_bookmark33" w:history="1">
            <w:r>
              <w:t>创建和更新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22</w:t>
            </w:r>
          </w:hyperlink>
        </w:p>
        <w:p>
          <w:pPr>
            <w:pStyle w:val="TOC5"/>
            <w:numPr>
              <w:ilvl w:val="2"/>
              <w:numId w:val="33"/>
            </w:numPr>
            <w:tabs>
              <w:tab w:val="left" w:pos="1119"/>
              <w:tab w:val="right" w:leader="dot" w:pos="8771"/>
            </w:tabs>
            <w:spacing w:before="147" w:after="0" w:line="240" w:lineRule="auto"/>
            <w:ind w:left="1118" w:right="0" w:hanging="539"/>
            <w:jc w:val="left"/>
            <w:rPr>
              <w:rFonts w:ascii="Calibri" w:eastAsia="Calibri"/>
            </w:rPr>
          </w:pPr>
          <w:hyperlink w:anchor="_bookmark34" w:history="1">
            <w:r>
              <w:t>文件化信息的控制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22</w:t>
            </w:r>
          </w:hyperlink>
        </w:p>
        <w:p>
          <w:pPr>
            <w:pStyle w:val="TOC2"/>
            <w:tabs>
              <w:tab w:val="right" w:leader="dot" w:pos="8771"/>
            </w:tabs>
            <w:rPr>
              <w:rFonts w:ascii="Calibri" w:eastAsia="Calibri"/>
            </w:rPr>
          </w:pPr>
          <w:hyperlink w:anchor="_bookmark35" w:history="1">
            <w:r>
              <w:rPr>
                <w:rFonts w:ascii="Arial" w:eastAsia="Arial"/>
              </w:rPr>
              <w:t>8</w:t>
            </w:r>
            <w:r>
              <w:rPr>
                <w:rFonts w:ascii="Arial" w:eastAsia="Arial"/>
                <w:spacing w:val="-13"/>
              </w:rPr>
              <w:t xml:space="preserve"> </w:t>
            </w:r>
            <w:r>
              <w:t>运行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22</w:t>
            </w:r>
          </w:hyperlink>
        </w:p>
        <w:p>
          <w:pPr>
            <w:pStyle w:val="TOC4"/>
            <w:tabs>
              <w:tab w:val="right" w:leader="dot" w:pos="8771"/>
            </w:tabs>
            <w:spacing w:before="146"/>
            <w:ind w:left="359" w:firstLine="0"/>
            <w:rPr>
              <w:rFonts w:ascii="Calibri" w:eastAsia="Calibri"/>
            </w:rPr>
          </w:pPr>
          <w:hyperlink w:anchor="_bookmark36" w:history="1">
            <w:r>
              <w:rPr>
                <w:rFonts w:ascii="Arial" w:eastAsia="Arial"/>
              </w:rPr>
              <w:t>8.1</w:t>
            </w:r>
            <w:r>
              <w:rPr>
                <w:rFonts w:ascii="Arial" w:eastAsia="Arial"/>
                <w:spacing w:val="-14"/>
              </w:rPr>
              <w:t xml:space="preserve"> </w:t>
            </w:r>
            <w:r>
              <w:t>运行策划和控制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22</w:t>
            </w:r>
          </w:hyperlink>
        </w:p>
        <w:p>
          <w:pPr>
            <w:pStyle w:val="TOC4"/>
            <w:tabs>
              <w:tab w:val="right" w:leader="dot" w:pos="8771"/>
            </w:tabs>
            <w:spacing w:before="146"/>
            <w:ind w:left="359" w:firstLine="0"/>
            <w:rPr>
              <w:rFonts w:ascii="Calibri" w:eastAsia="Calibri"/>
            </w:rPr>
          </w:pPr>
          <w:hyperlink w:anchor="_bookmark37" w:history="1">
            <w:r>
              <w:rPr>
                <w:rFonts w:ascii="Arial" w:eastAsia="Arial"/>
              </w:rPr>
              <w:t>8.2</w:t>
            </w:r>
            <w:r>
              <w:rPr>
                <w:rFonts w:ascii="Arial" w:eastAsia="Arial"/>
                <w:spacing w:val="-14"/>
              </w:rPr>
              <w:t xml:space="preserve"> </w:t>
            </w:r>
            <w:r>
              <w:t>设计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23</w:t>
            </w:r>
          </w:hyperlink>
        </w:p>
        <w:p>
          <w:pPr>
            <w:pStyle w:val="TOC4"/>
            <w:tabs>
              <w:tab w:val="right" w:leader="dot" w:pos="8771"/>
            </w:tabs>
            <w:ind w:left="359" w:firstLine="0"/>
            <w:rPr>
              <w:rFonts w:ascii="Calibri" w:eastAsia="Calibri"/>
            </w:rPr>
          </w:pPr>
          <w:hyperlink w:anchor="_bookmark38" w:history="1">
            <w:r>
              <w:rPr>
                <w:rFonts w:ascii="Arial" w:eastAsia="Arial"/>
              </w:rPr>
              <w:t>8.3</w:t>
            </w:r>
            <w:r>
              <w:rPr>
                <w:rFonts w:ascii="Arial" w:eastAsia="Arial"/>
                <w:spacing w:val="-14"/>
              </w:rPr>
              <w:t xml:space="preserve"> </w:t>
            </w:r>
            <w:r>
              <w:t>采购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23</w:t>
            </w:r>
          </w:hyperlink>
        </w:p>
        <w:p>
          <w:pPr>
            <w:pStyle w:val="TOC2"/>
            <w:numPr>
              <w:ilvl w:val="0"/>
              <w:numId w:val="32"/>
            </w:numPr>
            <w:tabs>
              <w:tab w:val="left" w:pos="324"/>
              <w:tab w:val="right" w:leader="dot" w:pos="8771"/>
            </w:tabs>
            <w:spacing w:before="146" w:after="0" w:line="240" w:lineRule="auto"/>
            <w:ind w:left="324" w:right="0" w:hanging="185"/>
            <w:jc w:val="left"/>
            <w:rPr>
              <w:rFonts w:ascii="Calibri" w:eastAsia="Calibri"/>
            </w:rPr>
          </w:pPr>
          <w:hyperlink w:anchor="_bookmark39" w:history="1">
            <w:r>
              <w:t>绩效评价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23</w:t>
            </w:r>
          </w:hyperlink>
        </w:p>
        <w:p>
          <w:pPr>
            <w:pStyle w:val="TOC4"/>
            <w:numPr>
              <w:ilvl w:val="1"/>
              <w:numId w:val="32"/>
            </w:numPr>
            <w:tabs>
              <w:tab w:val="left" w:pos="728"/>
              <w:tab w:val="right" w:leader="dot" w:pos="8771"/>
            </w:tabs>
            <w:spacing w:before="146" w:after="0" w:line="240" w:lineRule="auto"/>
            <w:ind w:left="727" w:right="0" w:hanging="368"/>
            <w:jc w:val="left"/>
            <w:rPr>
              <w:rFonts w:ascii="Calibri" w:eastAsia="Calibri"/>
            </w:rPr>
          </w:pPr>
          <w:hyperlink w:anchor="_bookmark40" w:history="1">
            <w:r>
              <w:t>能源绩效和能源管理体系的监视、测量、分析和评价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23</w:t>
            </w:r>
          </w:hyperlink>
        </w:p>
        <w:p>
          <w:pPr>
            <w:pStyle w:val="TOC5"/>
            <w:tabs>
              <w:tab w:val="right" w:leader="dot" w:pos="8771"/>
            </w:tabs>
            <w:rPr>
              <w:rFonts w:ascii="Calibri" w:eastAsia="Calibri"/>
            </w:rPr>
          </w:pPr>
          <w:hyperlink w:anchor="_bookmark41" w:history="1">
            <w:r>
              <w:rPr>
                <w:rFonts w:ascii="Arial" w:eastAsia="Arial"/>
              </w:rPr>
              <w:t>9.1.1</w:t>
            </w:r>
            <w:r>
              <w:rPr>
                <w:rFonts w:ascii="Arial" w:eastAsia="Arial"/>
                <w:spacing w:val="-15"/>
              </w:rPr>
              <w:t xml:space="preserve"> </w:t>
            </w:r>
            <w:r>
              <w:t>总则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23</w:t>
            </w:r>
          </w:hyperlink>
        </w:p>
        <w:p>
          <w:pPr>
            <w:pStyle w:val="TOC5"/>
            <w:tabs>
              <w:tab w:val="right" w:leader="dot" w:pos="8771"/>
            </w:tabs>
            <w:spacing w:before="146"/>
            <w:rPr>
              <w:rFonts w:ascii="Calibri" w:eastAsia="Calibri"/>
            </w:rPr>
          </w:pPr>
          <w:hyperlink w:anchor="_bookmark42" w:history="1">
            <w:r>
              <w:rPr>
                <w:rFonts w:ascii="Arial" w:eastAsia="Arial"/>
              </w:rPr>
              <w:t>9.1.2</w:t>
            </w:r>
            <w:r>
              <w:rPr>
                <w:rFonts w:ascii="Arial" w:eastAsia="Arial"/>
                <w:spacing w:val="-15"/>
              </w:rPr>
              <w:t xml:space="preserve"> </w:t>
            </w:r>
            <w:r>
              <w:t>法律法规要求和其他要求符合性评价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24</w:t>
            </w:r>
          </w:hyperlink>
        </w:p>
        <w:p>
          <w:pPr>
            <w:pStyle w:val="TOC4"/>
            <w:numPr>
              <w:ilvl w:val="1"/>
              <w:numId w:val="32"/>
            </w:numPr>
            <w:tabs>
              <w:tab w:val="left" w:pos="728"/>
              <w:tab w:val="right" w:leader="dot" w:pos="8771"/>
            </w:tabs>
            <w:spacing w:before="147" w:after="0" w:line="240" w:lineRule="auto"/>
            <w:ind w:left="727" w:right="0" w:hanging="369"/>
            <w:jc w:val="left"/>
            <w:rPr>
              <w:rFonts w:ascii="Calibri" w:eastAsia="Calibri"/>
            </w:rPr>
          </w:pPr>
          <w:hyperlink w:anchor="_bookmark43" w:history="1">
            <w:r>
              <w:t>内部审核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24</w:t>
            </w:r>
          </w:hyperlink>
        </w:p>
        <w:p>
          <w:pPr>
            <w:pStyle w:val="TOC2"/>
            <w:numPr>
              <w:ilvl w:val="1"/>
              <w:numId w:val="32"/>
            </w:numPr>
            <w:tabs>
              <w:tab w:val="left" w:pos="508"/>
              <w:tab w:val="right" w:leader="dot" w:pos="8771"/>
            </w:tabs>
            <w:spacing w:before="145" w:after="0" w:line="240" w:lineRule="auto"/>
            <w:ind w:left="507" w:right="0" w:hanging="369"/>
            <w:jc w:val="left"/>
            <w:rPr>
              <w:rFonts w:ascii="Calibri" w:eastAsia="Calibri"/>
            </w:rPr>
          </w:pPr>
          <w:hyperlink w:anchor="_bookmark44" w:history="1">
            <w:r>
              <w:t>管理评审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24</w:t>
            </w:r>
          </w:hyperlink>
        </w:p>
        <w:p>
          <w:pPr>
            <w:pStyle w:val="TOC2"/>
            <w:tabs>
              <w:tab w:val="right" w:leader="dot" w:pos="8771"/>
            </w:tabs>
            <w:rPr>
              <w:rFonts w:ascii="Calibri" w:eastAsia="Calibri"/>
            </w:rPr>
          </w:pPr>
          <w:hyperlink w:anchor="_bookmark45" w:history="1">
            <w:r>
              <w:rPr>
                <w:rFonts w:ascii="Arial" w:eastAsia="Arial"/>
              </w:rPr>
              <w:t>10</w:t>
            </w:r>
            <w:r>
              <w:rPr>
                <w:rFonts w:ascii="Arial" w:eastAsia="Arial"/>
                <w:spacing w:val="-14"/>
              </w:rPr>
              <w:t xml:space="preserve"> </w:t>
            </w:r>
            <w:r>
              <w:t>改进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25</w:t>
            </w:r>
          </w:hyperlink>
        </w:p>
        <w:p>
          <w:pPr>
            <w:pStyle w:val="TOC4"/>
            <w:numPr>
              <w:ilvl w:val="1"/>
              <w:numId w:val="31"/>
            </w:numPr>
            <w:tabs>
              <w:tab w:val="left" w:pos="837"/>
              <w:tab w:val="right" w:leader="dot" w:pos="8771"/>
            </w:tabs>
            <w:spacing w:before="147" w:after="0" w:line="240" w:lineRule="auto"/>
            <w:ind w:left="836" w:right="0" w:hanging="478"/>
            <w:jc w:val="left"/>
            <w:rPr>
              <w:rFonts w:ascii="Calibri" w:eastAsia="Calibri"/>
            </w:rPr>
          </w:pPr>
          <w:hyperlink w:anchor="_bookmark46" w:history="1">
            <w:r>
              <w:t>不符合与纠正措施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25</w:t>
            </w:r>
          </w:hyperlink>
        </w:p>
        <w:p>
          <w:pPr>
            <w:pStyle w:val="TOC4"/>
            <w:numPr>
              <w:ilvl w:val="1"/>
              <w:numId w:val="31"/>
            </w:numPr>
            <w:tabs>
              <w:tab w:val="left" w:pos="837"/>
              <w:tab w:val="right" w:leader="dot" w:pos="8771"/>
            </w:tabs>
            <w:spacing w:before="147" w:after="0" w:line="240" w:lineRule="auto"/>
            <w:ind w:left="836" w:right="0" w:hanging="478"/>
            <w:jc w:val="left"/>
            <w:rPr>
              <w:rFonts w:ascii="Calibri" w:eastAsia="Calibri"/>
            </w:rPr>
          </w:pPr>
          <w:hyperlink w:anchor="_bookmark47" w:history="1">
            <w:r>
              <w:t>持续改进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</w:rPr>
              <w:t>26</w:t>
            </w:r>
          </w:hyperlink>
        </w:p>
      </w:sdtContent>
    </w:sdt>
    <w:p>
      <w:pPr>
        <w:spacing w:after="0" w:line="240" w:lineRule="auto"/>
        <w:jc w:val="left"/>
        <w:rPr>
          <w:rFonts w:ascii="Calibri" w:eastAsia="Calibri"/>
        </w:rPr>
        <w:sectPr>
          <w:headerReference w:type="default" r:id="rId7"/>
          <w:type w:val="nextPage"/>
          <w:pgSz w:w="12240" w:h="15840"/>
          <w:pgMar w:top="1380" w:right="1480" w:bottom="1547" w:left="1660" w:header="708" w:footer="708"/>
          <w:pgNumType w:start="4"/>
          <w:cols w:space="708"/>
          <w:titlePg w:val="0"/>
        </w:sectPr>
      </w:pPr>
    </w:p>
    <w:p>
      <w:pPr>
        <w:pStyle w:val="BodyText"/>
        <w:spacing w:before="4"/>
        <w:rPr>
          <w:rFonts w:ascii="Calibri"/>
          <w:sz w:val="35"/>
        </w:rPr>
      </w:pPr>
    </w:p>
    <w:p>
      <w:pPr>
        <w:pStyle w:val="Heading1"/>
        <w:ind w:left="0" w:right="178" w:firstLine="0"/>
        <w:jc w:val="center"/>
      </w:pPr>
      <w:r>
        <w:rPr>
          <w:spacing w:val="30"/>
        </w:rPr>
        <w:t>前 言</w:t>
      </w:r>
    </w:p>
    <w:p>
      <w:pPr>
        <w:pStyle w:val="BodyText"/>
        <w:spacing w:before="3"/>
        <w:rPr>
          <w:b/>
          <w:sz w:val="34"/>
        </w:rPr>
      </w:pPr>
    </w:p>
    <w:p>
      <w:pPr>
        <w:pStyle w:val="BodyText"/>
        <w:spacing w:line="364" w:lineRule="auto"/>
        <w:ind w:left="139" w:right="423" w:firstLine="400"/>
      </w:pPr>
      <w:r>
        <w:rPr>
          <w:rFonts w:ascii="Arial" w:eastAsia="Arial"/>
          <w:spacing w:val="-1"/>
        </w:rPr>
        <w:t>ISO</w:t>
      </w:r>
      <w:r>
        <w:rPr>
          <w:spacing w:val="-1"/>
        </w:rPr>
        <w:t>（国际标准化组织</w:t>
      </w:r>
      <w:r>
        <w:t>）是由各国标准化团体（</w:t>
      </w:r>
      <w:r>
        <w:rPr>
          <w:rFonts w:ascii="Arial" w:eastAsia="Arial"/>
        </w:rPr>
        <w:t>ISO</w:t>
      </w:r>
      <w:r>
        <w:rPr>
          <w:rFonts w:ascii="Arial" w:eastAsia="Arial"/>
          <w:spacing w:val="-14"/>
        </w:rPr>
        <w:t xml:space="preserve"> </w:t>
      </w:r>
      <w:r>
        <w:t>成员团体）组成的世界性的联合会。制定</w:t>
      </w:r>
      <w:r>
        <w:rPr>
          <w:spacing w:val="-5"/>
        </w:rPr>
        <w:t xml:space="preserve">国际标准的工作通常由 </w:t>
      </w:r>
      <w:r>
        <w:rPr>
          <w:rFonts w:ascii="Arial" w:eastAsia="Arial"/>
        </w:rPr>
        <w:t>ISO</w:t>
      </w:r>
      <w:r>
        <w:rPr>
          <w:rFonts w:ascii="Arial" w:eastAsia="Arial"/>
          <w:spacing w:val="-2"/>
        </w:rPr>
        <w:t xml:space="preserve"> </w:t>
      </w:r>
      <w:r>
        <w:t>技术委员会完成。各成员团体若对某技术委员会确定的项目感兴趣，</w:t>
      </w:r>
      <w:r>
        <w:rPr>
          <w:spacing w:val="-97"/>
        </w:rPr>
        <w:t xml:space="preserve"> </w:t>
      </w:r>
      <w:r>
        <w:rPr>
          <w:spacing w:val="-5"/>
        </w:rPr>
        <w:t xml:space="preserve">均有权参加该委员会的工作。与 </w:t>
      </w:r>
      <w:r>
        <w:rPr>
          <w:rFonts w:ascii="Arial" w:eastAsia="Arial"/>
        </w:rPr>
        <w:t>ISO</w:t>
      </w:r>
      <w:r>
        <w:rPr>
          <w:rFonts w:ascii="Arial" w:eastAsia="Arial"/>
          <w:spacing w:val="-12"/>
        </w:rPr>
        <w:t xml:space="preserve"> </w:t>
      </w:r>
      <w:r>
        <w:t>保持联系的国际组织（官方的或非官方的）也参加这工作。</w:t>
      </w:r>
      <w:r>
        <w:rPr>
          <w:rFonts w:ascii="Arial" w:eastAsia="Arial"/>
        </w:rPr>
        <w:t>ISO</w:t>
      </w:r>
      <w:r>
        <w:rPr>
          <w:rFonts w:ascii="Arial" w:eastAsia="Arial"/>
          <w:spacing w:val="-12"/>
        </w:rPr>
        <w:t xml:space="preserve"> </w:t>
      </w:r>
      <w:r>
        <w:t>与国际电工委员会（</w:t>
      </w:r>
      <w:r>
        <w:rPr>
          <w:rFonts w:ascii="Arial" w:eastAsia="Arial"/>
        </w:rPr>
        <w:t>IEC</w:t>
      </w:r>
      <w:r>
        <w:t>）在电工技术标准化方面保持密切合作的关系。</w:t>
      </w:r>
    </w:p>
    <w:p>
      <w:pPr>
        <w:pStyle w:val="BodyText"/>
        <w:spacing w:line="364" w:lineRule="auto"/>
        <w:ind w:left="139" w:right="116" w:firstLine="400"/>
      </w:pPr>
      <w:r>
        <w:rPr>
          <w:spacing w:val="-1"/>
        </w:rPr>
        <w:t xml:space="preserve">用于编制本文件和那些预期用于本文件进一步维护的程序在 </w:t>
      </w:r>
      <w:r>
        <w:rPr>
          <w:rFonts w:ascii="Arial" w:eastAsia="Arial"/>
        </w:rPr>
        <w:t>ISO/IEC</w:t>
      </w:r>
      <w:r>
        <w:rPr>
          <w:rFonts w:ascii="Arial" w:eastAsia="Arial"/>
          <w:spacing w:val="35"/>
        </w:rPr>
        <w:t xml:space="preserve"> </w:t>
      </w:r>
      <w:r>
        <w:rPr>
          <w:spacing w:val="1"/>
        </w:rPr>
        <w:t xml:space="preserve">导则第 </w:t>
      </w:r>
      <w:r>
        <w:rPr>
          <w:rFonts w:ascii="Arial" w:eastAsia="Arial"/>
        </w:rPr>
        <w:t>1</w:t>
      </w:r>
      <w:r>
        <w:rPr>
          <w:rFonts w:ascii="Arial" w:eastAsia="Arial"/>
          <w:spacing w:val="36"/>
        </w:rPr>
        <w:t xml:space="preserve"> </w:t>
      </w:r>
      <w:r>
        <w:t>部分中有描述。</w:t>
      </w:r>
      <w:r>
        <w:rPr>
          <w:spacing w:val="-5"/>
        </w:rPr>
        <w:t xml:space="preserve">特别需要说明的是不同类型的 </w:t>
      </w:r>
      <w:r>
        <w:rPr>
          <w:rFonts w:ascii="Arial" w:eastAsia="Arial"/>
        </w:rPr>
        <w:t>ISO</w:t>
      </w:r>
      <w:r>
        <w:rPr>
          <w:rFonts w:ascii="Arial" w:eastAsia="Arial"/>
          <w:spacing w:val="-1"/>
        </w:rPr>
        <w:t xml:space="preserve"> </w:t>
      </w:r>
      <w:r>
        <w:rPr>
          <w:spacing w:val="-3"/>
        </w:rPr>
        <w:t xml:space="preserve">文件所需的审批准则有所不同。本文件是按照 </w:t>
      </w:r>
      <w:r>
        <w:rPr>
          <w:rFonts w:ascii="Arial" w:eastAsia="Arial"/>
        </w:rPr>
        <w:t xml:space="preserve">ISO/IEC </w:t>
      </w:r>
      <w:r>
        <w:t>导则第</w:t>
      </w:r>
    </w:p>
    <w:p>
      <w:pPr>
        <w:pStyle w:val="BodyText"/>
        <w:spacing w:line="255" w:lineRule="exact"/>
        <w:ind w:left="139"/>
      </w:pPr>
      <w:r>
        <w:rPr>
          <w:spacing w:val="-1"/>
        </w:rPr>
        <w:t>二部分</w:t>
      </w:r>
      <w:r>
        <w:t>（</w:t>
      </w:r>
      <w:r>
        <w:rPr>
          <w:spacing w:val="-16"/>
        </w:rPr>
        <w:t xml:space="preserve">参见 </w:t>
      </w:r>
      <w:hyperlink r:id="rId8">
        <w:r>
          <w:rPr>
            <w:rFonts w:ascii="Arial" w:eastAsia="Arial"/>
            <w:color w:val="0000FF"/>
            <w:u w:val="single" w:color="0000FF"/>
          </w:rPr>
          <w:t>www.iso.org/directives</w:t>
        </w:r>
        <w:r>
          <w:rPr>
            <w:rFonts w:ascii="Arial" w:eastAsia="Arial"/>
            <w:color w:val="0000FF"/>
          </w:rPr>
          <w:t xml:space="preserve"> </w:t>
        </w:r>
      </w:hyperlink>
      <w:r>
        <w:t>）的编辑规则来起草。</w:t>
      </w:r>
    </w:p>
    <w:p>
      <w:pPr>
        <w:pStyle w:val="BodyText"/>
        <w:spacing w:before="132" w:line="364" w:lineRule="auto"/>
        <w:ind w:left="139" w:right="367" w:firstLine="400"/>
      </w:pPr>
      <w:r>
        <w:rPr>
          <w:spacing w:val="-1"/>
        </w:rPr>
        <w:t>需要注意的是，本文件的某些要素内容可能涉及一些专利权问题。</w:t>
      </w:r>
      <w:r>
        <w:rPr>
          <w:rFonts w:ascii="Arial" w:eastAsia="Arial"/>
        </w:rPr>
        <w:t>ISO</w:t>
      </w:r>
      <w:r>
        <w:rPr>
          <w:rFonts w:ascii="Arial" w:eastAsia="Arial"/>
          <w:spacing w:val="-14"/>
        </w:rPr>
        <w:t xml:space="preserve"> </w:t>
      </w:r>
      <w:r>
        <w:t>不应被认为有责任去识别任何或所有此类专利权。对于在本文件编写过程中发现的任何专利权的细节将在引言中和</w:t>
      </w:r>
      <w:r>
        <w:rPr>
          <w:rFonts w:ascii="Arial" w:eastAsia="Arial"/>
        </w:rPr>
        <w:t>/</w:t>
      </w:r>
      <w:r>
        <w:t>或在</w:t>
      </w:r>
      <w:r>
        <w:rPr>
          <w:spacing w:val="-14"/>
        </w:rPr>
        <w:t xml:space="preserve">收到的 </w:t>
      </w:r>
      <w:r>
        <w:rPr>
          <w:rFonts w:ascii="Arial" w:eastAsia="Arial"/>
        </w:rPr>
        <w:t>ISO</w:t>
      </w:r>
      <w:r>
        <w:rPr>
          <w:rFonts w:ascii="Arial" w:eastAsia="Arial"/>
          <w:spacing w:val="-13"/>
        </w:rPr>
        <w:t xml:space="preserve"> </w:t>
      </w:r>
      <w:r>
        <w:t>专利申报列表中（</w:t>
      </w:r>
      <w:r>
        <w:rPr>
          <w:spacing w:val="-16"/>
        </w:rPr>
        <w:t xml:space="preserve">参见 </w:t>
      </w:r>
      <w:hyperlink r:id="rId9">
        <w:r>
          <w:rPr>
            <w:rFonts w:ascii="Arial" w:eastAsia="Arial"/>
            <w:color w:val="0000FF"/>
            <w:u w:val="single" w:color="0000FF"/>
          </w:rPr>
          <w:t>www.iso.org/patents</w:t>
        </w:r>
      </w:hyperlink>
      <w:r>
        <w:t>）。</w:t>
      </w:r>
    </w:p>
    <w:p>
      <w:pPr>
        <w:pStyle w:val="BodyText"/>
        <w:spacing w:line="255" w:lineRule="exact"/>
        <w:ind w:left="540"/>
      </w:pPr>
      <w:r>
        <w:rPr>
          <w:spacing w:val="-1"/>
        </w:rPr>
        <w:t>在本文件中使用的任何商品名称都是为了方便用户而提供的信息，并不构成宣传。</w:t>
      </w:r>
    </w:p>
    <w:p>
      <w:pPr>
        <w:pStyle w:val="BodyText"/>
        <w:spacing w:before="132" w:line="364" w:lineRule="auto"/>
        <w:ind w:left="139" w:right="477" w:firstLine="400"/>
      </w:pPr>
      <w:r>
        <w:rPr>
          <w:spacing w:val="-4"/>
        </w:rPr>
        <w:t xml:space="preserve">要了解标准的自愿性质、与合格评定有关的 </w:t>
      </w:r>
      <w:r>
        <w:rPr>
          <w:rFonts w:ascii="Arial" w:eastAsia="Arial"/>
        </w:rPr>
        <w:t>ISO</w:t>
      </w:r>
      <w:r>
        <w:rPr>
          <w:rFonts w:ascii="Arial" w:eastAsia="Arial"/>
          <w:spacing w:val="-12"/>
        </w:rPr>
        <w:t xml:space="preserve"> </w:t>
      </w:r>
      <w:r>
        <w:rPr>
          <w:spacing w:val="-4"/>
        </w:rPr>
        <w:t xml:space="preserve">特定术语和说法的含义，以及关于 </w:t>
      </w:r>
      <w:r>
        <w:rPr>
          <w:rFonts w:ascii="Arial" w:eastAsia="Arial"/>
        </w:rPr>
        <w:t>ISO</w:t>
      </w:r>
      <w:r>
        <w:rPr>
          <w:rFonts w:ascii="Arial" w:eastAsia="Arial"/>
          <w:spacing w:val="-11"/>
        </w:rPr>
        <w:t xml:space="preserve"> </w:t>
      </w:r>
      <w:r>
        <w:t>在技术性贸易壁垒（</w:t>
      </w:r>
      <w:r>
        <w:rPr>
          <w:rFonts w:ascii="Arial" w:eastAsia="Arial"/>
        </w:rPr>
        <w:t>TBT</w:t>
      </w:r>
      <w:r>
        <w:t>）中遵守世界贸易组织（</w:t>
      </w:r>
      <w:r>
        <w:rPr>
          <w:rFonts w:ascii="Arial" w:eastAsia="Arial"/>
        </w:rPr>
        <w:t>WTO</w:t>
      </w:r>
      <w:r>
        <w:t>）原则的信息，参见以下网址：</w:t>
      </w:r>
      <w:r>
        <w:rPr>
          <w:spacing w:val="1"/>
        </w:rPr>
        <w:t xml:space="preserve"> </w:t>
      </w:r>
      <w:hyperlink r:id="rId10">
        <w:r>
          <w:rPr>
            <w:rFonts w:ascii="Arial" w:eastAsia="Arial"/>
            <w:color w:val="0000FF"/>
            <w:u w:val="single" w:color="0000FF"/>
          </w:rPr>
          <w:t>www.iso.org/iso/foreword.html</w:t>
        </w:r>
        <w:r>
          <w:rPr>
            <w:rFonts w:ascii="Arial" w:eastAsia="Arial"/>
            <w:color w:val="0000FF"/>
            <w:spacing w:val="-2"/>
          </w:rPr>
          <w:t xml:space="preserve"> </w:t>
        </w:r>
      </w:hyperlink>
      <w:r>
        <w:t>。</w:t>
      </w:r>
    </w:p>
    <w:p>
      <w:pPr>
        <w:pStyle w:val="BodyText"/>
        <w:spacing w:line="255" w:lineRule="exact"/>
        <w:ind w:left="540"/>
      </w:pPr>
      <w:r>
        <w:rPr>
          <w:spacing w:val="-10"/>
        </w:rPr>
        <w:t xml:space="preserve">本文件由 </w:t>
      </w:r>
      <w:r>
        <w:rPr>
          <w:rFonts w:ascii="Arial" w:eastAsia="Arial"/>
          <w:spacing w:val="-1"/>
        </w:rPr>
        <w:t>ISO/TC</w:t>
      </w:r>
      <w:r>
        <w:rPr>
          <w:rFonts w:ascii="Arial" w:eastAsia="Arial"/>
          <w:spacing w:val="2"/>
        </w:rPr>
        <w:t xml:space="preserve"> </w:t>
      </w:r>
      <w:r>
        <w:rPr>
          <w:rFonts w:ascii="Arial" w:eastAsia="Arial"/>
        </w:rPr>
        <w:t>301</w:t>
      </w:r>
      <w:r>
        <w:rPr>
          <w:rFonts w:ascii="Arial" w:eastAsia="Arial"/>
          <w:spacing w:val="1"/>
        </w:rPr>
        <w:t xml:space="preserve"> </w:t>
      </w:r>
      <w:r>
        <w:t>能源管理和能源节约技术委员会编写。</w:t>
      </w:r>
    </w:p>
    <w:p>
      <w:pPr>
        <w:pStyle w:val="BodyText"/>
        <w:spacing w:before="133" w:line="364" w:lineRule="auto"/>
        <w:ind w:left="540" w:right="1300"/>
      </w:pPr>
      <w:r>
        <w:t>第二版标准取代了第一版（</w:t>
      </w:r>
      <w:r>
        <w:rPr>
          <w:rFonts w:ascii="Arial" w:eastAsia="Arial"/>
        </w:rPr>
        <w:t>ISO</w:t>
      </w:r>
      <w:r>
        <w:rPr>
          <w:rFonts w:ascii="Arial" w:eastAsia="Arial"/>
          <w:spacing w:val="-7"/>
        </w:rPr>
        <w:t xml:space="preserve"> </w:t>
      </w:r>
      <w:r>
        <w:rPr>
          <w:rFonts w:ascii="Arial" w:eastAsia="Arial"/>
        </w:rPr>
        <w:t>50001:2011</w:t>
      </w:r>
      <w:r>
        <w:t>）标准，对第一版进行了技术性修订。与第一版标准相比，主要变化如下：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0" w:after="0" w:line="364" w:lineRule="auto"/>
        <w:ind w:left="970" w:right="486" w:hanging="390"/>
        <w:jc w:val="left"/>
        <w:rPr>
          <w:sz w:val="20"/>
        </w:rPr>
      </w:pPr>
      <w:r>
        <w:rPr>
          <w:spacing w:val="-18"/>
          <w:sz w:val="20"/>
        </w:rPr>
        <w:t xml:space="preserve">采用 </w:t>
      </w:r>
      <w:r>
        <w:rPr>
          <w:rFonts w:ascii="Arial" w:eastAsia="Arial" w:hAnsi="Arial"/>
          <w:spacing w:val="-1"/>
          <w:sz w:val="20"/>
        </w:rPr>
        <w:t>ISO</w:t>
      </w:r>
      <w:r>
        <w:rPr>
          <w:rFonts w:ascii="Arial" w:eastAsia="Arial" w:hAnsi="Arial"/>
          <w:spacing w:val="-12"/>
          <w:sz w:val="20"/>
        </w:rPr>
        <w:t xml:space="preserve"> </w:t>
      </w:r>
      <w:r>
        <w:rPr>
          <w:spacing w:val="-1"/>
          <w:sz w:val="20"/>
        </w:rPr>
        <w:t>对管理体系标准的通用要求，包括高阶架构、相同的核心内容，以及共同的术</w:t>
      </w:r>
      <w:r>
        <w:rPr>
          <w:sz w:val="20"/>
        </w:rPr>
        <w:t>语和定义，以确保与其他管理体系标准的高度兼容；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0" w:after="0" w:line="240" w:lineRule="auto"/>
        <w:ind w:left="970" w:right="0" w:hanging="391"/>
        <w:jc w:val="left"/>
        <w:rPr>
          <w:sz w:val="20"/>
        </w:rPr>
      </w:pPr>
      <w:r>
        <w:rPr>
          <w:spacing w:val="-1"/>
          <w:sz w:val="20"/>
        </w:rPr>
        <w:t>与组织战略管理过程的更好融合；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1" w:after="0" w:line="240" w:lineRule="auto"/>
        <w:ind w:left="970" w:right="0" w:hanging="391"/>
        <w:jc w:val="left"/>
        <w:rPr>
          <w:sz w:val="20"/>
        </w:rPr>
      </w:pPr>
      <w:r>
        <w:rPr>
          <w:spacing w:val="-1"/>
          <w:sz w:val="20"/>
        </w:rPr>
        <w:t>用语和文件结构的澄清；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3" w:after="0" w:line="240" w:lineRule="auto"/>
        <w:ind w:left="970" w:right="0" w:hanging="391"/>
        <w:jc w:val="left"/>
        <w:rPr>
          <w:sz w:val="20"/>
        </w:rPr>
      </w:pPr>
      <w:r>
        <w:rPr>
          <w:spacing w:val="-1"/>
          <w:sz w:val="20"/>
        </w:rPr>
        <w:t>更加强调最高管理者的角色；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3" w:after="0" w:line="240" w:lineRule="auto"/>
        <w:ind w:left="970" w:right="0" w:hanging="391"/>
        <w:jc w:val="left"/>
        <w:rPr>
          <w:sz w:val="20"/>
        </w:rPr>
      </w:pPr>
      <w:r>
        <w:rPr>
          <w:spacing w:val="-18"/>
          <w:sz w:val="20"/>
        </w:rPr>
        <w:t xml:space="preserve">条款 </w:t>
      </w:r>
      <w:r>
        <w:rPr>
          <w:rFonts w:ascii="Arial" w:eastAsia="Arial" w:hAnsi="Arial"/>
          <w:spacing w:val="-1"/>
          <w:sz w:val="20"/>
        </w:rPr>
        <w:t>3</w:t>
      </w:r>
      <w:r>
        <w:rPr>
          <w:rFonts w:ascii="Arial" w:eastAsia="Arial" w:hAnsi="Arial"/>
          <w:spacing w:val="-11"/>
          <w:sz w:val="20"/>
        </w:rPr>
        <w:t xml:space="preserve"> </w:t>
      </w:r>
      <w:r>
        <w:rPr>
          <w:spacing w:val="-1"/>
          <w:sz w:val="20"/>
        </w:rPr>
        <w:t>中的术语和定义按文中出现先后次序排列，部分术语更新；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3" w:after="0" w:line="240" w:lineRule="auto"/>
        <w:ind w:left="970" w:right="0" w:hanging="391"/>
        <w:jc w:val="left"/>
        <w:rPr>
          <w:sz w:val="20"/>
        </w:rPr>
      </w:pPr>
      <w:r>
        <w:rPr>
          <w:spacing w:val="-1"/>
          <w:sz w:val="20"/>
        </w:rPr>
        <w:t>增加新的定义，包括</w:t>
      </w:r>
      <w:r>
        <w:rPr>
          <w:rFonts w:ascii="Arial" w:eastAsia="Arial" w:hAnsi="Arial"/>
          <w:sz w:val="20"/>
        </w:rPr>
        <w:t>“</w:t>
      </w:r>
      <w:r>
        <w:rPr>
          <w:sz w:val="20"/>
        </w:rPr>
        <w:t>能源绩效改进</w:t>
      </w:r>
      <w:r>
        <w:rPr>
          <w:rFonts w:ascii="Arial" w:eastAsia="Arial" w:hAnsi="Arial"/>
          <w:sz w:val="20"/>
        </w:rPr>
        <w:t>”</w:t>
      </w:r>
      <w:r>
        <w:rPr>
          <w:sz w:val="20"/>
        </w:rPr>
        <w:t>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2" w:after="0" w:line="240" w:lineRule="auto"/>
        <w:ind w:left="970" w:right="0" w:hanging="391"/>
        <w:jc w:val="left"/>
        <w:rPr>
          <w:sz w:val="20"/>
        </w:rPr>
      </w:pPr>
      <w:r>
        <w:rPr>
          <w:sz w:val="20"/>
        </w:rPr>
        <w:t>能源种类排除的澄清；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3" w:after="0" w:line="240" w:lineRule="auto"/>
        <w:ind w:left="970" w:right="0" w:hanging="391"/>
        <w:jc w:val="left"/>
        <w:rPr>
          <w:sz w:val="20"/>
        </w:rPr>
      </w:pPr>
      <w:r>
        <w:rPr>
          <w:rFonts w:ascii="Arial" w:eastAsia="Arial" w:hAnsi="Arial"/>
          <w:sz w:val="20"/>
        </w:rPr>
        <w:t>“</w:t>
      </w:r>
      <w:r>
        <w:rPr>
          <w:sz w:val="20"/>
        </w:rPr>
        <w:t>能源评审</w:t>
      </w:r>
      <w:r>
        <w:rPr>
          <w:rFonts w:ascii="Arial" w:eastAsia="Arial" w:hAnsi="Arial"/>
          <w:sz w:val="20"/>
        </w:rPr>
        <w:t>”</w:t>
      </w:r>
      <w:r>
        <w:rPr>
          <w:sz w:val="20"/>
        </w:rPr>
        <w:t>的澄清；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3" w:after="0" w:line="240" w:lineRule="auto"/>
        <w:ind w:left="970" w:right="0" w:hanging="391"/>
        <w:jc w:val="left"/>
        <w:rPr>
          <w:sz w:val="20"/>
        </w:rPr>
      </w:pPr>
      <w:r>
        <w:rPr>
          <w:spacing w:val="-8"/>
          <w:sz w:val="20"/>
        </w:rPr>
        <w:t xml:space="preserve">能源绩效指标 </w:t>
      </w:r>
      <w:r>
        <w:rPr>
          <w:rFonts w:ascii="Arial" w:eastAsia="Arial" w:hAnsi="Arial"/>
          <w:spacing w:val="-1"/>
          <w:sz w:val="20"/>
        </w:rPr>
        <w:t>EnPIs</w:t>
      </w:r>
      <w:r>
        <w:rPr>
          <w:rFonts w:ascii="Arial" w:eastAsia="Arial" w:hAnsi="Arial"/>
          <w:spacing w:val="-11"/>
          <w:sz w:val="20"/>
        </w:rPr>
        <w:t xml:space="preserve"> </w:t>
      </w:r>
      <w:r>
        <w:rPr>
          <w:spacing w:val="-7"/>
          <w:sz w:val="20"/>
        </w:rPr>
        <w:t xml:space="preserve">和相关能源基准 </w:t>
      </w:r>
      <w:r>
        <w:rPr>
          <w:rFonts w:ascii="Arial" w:eastAsia="Arial" w:hAnsi="Arial"/>
          <w:sz w:val="20"/>
        </w:rPr>
        <w:t>EnBs</w:t>
      </w:r>
      <w:r>
        <w:rPr>
          <w:rFonts w:ascii="Arial" w:eastAsia="Arial" w:hAnsi="Arial"/>
          <w:spacing w:val="-11"/>
          <w:sz w:val="20"/>
        </w:rPr>
        <w:t xml:space="preserve"> </w:t>
      </w:r>
      <w:r>
        <w:rPr>
          <w:sz w:val="20"/>
        </w:rPr>
        <w:t>归一化概念的引入；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3" w:after="0" w:line="240" w:lineRule="auto"/>
        <w:ind w:left="970" w:right="0" w:hanging="391"/>
        <w:jc w:val="left"/>
        <w:rPr>
          <w:sz w:val="20"/>
        </w:rPr>
      </w:pPr>
      <w:r>
        <w:rPr>
          <w:spacing w:val="-1"/>
          <w:sz w:val="20"/>
        </w:rPr>
        <w:t>增加能源数据收集策划和相关要求</w:t>
      </w:r>
      <w:r>
        <w:rPr>
          <w:sz w:val="20"/>
        </w:rPr>
        <w:t>（前版的能源测量计划）；</w:t>
      </w:r>
    </w:p>
    <w:p>
      <w:pPr>
        <w:pStyle w:val="ListParagraph"/>
        <w:numPr>
          <w:ilvl w:val="0"/>
          <w:numId w:val="36"/>
        </w:numPr>
        <w:tabs>
          <w:tab w:val="left" w:pos="971"/>
        </w:tabs>
        <w:spacing w:before="133" w:after="0" w:line="240" w:lineRule="auto"/>
        <w:ind w:left="970" w:right="0" w:hanging="391"/>
        <w:jc w:val="left"/>
        <w:rPr>
          <w:sz w:val="20"/>
        </w:rPr>
      </w:pPr>
      <w:r>
        <w:rPr>
          <w:spacing w:val="-1"/>
          <w:sz w:val="20"/>
        </w:rPr>
        <w:t>与能源绩效指标和能源基准有关的文本的澄清，以便更好理解这些概念。</w:t>
      </w:r>
    </w:p>
    <w:p>
      <w:pPr>
        <w:spacing w:after="0" w:line="240" w:lineRule="auto"/>
        <w:jc w:val="left"/>
        <w:rPr>
          <w:sz w:val="20"/>
        </w:rPr>
        <w:sectPr>
          <w:headerReference w:type="default" r:id="rId11"/>
          <w:pgSz w:w="12240" w:h="15840"/>
          <w:pgMar w:top="1380" w:right="1480" w:bottom="280" w:left="1660" w:header="978" w:footer="0"/>
          <w:pgNumType w:start="5"/>
          <w:cols w:space="708"/>
        </w:sectPr>
      </w:pPr>
    </w:p>
    <w:p>
      <w:pPr>
        <w:pStyle w:val="BodyText"/>
        <w:spacing w:before="1"/>
        <w:rPr>
          <w:sz w:val="25"/>
        </w:rPr>
      </w:pPr>
    </w:p>
    <w:p>
      <w:pPr>
        <w:pStyle w:val="Heading1"/>
        <w:spacing w:before="61"/>
        <w:ind w:left="0" w:right="177" w:firstLine="0"/>
        <w:jc w:val="center"/>
      </w:pPr>
      <w:bookmarkStart w:id="1" w:name="_bookmark1"/>
      <w:bookmarkEnd w:id="1"/>
      <w:r>
        <w:rPr>
          <w:spacing w:val="4"/>
        </w:rPr>
        <w:t>引 言</w:t>
      </w:r>
    </w:p>
    <w:p>
      <w:pPr>
        <w:pStyle w:val="BodyText"/>
        <w:spacing w:before="7"/>
        <w:rPr>
          <w:b/>
          <w:sz w:val="13"/>
        </w:rPr>
      </w:pPr>
    </w:p>
    <w:p>
      <w:pPr>
        <w:pStyle w:val="Heading2"/>
        <w:numPr>
          <w:ilvl w:val="1"/>
          <w:numId w:val="37"/>
        </w:numPr>
        <w:tabs>
          <w:tab w:val="left" w:pos="575"/>
        </w:tabs>
        <w:spacing w:before="75" w:after="0" w:line="240" w:lineRule="auto"/>
        <w:ind w:left="574" w:right="0" w:hanging="435"/>
        <w:jc w:val="left"/>
      </w:pPr>
      <w:r>
        <w:rPr>
          <w:w w:val="95"/>
        </w:rPr>
        <w:t>总则</w:t>
      </w:r>
    </w:p>
    <w:p>
      <w:pPr>
        <w:pStyle w:val="BodyText"/>
        <w:spacing w:before="2"/>
        <w:rPr>
          <w:b/>
        </w:rPr>
      </w:pPr>
    </w:p>
    <w:p>
      <w:pPr>
        <w:pStyle w:val="BodyText"/>
        <w:spacing w:line="364" w:lineRule="auto"/>
        <w:ind w:left="139" w:right="356" w:firstLine="400"/>
      </w:pPr>
      <w:r>
        <w:t>本文件旨在帮助组织建立必要的体系和过程，以持续改进能源绩效，包括能源效率，能源使用</w:t>
      </w:r>
      <w:r>
        <w:rPr>
          <w:spacing w:val="-1"/>
        </w:rPr>
        <w:t>和能源消耗。本文件为组织规定了能源管理体系</w:t>
      </w:r>
      <w:r>
        <w:t>（</w:t>
      </w:r>
      <w:r>
        <w:rPr>
          <w:rFonts w:ascii="Arial" w:eastAsia="Arial"/>
        </w:rPr>
        <w:t>EnMS</w:t>
      </w:r>
      <w:r>
        <w:t>）的要求。</w:t>
      </w:r>
      <w:r>
        <w:rPr>
          <w:rFonts w:ascii="Arial" w:eastAsia="Arial"/>
        </w:rPr>
        <w:t>EnMS</w:t>
      </w:r>
      <w:r>
        <w:rPr>
          <w:rFonts w:ascii="Arial" w:eastAsia="Arial"/>
          <w:spacing w:val="-14"/>
        </w:rPr>
        <w:t xml:space="preserve"> </w:t>
      </w:r>
      <w:r>
        <w:t>的成功实施为能源绩效改进文化提供了支撑，此文化取决于组织各层次特别是最高管理层的承诺。在许多情况下，这牵涉组织文化的变革。</w:t>
      </w:r>
    </w:p>
    <w:p>
      <w:pPr>
        <w:pStyle w:val="BodyText"/>
        <w:spacing w:line="364" w:lineRule="auto"/>
        <w:ind w:left="139" w:right="316" w:firstLine="400"/>
        <w:jc w:val="both"/>
      </w:pPr>
      <w:r>
        <w:t>本文件适用于组织控制下的活动。其应用能够定制，以适应组织的特定要求，包括其系统的复</w:t>
      </w:r>
      <w:r>
        <w:rPr>
          <w:spacing w:val="-3"/>
        </w:rPr>
        <w:t xml:space="preserve">杂程度、文件化信息的程度和可获得的资源。本文件不适用于在 </w:t>
      </w:r>
      <w:r>
        <w:rPr>
          <w:rFonts w:ascii="Arial" w:eastAsia="Arial"/>
        </w:rPr>
        <w:t>EnMS</w:t>
      </w:r>
      <w:r>
        <w:rPr>
          <w:rFonts w:ascii="Arial" w:eastAsia="Arial"/>
          <w:spacing w:val="-12"/>
        </w:rPr>
        <w:t xml:space="preserve"> </w:t>
      </w:r>
      <w:r>
        <w:t>范围和边界外的最终用户的</w:t>
      </w:r>
      <w:r>
        <w:rPr>
          <w:spacing w:val="-3"/>
        </w:rPr>
        <w:t xml:space="preserve">产品使用，也不适用于设施，设备，系统和用能过程之外的产品设计。本文件适用于 </w:t>
      </w:r>
      <w:r>
        <w:rPr>
          <w:rFonts w:ascii="Arial" w:eastAsia="Arial"/>
        </w:rPr>
        <w:t>EnMS</w:t>
      </w:r>
      <w:r>
        <w:rPr>
          <w:rFonts w:ascii="Arial" w:eastAsia="Arial"/>
          <w:spacing w:val="-12"/>
        </w:rPr>
        <w:t xml:space="preserve"> </w:t>
      </w:r>
      <w:r>
        <w:t>范围和边界之内的设施、设备、系统或用能过程的设计和采购。</w:t>
      </w:r>
    </w:p>
    <w:p>
      <w:pPr>
        <w:pStyle w:val="BodyText"/>
        <w:spacing w:line="364" w:lineRule="auto"/>
        <w:ind w:left="140" w:right="356" w:firstLine="400"/>
        <w:jc w:val="both"/>
      </w:pPr>
      <w:r>
        <w:rPr>
          <w:rFonts w:ascii="Arial" w:eastAsia="Arial"/>
          <w:spacing w:val="-1"/>
        </w:rPr>
        <w:t>EnMS</w:t>
      </w:r>
      <w:r>
        <w:rPr>
          <w:rFonts w:ascii="Arial" w:eastAsia="Arial"/>
          <w:spacing w:val="-13"/>
        </w:rPr>
        <w:t xml:space="preserve"> </w:t>
      </w:r>
      <w:r>
        <w:rPr>
          <w:spacing w:val="-1"/>
        </w:rPr>
        <w:t>的开发和实施包括能源方针、目标、能源指标以及与能源效率、能源使用和能源消耗相</w:t>
      </w:r>
      <w:r>
        <w:t>关的行动计划，同时满足适用的法律法规要求和其他要求。</w:t>
      </w:r>
      <w:r>
        <w:rPr>
          <w:rFonts w:ascii="Arial" w:eastAsia="Arial"/>
        </w:rPr>
        <w:t>EnMS</w:t>
      </w:r>
      <w:r>
        <w:rPr>
          <w:rFonts w:ascii="Arial" w:eastAsia="Arial"/>
          <w:spacing w:val="-9"/>
        </w:rPr>
        <w:t xml:space="preserve"> </w:t>
      </w:r>
      <w:r>
        <w:t>使组织能够设定和实现目标和能源指标，采取改进其能源绩效所需的行动，以及证实其体系与本文件要求的符合性。</w:t>
      </w:r>
    </w:p>
    <w:p>
      <w:pPr>
        <w:pStyle w:val="Heading2"/>
        <w:numPr>
          <w:ilvl w:val="1"/>
          <w:numId w:val="37"/>
        </w:numPr>
        <w:tabs>
          <w:tab w:val="left" w:pos="575"/>
        </w:tabs>
        <w:spacing w:before="0" w:after="0" w:line="331" w:lineRule="exact"/>
        <w:ind w:left="574" w:right="0" w:hanging="435"/>
        <w:jc w:val="left"/>
      </w:pPr>
      <w:r>
        <w:t>能源绩效方法</w:t>
      </w:r>
    </w:p>
    <w:p>
      <w:pPr>
        <w:pStyle w:val="BodyText"/>
        <w:spacing w:before="170" w:line="364" w:lineRule="auto"/>
        <w:ind w:left="140" w:right="356" w:firstLine="400"/>
      </w:pPr>
      <w:r>
        <w:rPr>
          <w:spacing w:val="-1"/>
        </w:rPr>
        <w:t>本文件为一个系统的、数据驱动和基于事实的、并以持续改进能源绩效为关注焦点的过程规定了要求。能源绩效是一个关键要素，整合在本文件引入的概念中，以确保一段时间后有效且可测量</w:t>
      </w:r>
      <w:r>
        <w:t>的结果。能源绩效是一个与能源效率、能源使用和能源消耗相关的概念。能源绩效指标（</w:t>
      </w:r>
      <w:r>
        <w:rPr>
          <w:rFonts w:ascii="Arial" w:eastAsia="Arial"/>
        </w:rPr>
        <w:t>EnPIs</w:t>
      </w:r>
      <w:r>
        <w:t>）</w:t>
      </w:r>
      <w:r>
        <w:rPr>
          <w:spacing w:val="-97"/>
        </w:rPr>
        <w:t xml:space="preserve"> </w:t>
      </w:r>
      <w:r>
        <w:t>和能源基准（</w:t>
      </w:r>
      <w:r>
        <w:rPr>
          <w:rFonts w:ascii="Arial" w:eastAsia="Arial"/>
        </w:rPr>
        <w:t>EnBs</w:t>
      </w:r>
      <w:r>
        <w:t>）是本文件中提出的两个相互关联的要素，使组织能够证实能源绩效改进。</w:t>
      </w:r>
    </w:p>
    <w:p>
      <w:pPr>
        <w:pStyle w:val="Heading2"/>
        <w:numPr>
          <w:ilvl w:val="1"/>
          <w:numId w:val="37"/>
        </w:numPr>
        <w:tabs>
          <w:tab w:val="left" w:pos="575"/>
        </w:tabs>
        <w:spacing w:before="0" w:after="0" w:line="330" w:lineRule="exact"/>
        <w:ind w:left="574" w:right="0" w:hanging="435"/>
        <w:jc w:val="left"/>
      </w:pPr>
      <w:r>
        <w:t>策划</w:t>
      </w:r>
      <w:r>
        <w:rPr>
          <w:rFonts w:ascii="Arial" w:eastAsia="Arial"/>
        </w:rPr>
        <w:t>-</w:t>
      </w:r>
      <w:r>
        <w:t>实施</w:t>
      </w:r>
      <w:r>
        <w:rPr>
          <w:rFonts w:ascii="Arial" w:eastAsia="Arial"/>
        </w:rPr>
        <w:t>-</w:t>
      </w:r>
      <w:r>
        <w:t>检查</w:t>
      </w:r>
      <w:r>
        <w:rPr>
          <w:rFonts w:ascii="Arial" w:eastAsia="Arial"/>
        </w:rPr>
        <w:t>-</w:t>
      </w:r>
      <w:r>
        <w:t>改进（</w:t>
      </w:r>
      <w:r>
        <w:rPr>
          <w:rFonts w:ascii="Arial" w:eastAsia="Arial"/>
        </w:rPr>
        <w:t>PDCA</w:t>
      </w:r>
      <w:r>
        <w:t>）循环</w:t>
      </w:r>
    </w:p>
    <w:p>
      <w:pPr>
        <w:pStyle w:val="BodyText"/>
        <w:spacing w:before="174" w:line="364" w:lineRule="auto"/>
        <w:ind w:left="140" w:right="362" w:firstLine="400"/>
      </w:pPr>
      <w:r>
        <w:rPr>
          <w:spacing w:val="-8"/>
        </w:rPr>
        <w:t xml:space="preserve">本文件中所述的 </w:t>
      </w:r>
      <w:r>
        <w:rPr>
          <w:rFonts w:ascii="Arial" w:eastAsia="Arial"/>
          <w:spacing w:val="-1"/>
        </w:rPr>
        <w:t>EnMS</w:t>
      </w:r>
      <w:r>
        <w:rPr>
          <w:rFonts w:ascii="Arial" w:eastAsia="Arial"/>
          <w:spacing w:val="-13"/>
        </w:rPr>
        <w:t xml:space="preserve"> </w:t>
      </w:r>
      <w:r>
        <w:t>以策划</w:t>
      </w:r>
      <w:r>
        <w:rPr>
          <w:rFonts w:ascii="Arial" w:eastAsia="Arial"/>
        </w:rPr>
        <w:t>-</w:t>
      </w:r>
      <w:r>
        <w:t>实施</w:t>
      </w:r>
      <w:r>
        <w:rPr>
          <w:rFonts w:ascii="Arial" w:eastAsia="Arial"/>
        </w:rPr>
        <w:t>-</w:t>
      </w:r>
      <w:r>
        <w:t>检查</w:t>
      </w:r>
      <w:r>
        <w:rPr>
          <w:rFonts w:ascii="Arial" w:eastAsia="Arial"/>
        </w:rPr>
        <w:t>-</w:t>
      </w:r>
      <w:r>
        <w:t>改进（</w:t>
      </w:r>
      <w:r>
        <w:rPr>
          <w:rFonts w:ascii="Arial" w:eastAsia="Arial"/>
        </w:rPr>
        <w:t>PDCA</w:t>
      </w:r>
      <w:r>
        <w:t>）持续改进框架为基础，并将能源管理</w:t>
      </w:r>
      <w:r>
        <w:rPr>
          <w:spacing w:val="-4"/>
        </w:rPr>
        <w:t xml:space="preserve">融入到现有的组织实践中，如图 </w:t>
      </w:r>
      <w:r>
        <w:rPr>
          <w:rFonts w:ascii="Arial" w:eastAsia="Arial"/>
        </w:rPr>
        <w:t>1</w:t>
      </w:r>
      <w:r>
        <w:rPr>
          <w:rFonts w:ascii="Arial" w:eastAsia="Arial"/>
          <w:spacing w:val="-11"/>
        </w:rPr>
        <w:t xml:space="preserve"> </w:t>
      </w:r>
      <w:r>
        <w:t>所示。</w:t>
      </w:r>
    </w:p>
    <w:p>
      <w:pPr>
        <w:pStyle w:val="BodyText"/>
        <w:spacing w:line="255" w:lineRule="exact"/>
        <w:ind w:left="583"/>
      </w:pPr>
      <w:r>
        <w:t>对于能源管理，</w:t>
      </w:r>
      <w:r>
        <w:rPr>
          <w:rFonts w:ascii="Arial" w:eastAsia="Arial"/>
        </w:rPr>
        <w:t>PDCA</w:t>
      </w:r>
      <w:r>
        <w:rPr>
          <w:rFonts w:ascii="Arial" w:eastAsia="Arial"/>
          <w:spacing w:val="-12"/>
        </w:rPr>
        <w:t xml:space="preserve"> </w:t>
      </w:r>
      <w:r>
        <w:t>方法概述如下：</w:t>
      </w:r>
    </w:p>
    <w:p>
      <w:pPr>
        <w:pStyle w:val="ListParagraph"/>
        <w:numPr>
          <w:ilvl w:val="2"/>
          <w:numId w:val="37"/>
        </w:numPr>
        <w:tabs>
          <w:tab w:val="left" w:pos="971"/>
        </w:tabs>
        <w:spacing w:before="134" w:after="0" w:line="364" w:lineRule="auto"/>
        <w:ind w:left="970" w:right="326" w:hanging="390"/>
        <w:jc w:val="left"/>
        <w:rPr>
          <w:sz w:val="20"/>
        </w:rPr>
      </w:pPr>
      <w:r>
        <w:rPr>
          <w:spacing w:val="-8"/>
          <w:sz w:val="20"/>
        </w:rPr>
        <w:t>策划： 理解组织环境，建立能源方针和能源管理团队，考虑应对风险和机遇的措施，实</w:t>
      </w:r>
      <w:r>
        <w:rPr>
          <w:spacing w:val="-1"/>
          <w:sz w:val="20"/>
        </w:rPr>
        <w:t>施能源评审，识别重大能源使用，建立能源绩效指标，能源基准，目标和能源指标，以及</w:t>
      </w:r>
      <w:r>
        <w:rPr>
          <w:sz w:val="20"/>
        </w:rPr>
        <w:t>必要的行动计划以达成可以改进能源绩效的结果，并与方针保持一致；</w:t>
      </w:r>
    </w:p>
    <w:p>
      <w:pPr>
        <w:pStyle w:val="ListParagraph"/>
        <w:numPr>
          <w:ilvl w:val="2"/>
          <w:numId w:val="37"/>
        </w:numPr>
        <w:tabs>
          <w:tab w:val="left" w:pos="971"/>
        </w:tabs>
        <w:spacing w:before="0" w:after="0" w:line="364" w:lineRule="auto"/>
        <w:ind w:left="970" w:right="469" w:hanging="390"/>
        <w:jc w:val="left"/>
        <w:rPr>
          <w:sz w:val="20"/>
        </w:rPr>
      </w:pPr>
      <w:r>
        <w:rPr>
          <w:spacing w:val="-7"/>
          <w:sz w:val="20"/>
        </w:rPr>
        <w:t>实施： 实施行动计划、运行和维护控制、以及交流，确保能力并考虑在设计和采购时改</w:t>
      </w:r>
      <w:r>
        <w:rPr>
          <w:sz w:val="20"/>
        </w:rPr>
        <w:t>进能源绩效；</w:t>
      </w:r>
    </w:p>
    <w:p>
      <w:pPr>
        <w:pStyle w:val="ListParagraph"/>
        <w:numPr>
          <w:ilvl w:val="2"/>
          <w:numId w:val="37"/>
        </w:numPr>
        <w:tabs>
          <w:tab w:val="left" w:pos="1025"/>
          <w:tab w:val="left" w:pos="1026"/>
        </w:tabs>
        <w:spacing w:before="0" w:after="0" w:line="240" w:lineRule="auto"/>
        <w:ind w:left="1026" w:right="0" w:hanging="446"/>
        <w:jc w:val="left"/>
        <w:rPr>
          <w:sz w:val="20"/>
        </w:rPr>
      </w:pPr>
      <w:r>
        <w:rPr>
          <w:spacing w:val="-12"/>
          <w:sz w:val="20"/>
        </w:rPr>
        <w:t xml:space="preserve">检查： 能源绩效和 </w:t>
      </w:r>
      <w:r>
        <w:rPr>
          <w:rFonts w:ascii="Arial" w:eastAsia="Arial" w:hAnsi="Arial"/>
          <w:sz w:val="20"/>
        </w:rPr>
        <w:t>EnMS</w:t>
      </w:r>
      <w:r>
        <w:rPr>
          <w:rFonts w:ascii="Arial" w:eastAsia="Arial" w:hAnsi="Arial"/>
          <w:spacing w:val="-12"/>
          <w:sz w:val="20"/>
        </w:rPr>
        <w:t xml:space="preserve"> </w:t>
      </w:r>
      <w:r>
        <w:rPr>
          <w:sz w:val="20"/>
        </w:rPr>
        <w:t>的监测、测量、分析、评价，审核及管理评审；</w:t>
      </w:r>
    </w:p>
    <w:p>
      <w:pPr>
        <w:pStyle w:val="ListParagraph"/>
        <w:numPr>
          <w:ilvl w:val="2"/>
          <w:numId w:val="37"/>
        </w:numPr>
        <w:tabs>
          <w:tab w:val="left" w:pos="1025"/>
          <w:tab w:val="left" w:pos="1026"/>
        </w:tabs>
        <w:spacing w:before="130" w:after="0" w:line="240" w:lineRule="auto"/>
        <w:ind w:left="1026" w:right="0" w:hanging="446"/>
        <w:jc w:val="left"/>
        <w:rPr>
          <w:sz w:val="20"/>
        </w:rPr>
      </w:pPr>
      <w:r>
        <w:rPr>
          <w:spacing w:val="-9"/>
          <w:sz w:val="20"/>
        </w:rPr>
        <w:t xml:space="preserve">改进： 采取措施处理不符合并持续改进能源绩效和 </w:t>
      </w:r>
      <w:r>
        <w:rPr>
          <w:rFonts w:ascii="Arial" w:eastAsia="Arial" w:hAnsi="Arial"/>
          <w:sz w:val="20"/>
        </w:rPr>
        <w:t>EnMS</w:t>
      </w:r>
      <w:r>
        <w:rPr>
          <w:sz w:val="20"/>
        </w:rPr>
        <w:t>。</w:t>
      </w:r>
    </w:p>
    <w:p>
      <w:pPr>
        <w:spacing w:after="0" w:line="240" w:lineRule="auto"/>
        <w:jc w:val="left"/>
        <w:rPr>
          <w:sz w:val="20"/>
        </w:rPr>
        <w:sectPr>
          <w:headerReference w:type="default" r:id="rId12"/>
          <w:pgSz w:w="12240" w:h="15840"/>
          <w:pgMar w:top="1380" w:right="1480" w:bottom="280" w:left="1660" w:header="978" w:footer="0"/>
          <w:pgNumType w:start="6"/>
          <w:cols w:space="708"/>
        </w:sect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386"/>
      </w:pPr>
      <w:r>
        <w:drawing>
          <wp:inline distT="0" distB="0" distL="0" distR="0">
            <wp:extent cx="5110493" cy="194690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0493" cy="1946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</w:pPr>
    </w:p>
    <w:p>
      <w:pPr>
        <w:pStyle w:val="BodyText"/>
        <w:tabs>
          <w:tab w:val="left" w:pos="583"/>
        </w:tabs>
        <w:spacing w:before="81"/>
        <w:ind w:right="176"/>
        <w:jc w:val="center"/>
      </w:pPr>
      <w:r>
        <w:t>图</w:t>
      </w:r>
      <w:r>
        <w:rPr>
          <w:spacing w:val="-50"/>
        </w:rPr>
        <w:t xml:space="preserve"> </w:t>
      </w:r>
      <w:r>
        <w:rPr>
          <w:rFonts w:ascii="Arial" w:eastAsia="Arial"/>
        </w:rPr>
        <w:t>1</w:t>
        <w:tab/>
        <w:t>PDCA</w:t>
      </w:r>
      <w:r>
        <w:rPr>
          <w:rFonts w:ascii="Arial" w:eastAsia="Arial"/>
          <w:spacing w:val="-12"/>
        </w:rPr>
        <w:t xml:space="preserve"> </w:t>
      </w:r>
      <w:r>
        <w:t>循环</w:t>
      </w:r>
    </w:p>
    <w:p>
      <w:pPr>
        <w:pStyle w:val="BodyText"/>
        <w:rPr>
          <w:sz w:val="22"/>
        </w:rPr>
      </w:pPr>
    </w:p>
    <w:p>
      <w:pPr>
        <w:pStyle w:val="Heading2"/>
        <w:numPr>
          <w:ilvl w:val="1"/>
          <w:numId w:val="38"/>
        </w:numPr>
        <w:tabs>
          <w:tab w:val="left" w:pos="575"/>
        </w:tabs>
        <w:spacing w:before="195" w:after="0" w:line="240" w:lineRule="auto"/>
        <w:ind w:left="574" w:right="0" w:hanging="435"/>
        <w:jc w:val="left"/>
      </w:pPr>
      <w:r>
        <w:t>与其他管理体系标准的兼容性</w:t>
      </w:r>
    </w:p>
    <w:p>
      <w:pPr>
        <w:pStyle w:val="BodyText"/>
        <w:spacing w:before="174" w:line="364" w:lineRule="auto"/>
        <w:ind w:left="140" w:right="356" w:firstLine="400"/>
      </w:pPr>
      <w:r>
        <w:rPr>
          <w:spacing w:val="-9"/>
        </w:rPr>
        <w:t xml:space="preserve">本文件符合 </w:t>
      </w:r>
      <w:r>
        <w:rPr>
          <w:rFonts w:ascii="Arial" w:eastAsia="Arial"/>
          <w:spacing w:val="-1"/>
        </w:rPr>
        <w:t xml:space="preserve">ISO </w:t>
      </w:r>
      <w:r>
        <w:t>管理体系标准的要求，这些要求包括一个高阶架构，相同核心正文，以及通</w:t>
      </w:r>
      <w:r>
        <w:rPr>
          <w:spacing w:val="-1"/>
        </w:rPr>
        <w:t>用的术语和定义，从而确保与其他管理体系标准的高度兼容性。本文件可单独使用，但是，组织可</w:t>
      </w:r>
    </w:p>
    <w:p>
      <w:pPr>
        <w:pStyle w:val="BodyText"/>
        <w:spacing w:line="364" w:lineRule="auto"/>
        <w:ind w:left="139" w:right="115"/>
      </w:pPr>
      <w:r>
        <w:rPr>
          <w:spacing w:val="-3"/>
        </w:rPr>
        <w:t xml:space="preserve">选择将 </w:t>
      </w:r>
      <w:r>
        <w:rPr>
          <w:rFonts w:ascii="Arial" w:eastAsia="Arial"/>
        </w:rPr>
        <w:t>EnMS</w:t>
      </w:r>
      <w:r>
        <w:rPr>
          <w:rFonts w:ascii="Arial" w:eastAsia="Arial"/>
          <w:spacing w:val="24"/>
        </w:rPr>
        <w:t xml:space="preserve"> </w:t>
      </w:r>
      <w:r>
        <w:rPr>
          <w:spacing w:val="-1"/>
        </w:rPr>
        <w:t xml:space="preserve">和其他管理体系结合，或将 </w:t>
      </w:r>
      <w:r>
        <w:rPr>
          <w:rFonts w:ascii="Arial" w:eastAsia="Arial"/>
        </w:rPr>
        <w:t>EnMS</w:t>
      </w:r>
      <w:r>
        <w:rPr>
          <w:rFonts w:ascii="Arial" w:eastAsia="Arial"/>
          <w:spacing w:val="24"/>
        </w:rPr>
        <w:t xml:space="preserve"> </w:t>
      </w:r>
      <w:r>
        <w:t>应用于实现其他经营、环境或社会目标的过程中。</w:t>
      </w:r>
      <w:r>
        <w:rPr>
          <w:spacing w:val="-3"/>
        </w:rPr>
        <w:t xml:space="preserve">两个开展相似运行但具有不同能源绩效的组织均能够符合 </w:t>
      </w:r>
      <w:r>
        <w:rPr>
          <w:rFonts w:ascii="Arial" w:eastAsia="Arial"/>
        </w:rPr>
        <w:t>ISO 50001</w:t>
      </w:r>
      <w:r>
        <w:rPr>
          <w:rFonts w:ascii="Arial" w:eastAsia="Arial"/>
          <w:spacing w:val="-2"/>
        </w:rPr>
        <w:t xml:space="preserve"> </w:t>
      </w:r>
      <w:r>
        <w:t>的要求。</w:t>
      </w:r>
    </w:p>
    <w:p>
      <w:pPr>
        <w:pStyle w:val="BodyText"/>
        <w:ind w:left="539"/>
      </w:pPr>
      <w:r>
        <w:rPr>
          <w:spacing w:val="-1"/>
        </w:rPr>
        <w:t>本文件包含评估符合性的要求。希望证实符合本文件的组织可通过以下途径来进行：</w:t>
      </w:r>
    </w:p>
    <w:p>
      <w:pPr>
        <w:pStyle w:val="ListParagraph"/>
        <w:numPr>
          <w:ilvl w:val="0"/>
          <w:numId w:val="28"/>
        </w:numPr>
        <w:tabs>
          <w:tab w:val="left" w:pos="971"/>
        </w:tabs>
        <w:spacing w:before="131" w:after="0" w:line="240" w:lineRule="auto"/>
        <w:ind w:left="970" w:right="0" w:hanging="391"/>
        <w:jc w:val="left"/>
        <w:rPr>
          <w:sz w:val="20"/>
        </w:rPr>
      </w:pPr>
      <w:r>
        <w:rPr>
          <w:spacing w:val="-1"/>
          <w:sz w:val="20"/>
        </w:rPr>
        <w:t>进行评价和自我声明，或</w:t>
      </w:r>
    </w:p>
    <w:p>
      <w:pPr>
        <w:pStyle w:val="ListParagraph"/>
        <w:numPr>
          <w:ilvl w:val="0"/>
          <w:numId w:val="28"/>
        </w:numPr>
        <w:tabs>
          <w:tab w:val="left" w:pos="971"/>
        </w:tabs>
        <w:spacing w:before="132" w:after="0" w:line="240" w:lineRule="auto"/>
        <w:ind w:left="970" w:right="0" w:hanging="391"/>
        <w:jc w:val="left"/>
        <w:rPr>
          <w:sz w:val="20"/>
        </w:rPr>
      </w:pPr>
      <w:r>
        <w:rPr>
          <w:spacing w:val="-1"/>
          <w:sz w:val="20"/>
        </w:rPr>
        <w:t>寻求相关方（</w:t>
      </w:r>
      <w:r>
        <w:rPr>
          <w:sz w:val="20"/>
        </w:rPr>
        <w:t>如顾客）对其符合性或自我声明进行确认；</w:t>
      </w:r>
    </w:p>
    <w:p>
      <w:pPr>
        <w:pStyle w:val="ListParagraph"/>
        <w:numPr>
          <w:ilvl w:val="0"/>
          <w:numId w:val="28"/>
        </w:numPr>
        <w:tabs>
          <w:tab w:val="left" w:pos="971"/>
        </w:tabs>
        <w:spacing w:before="134" w:after="0" w:line="364" w:lineRule="auto"/>
        <w:ind w:left="540" w:right="4430" w:firstLine="40"/>
        <w:jc w:val="left"/>
        <w:rPr>
          <w:sz w:val="20"/>
        </w:rPr>
      </w:pPr>
      <w:r>
        <w:rPr>
          <w:spacing w:val="-7"/>
          <w:sz w:val="20"/>
        </w:rPr>
        <w:t xml:space="preserve">寻求外部组织对其 </w:t>
      </w:r>
      <w:r>
        <w:rPr>
          <w:rFonts w:ascii="Arial" w:eastAsia="Arial" w:hAnsi="Arial"/>
          <w:spacing w:val="-1"/>
          <w:sz w:val="20"/>
        </w:rPr>
        <w:t>EnMS</w:t>
      </w:r>
      <w:r>
        <w:rPr>
          <w:rFonts w:ascii="Arial" w:eastAsia="Arial" w:hAnsi="Arial"/>
          <w:spacing w:val="-14"/>
          <w:sz w:val="20"/>
        </w:rPr>
        <w:t xml:space="preserve"> </w:t>
      </w:r>
      <w:r>
        <w:rPr>
          <w:sz w:val="20"/>
        </w:rPr>
        <w:t>进行认证</w:t>
      </w:r>
      <w:r>
        <w:rPr>
          <w:rFonts w:ascii="Arial" w:eastAsia="Arial" w:hAnsi="Arial"/>
          <w:sz w:val="20"/>
        </w:rPr>
        <w:t>/</w:t>
      </w:r>
      <w:r>
        <w:rPr>
          <w:sz w:val="20"/>
        </w:rPr>
        <w:t>注册。在本文件中，使用以下助动词：</w:t>
      </w:r>
    </w:p>
    <w:p>
      <w:pPr>
        <w:pStyle w:val="BodyText"/>
        <w:spacing w:line="255" w:lineRule="exact"/>
        <w:ind w:left="860"/>
      </w:pPr>
      <w:r>
        <w:rPr>
          <w:rFonts w:ascii="Arial" w:eastAsia="Arial" w:hAnsi="Arial"/>
        </w:rPr>
        <w:t>“</w:t>
      </w:r>
      <w:r>
        <w:t>应</w:t>
      </w:r>
      <w:r>
        <w:rPr>
          <w:rFonts w:ascii="Arial" w:eastAsia="Arial" w:hAnsi="Arial"/>
        </w:rPr>
        <w:t>”</w:t>
      </w:r>
      <w:r>
        <w:t>表示要求；</w:t>
      </w:r>
    </w:p>
    <w:p>
      <w:pPr>
        <w:pStyle w:val="BodyText"/>
        <w:spacing w:before="133"/>
        <w:ind w:left="860"/>
      </w:pPr>
      <w:r>
        <w:rPr>
          <w:rFonts w:ascii="Arial" w:eastAsia="Arial" w:hAnsi="Arial"/>
          <w:spacing w:val="-1"/>
        </w:rPr>
        <w:t>“</w:t>
      </w:r>
      <w:r>
        <w:rPr>
          <w:spacing w:val="-1"/>
        </w:rPr>
        <w:t>应当</w:t>
      </w:r>
      <w:r>
        <w:rPr>
          <w:rFonts w:ascii="Arial" w:eastAsia="Arial" w:hAnsi="Arial"/>
        </w:rPr>
        <w:t>”</w:t>
      </w:r>
      <w:r>
        <w:t>表示建议；</w:t>
      </w:r>
    </w:p>
    <w:p>
      <w:pPr>
        <w:pStyle w:val="BodyText"/>
        <w:spacing w:before="132" w:line="364" w:lineRule="auto"/>
        <w:ind w:left="860" w:right="4902"/>
      </w:pPr>
      <w:r>
        <w:rPr>
          <w:rFonts w:ascii="Arial" w:eastAsia="Arial" w:hAnsi="Arial"/>
          <w:spacing w:val="-1"/>
        </w:rPr>
        <w:t>“</w:t>
      </w:r>
      <w:r>
        <w:rPr>
          <w:spacing w:val="-1"/>
        </w:rPr>
        <w:t>可，可能，能够</w:t>
      </w:r>
      <w:r>
        <w:rPr>
          <w:rFonts w:ascii="Arial" w:eastAsia="Arial" w:hAnsi="Arial"/>
        </w:rPr>
        <w:t>”</w:t>
      </w:r>
      <w:r>
        <w:t>表示可能性或能力；</w:t>
      </w:r>
      <w:r>
        <w:rPr>
          <w:spacing w:val="-97"/>
        </w:rPr>
        <w:t xml:space="preserve"> </w:t>
      </w:r>
      <w:r>
        <w:rPr>
          <w:rFonts w:ascii="Arial" w:eastAsia="Arial" w:hAnsi="Arial"/>
        </w:rPr>
        <w:t>“</w:t>
      </w:r>
      <w:r>
        <w:t>可以</w:t>
      </w:r>
      <w:r>
        <w:rPr>
          <w:rFonts w:ascii="Arial" w:eastAsia="Arial" w:hAnsi="Arial"/>
        </w:rPr>
        <w:t>”</w:t>
      </w:r>
      <w:r>
        <w:t>表示允许。</w:t>
      </w:r>
    </w:p>
    <w:p>
      <w:pPr>
        <w:pStyle w:val="BodyText"/>
        <w:spacing w:line="364" w:lineRule="auto"/>
        <w:ind w:left="140" w:right="434" w:firstLine="443"/>
      </w:pPr>
      <w:r>
        <w:rPr>
          <w:spacing w:val="-1"/>
        </w:rPr>
        <w:t>标记为</w:t>
      </w:r>
      <w:r>
        <w:rPr>
          <w:rFonts w:ascii="Arial" w:eastAsia="Arial" w:hAnsi="Arial"/>
          <w:spacing w:val="-1"/>
        </w:rPr>
        <w:t>“</w:t>
      </w:r>
      <w:r>
        <w:rPr>
          <w:spacing w:val="-1"/>
        </w:rPr>
        <w:t>注</w:t>
      </w:r>
      <w:r>
        <w:rPr>
          <w:rFonts w:ascii="Arial" w:eastAsia="Arial" w:hAnsi="Arial"/>
          <w:spacing w:val="-1"/>
        </w:rPr>
        <w:t>”</w:t>
      </w:r>
      <w:r>
        <w:rPr>
          <w:spacing w:val="-4"/>
        </w:rPr>
        <w:t xml:space="preserve">的信息旨在帮助理解或使用本文件。第 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-11"/>
        </w:rPr>
        <w:t xml:space="preserve"> </w:t>
      </w:r>
      <w:r>
        <w:t>部分中使用的</w:t>
      </w:r>
      <w:r>
        <w:rPr>
          <w:rFonts w:ascii="Arial" w:eastAsia="Arial" w:hAnsi="Arial"/>
        </w:rPr>
        <w:t>“</w:t>
      </w:r>
      <w:r>
        <w:t>注</w:t>
      </w:r>
      <w:r>
        <w:rPr>
          <w:rFonts w:ascii="Arial" w:eastAsia="Arial" w:hAnsi="Arial"/>
        </w:rPr>
        <w:t>”</w:t>
      </w:r>
      <w:r>
        <w:t>提供了附加信息，以补充术语资料，可能包含使用术语的相关规定。</w:t>
      </w:r>
    </w:p>
    <w:p>
      <w:pPr>
        <w:pStyle w:val="BodyText"/>
        <w:spacing w:before="10"/>
        <w:rPr>
          <w:sz w:val="26"/>
        </w:rPr>
      </w:pPr>
    </w:p>
    <w:p>
      <w:pPr>
        <w:pStyle w:val="Heading2"/>
        <w:numPr>
          <w:ilvl w:val="1"/>
          <w:numId w:val="38"/>
        </w:numPr>
        <w:tabs>
          <w:tab w:val="left" w:pos="575"/>
        </w:tabs>
        <w:spacing w:before="0" w:after="0" w:line="240" w:lineRule="auto"/>
        <w:ind w:left="574" w:right="0" w:hanging="435"/>
        <w:jc w:val="left"/>
      </w:pPr>
      <w:r>
        <w:rPr>
          <w:rFonts w:ascii="Arial" w:eastAsia="Arial"/>
        </w:rPr>
        <w:t>ISO</w:t>
      </w:r>
      <w:r>
        <w:rPr>
          <w:rFonts w:ascii="Arial" w:eastAsia="Arial"/>
          <w:spacing w:val="-3"/>
        </w:rPr>
        <w:t xml:space="preserve"> </w:t>
      </w:r>
      <w:r>
        <w:rPr>
          <w:rFonts w:ascii="Arial" w:eastAsia="Arial"/>
        </w:rPr>
        <w:t xml:space="preserve">50001 </w:t>
      </w:r>
      <w:r>
        <w:t>的益处</w:t>
      </w:r>
    </w:p>
    <w:p>
      <w:pPr>
        <w:pStyle w:val="BodyText"/>
        <w:spacing w:before="173" w:line="364" w:lineRule="auto"/>
        <w:ind w:left="139" w:right="356" w:firstLine="443"/>
      </w:pPr>
      <w:r>
        <w:t>本文件的有效实施提供了一个持续改进能源绩效的系统方法，这能够转变组织管理能源的方</w:t>
      </w:r>
      <w:r>
        <w:rPr>
          <w:spacing w:val="-1"/>
        </w:rPr>
        <w:t>式。将能源管理融进组织的业务实践中，组织能建立一个持续改进能源绩效的过程。通过改进能源</w:t>
      </w:r>
    </w:p>
    <w:p>
      <w:pPr>
        <w:spacing w:after="0" w:line="364" w:lineRule="auto"/>
        <w:sectPr>
          <w:headerReference w:type="default" r:id="rId14"/>
          <w:pgSz w:w="12240" w:h="15840"/>
          <w:pgMar w:top="1380" w:right="1480" w:bottom="280" w:left="1660" w:header="978" w:footer="0"/>
          <w:pgNumType w:start="7"/>
          <w:cols w:space="708"/>
        </w:sectPr>
      </w:pPr>
    </w:p>
    <w:p>
      <w:pPr>
        <w:pStyle w:val="BodyText"/>
        <w:spacing w:before="4"/>
        <w:rPr>
          <w:sz w:val="7"/>
        </w:rPr>
      </w:pPr>
    </w:p>
    <w:p>
      <w:pPr>
        <w:pStyle w:val="BodyText"/>
        <w:spacing w:line="88" w:lineRule="exact"/>
        <w:ind w:left="110"/>
        <w:rPr>
          <w:sz w:val="8"/>
        </w:rPr>
      </w:pPr>
      <w:r>
        <w:rPr>
          <w:position w:val="-1"/>
          <w:sz w:val="8"/>
        </w:rPr>
        <w:pict>
          <v:group id="_x0000_i1025" style="width:435.1pt;height:4.45pt;mso-position-horizontal-relative:char;mso-position-vertical-relative:line" coordorigin="0,0" coordsize="8702,89">
            <v:shape id="_x0000_s1026" style="width:8702;height:89;position:absolute" coordorigin="0,0" coordsize="8702,89" path="m8701,29l,29,,89,8701,89,8701,29xm8701,l,,,14,8701,14,8701,xe" filled="t" fillcolor="#49442a" stroked="f">
              <v:fill type="solid"/>
              <v:path arrowok="t"/>
            </v:shape>
            <w10:wrap type="none"/>
          </v:group>
        </w:pict>
      </w:r>
    </w:p>
    <w:p>
      <w:pPr>
        <w:pStyle w:val="BodyText"/>
        <w:spacing w:before="62" w:line="364" w:lineRule="auto"/>
        <w:ind w:left="140" w:right="356"/>
      </w:pPr>
      <w:r>
        <w:rPr>
          <w:spacing w:val="-1"/>
        </w:rPr>
        <w:t>绩效和相关的能源成本，组织可能变得更具竞争力。此外，实施能够使组织通过减少与能源相关的</w:t>
      </w:r>
      <w:r>
        <w:t>温室气体排放来实现延缓气候变化的总目标。</w:t>
      </w:r>
    </w:p>
    <w:p>
      <w:pPr>
        <w:spacing w:after="0" w:line="364" w:lineRule="auto"/>
        <w:sectPr>
          <w:headerReference w:type="default" r:id="rId15"/>
          <w:pgSz w:w="12240" w:h="15840"/>
          <w:pgMar w:top="1180" w:right="1480" w:bottom="280" w:left="1660" w:header="978" w:footer="0"/>
          <w:pgNumType w:start="8"/>
          <w:cols w:space="708"/>
        </w:sectPr>
      </w:pPr>
    </w:p>
    <w:p>
      <w:pPr>
        <w:pStyle w:val="BodyText"/>
        <w:spacing w:before="4"/>
        <w:rPr>
          <w:sz w:val="7"/>
        </w:rPr>
      </w:pPr>
    </w:p>
    <w:p>
      <w:pPr>
        <w:pStyle w:val="BodyText"/>
        <w:spacing w:line="88" w:lineRule="exact"/>
        <w:ind w:left="110"/>
        <w:rPr>
          <w:sz w:val="8"/>
        </w:rPr>
      </w:pPr>
      <w:r>
        <w:rPr>
          <w:position w:val="-1"/>
          <w:sz w:val="8"/>
        </w:rPr>
        <w:pict>
          <v:group id="_x0000_i1027" style="width:435.1pt;height:4.45pt;mso-position-horizontal-relative:char;mso-position-vertical-relative:line" coordorigin="0,0" coordsize="8702,89">
            <v:shape id="_x0000_s1028" style="width:8702;height:89;position:absolute" coordorigin="0,0" coordsize="8702,89" path="m8701,29l,29,,89,8701,89,8701,29xm8701,l,,,14,8701,14,8701,xe" filled="t" fillcolor="#49442a" stroked="f">
              <v:fill type="solid"/>
              <v:path arrowok="t"/>
            </v:shape>
            <w10:wrap type="none"/>
          </v:group>
        </w:pict>
      </w:r>
    </w:p>
    <w:p>
      <w:pPr>
        <w:pStyle w:val="BodyText"/>
      </w:pPr>
    </w:p>
    <w:p>
      <w:pPr>
        <w:pStyle w:val="BodyText"/>
        <w:spacing w:before="8"/>
        <w:rPr>
          <w:sz w:val="19"/>
        </w:rPr>
      </w:pPr>
    </w:p>
    <w:p>
      <w:pPr>
        <w:spacing w:before="71"/>
        <w:ind w:left="2438" w:right="2617" w:firstLine="0"/>
        <w:jc w:val="center"/>
        <w:rPr>
          <w:b/>
          <w:sz w:val="30"/>
        </w:rPr>
      </w:pPr>
      <w:r>
        <w:rPr>
          <w:b/>
          <w:w w:val="95"/>
          <w:sz w:val="30"/>
        </w:rPr>
        <w:t>能源管理体系</w:t>
      </w:r>
      <w:r>
        <w:rPr>
          <w:rFonts w:ascii="Arial" w:eastAsia="Arial" w:hAnsi="Arial"/>
          <w:b/>
          <w:w w:val="95"/>
          <w:sz w:val="30"/>
        </w:rPr>
        <w:t>—</w:t>
      </w:r>
      <w:r>
        <w:rPr>
          <w:b/>
          <w:w w:val="95"/>
          <w:sz w:val="30"/>
        </w:rPr>
        <w:t>要求和使用指南</w:t>
      </w:r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27"/>
        </w:rPr>
      </w:pPr>
    </w:p>
    <w:p>
      <w:pPr>
        <w:pStyle w:val="Heading1"/>
        <w:numPr>
          <w:ilvl w:val="0"/>
          <w:numId w:val="27"/>
        </w:numPr>
        <w:tabs>
          <w:tab w:val="left" w:pos="375"/>
        </w:tabs>
        <w:spacing w:before="73" w:after="0" w:line="240" w:lineRule="auto"/>
        <w:ind w:left="374" w:right="0" w:hanging="235"/>
        <w:jc w:val="left"/>
      </w:pPr>
      <w:bookmarkStart w:id="2" w:name="_bookmark2"/>
      <w:bookmarkEnd w:id="2"/>
      <w:r>
        <w:rPr>
          <w:w w:val="95"/>
        </w:rPr>
        <w:t>范围</w:t>
      </w:r>
    </w:p>
    <w:p>
      <w:pPr>
        <w:pStyle w:val="BodyText"/>
        <w:spacing w:before="186" w:line="364" w:lineRule="auto"/>
        <w:ind w:left="140" w:right="356" w:firstLine="400"/>
      </w:pPr>
      <w:r>
        <w:rPr>
          <w:spacing w:val="-1"/>
        </w:rPr>
        <w:t>本文件规定了组织建立、实施、保持和改进能源管理体系的要求，旨在使组织能够采用系统的</w:t>
      </w:r>
      <w:r>
        <w:t xml:space="preserve">方法，实现能源绩效和能源管理体系的持续改进。 </w:t>
      </w:r>
    </w:p>
    <w:p>
      <w:pPr>
        <w:pStyle w:val="BodyText"/>
        <w:ind w:left="540"/>
      </w:pPr>
      <w:r>
        <w:rPr>
          <w:spacing w:val="-1"/>
        </w:rPr>
        <w:t>本文件：</w:t>
      </w:r>
      <w:r>
        <w:t xml:space="preserve"> </w:t>
      </w:r>
    </w:p>
    <w:p>
      <w:pPr>
        <w:pStyle w:val="ListParagraph"/>
        <w:numPr>
          <w:ilvl w:val="1"/>
          <w:numId w:val="27"/>
        </w:numPr>
        <w:tabs>
          <w:tab w:val="left" w:pos="960"/>
        </w:tabs>
        <w:spacing w:before="132" w:after="0" w:line="364" w:lineRule="auto"/>
        <w:ind w:left="960" w:right="336" w:hanging="420"/>
        <w:jc w:val="left"/>
        <w:rPr>
          <w:sz w:val="20"/>
        </w:rPr>
      </w:pPr>
      <w:r>
        <w:rPr>
          <w:spacing w:val="-1"/>
          <w:sz w:val="20"/>
        </w:rPr>
        <w:t>适用于任何组织，与其类型、规模、复杂程度、地理位置、组织文化或其提供的产品和服</w:t>
      </w:r>
      <w:r>
        <w:rPr>
          <w:sz w:val="20"/>
        </w:rPr>
        <w:t>务无关；</w:t>
      </w:r>
    </w:p>
    <w:p>
      <w:pPr>
        <w:pStyle w:val="ListParagraph"/>
        <w:numPr>
          <w:ilvl w:val="1"/>
          <w:numId w:val="27"/>
        </w:numPr>
        <w:tabs>
          <w:tab w:val="left" w:pos="960"/>
        </w:tabs>
        <w:spacing w:before="0" w:after="0" w:line="240" w:lineRule="auto"/>
        <w:ind w:left="960" w:right="0" w:hanging="420"/>
        <w:jc w:val="left"/>
        <w:rPr>
          <w:sz w:val="20"/>
        </w:rPr>
      </w:pPr>
      <w:r>
        <w:rPr>
          <w:spacing w:val="-1"/>
          <w:sz w:val="20"/>
        </w:rPr>
        <w:t>适用于组织管理和控制的影响能源绩效的活动；</w:t>
      </w:r>
    </w:p>
    <w:p>
      <w:pPr>
        <w:pStyle w:val="ListParagraph"/>
        <w:numPr>
          <w:ilvl w:val="1"/>
          <w:numId w:val="27"/>
        </w:numPr>
        <w:tabs>
          <w:tab w:val="left" w:pos="960"/>
        </w:tabs>
        <w:spacing w:before="133" w:after="0" w:line="240" w:lineRule="auto"/>
        <w:ind w:left="960" w:right="0" w:hanging="420"/>
        <w:jc w:val="left"/>
        <w:rPr>
          <w:sz w:val="20"/>
        </w:rPr>
      </w:pPr>
      <w:r>
        <w:rPr>
          <w:spacing w:val="-1"/>
          <w:sz w:val="20"/>
        </w:rPr>
        <w:t>与消耗能源的数量、使用方式和类型无关，均可适用；</w:t>
      </w:r>
    </w:p>
    <w:p>
      <w:pPr>
        <w:pStyle w:val="ListParagraph"/>
        <w:numPr>
          <w:ilvl w:val="1"/>
          <w:numId w:val="27"/>
        </w:numPr>
        <w:tabs>
          <w:tab w:val="left" w:pos="960"/>
        </w:tabs>
        <w:spacing w:before="132" w:after="0" w:line="240" w:lineRule="auto"/>
        <w:ind w:left="960" w:right="0" w:hanging="420"/>
        <w:jc w:val="left"/>
        <w:rPr>
          <w:sz w:val="20"/>
        </w:rPr>
      </w:pPr>
      <w:r>
        <w:rPr>
          <w:spacing w:val="-1"/>
          <w:sz w:val="20"/>
        </w:rPr>
        <w:t>要求证实能源绩效的持续改进，但未规定能源绩效改进要实现的水平；</w:t>
      </w:r>
    </w:p>
    <w:p>
      <w:pPr>
        <w:pStyle w:val="ListParagraph"/>
        <w:numPr>
          <w:ilvl w:val="1"/>
          <w:numId w:val="27"/>
        </w:numPr>
        <w:tabs>
          <w:tab w:val="left" w:pos="960"/>
        </w:tabs>
        <w:spacing w:before="133" w:after="0" w:line="240" w:lineRule="auto"/>
        <w:ind w:left="960" w:right="0" w:hanging="420"/>
        <w:jc w:val="left"/>
        <w:rPr>
          <w:sz w:val="20"/>
        </w:rPr>
      </w:pPr>
      <w:r>
        <w:rPr>
          <w:spacing w:val="-1"/>
          <w:sz w:val="20"/>
        </w:rPr>
        <w:t>能够单独使用，或与其他管理体系结合或整合使用。</w:t>
      </w:r>
    </w:p>
    <w:p>
      <w:pPr>
        <w:pStyle w:val="BodyText"/>
        <w:spacing w:before="132"/>
        <w:ind w:left="540"/>
      </w:pPr>
      <w:r>
        <w:rPr>
          <w:spacing w:val="-1"/>
        </w:rPr>
        <w:t>附录 A</w:t>
      </w:r>
      <w:r>
        <w:rPr>
          <w:spacing w:val="-8"/>
        </w:rPr>
        <w:t xml:space="preserve"> 给出了本文件的使用指南。附录 </w:t>
      </w:r>
      <w:r>
        <w:t>B</w:t>
      </w:r>
      <w:r>
        <w:rPr>
          <w:spacing w:val="-7"/>
        </w:rPr>
        <w:t xml:space="preserve"> 提供了本版与前版的比较。 </w:t>
      </w:r>
    </w:p>
    <w:p>
      <w:pPr>
        <w:pStyle w:val="BodyText"/>
      </w:pPr>
    </w:p>
    <w:p>
      <w:pPr>
        <w:pStyle w:val="BodyText"/>
        <w:spacing w:before="11"/>
        <w:rPr>
          <w:sz w:val="27"/>
        </w:rPr>
      </w:pPr>
    </w:p>
    <w:p>
      <w:pPr>
        <w:pStyle w:val="Heading1"/>
        <w:numPr>
          <w:ilvl w:val="0"/>
          <w:numId w:val="27"/>
        </w:numPr>
        <w:tabs>
          <w:tab w:val="left" w:pos="375"/>
        </w:tabs>
        <w:spacing w:before="0" w:after="0" w:line="240" w:lineRule="auto"/>
        <w:ind w:left="374" w:right="0" w:hanging="235"/>
        <w:jc w:val="left"/>
      </w:pPr>
      <w:bookmarkStart w:id="3" w:name="_bookmark3"/>
      <w:bookmarkEnd w:id="3"/>
      <w:r>
        <w:rPr>
          <w:w w:val="95"/>
        </w:rPr>
        <w:t>规范性引用文件</w:t>
      </w:r>
    </w:p>
    <w:p>
      <w:pPr>
        <w:pStyle w:val="BodyText"/>
        <w:spacing w:before="187"/>
        <w:ind w:left="540"/>
      </w:pPr>
      <w:r>
        <w:rPr>
          <w:spacing w:val="-1"/>
        </w:rPr>
        <w:t>本文件没有规范性引用文件。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Heading1"/>
        <w:numPr>
          <w:ilvl w:val="0"/>
          <w:numId w:val="27"/>
        </w:numPr>
        <w:tabs>
          <w:tab w:val="left" w:pos="375"/>
        </w:tabs>
        <w:spacing w:before="0" w:after="0" w:line="240" w:lineRule="auto"/>
        <w:ind w:left="374" w:right="0" w:hanging="236"/>
        <w:jc w:val="left"/>
      </w:pPr>
      <w:bookmarkStart w:id="4" w:name="_bookmark4"/>
      <w:bookmarkEnd w:id="4"/>
      <w:r>
        <w:rPr>
          <w:w w:val="95"/>
        </w:rPr>
        <w:t>术语和定义</w:t>
      </w:r>
    </w:p>
    <w:p>
      <w:pPr>
        <w:pStyle w:val="BodyText"/>
        <w:spacing w:before="187"/>
        <w:ind w:left="540"/>
      </w:pPr>
      <w:r>
        <w:rPr>
          <w:spacing w:val="-1"/>
        </w:rPr>
        <w:t>下列术语和定义适用于本文件。</w:t>
      </w:r>
    </w:p>
    <w:p>
      <w:pPr>
        <w:pStyle w:val="BodyText"/>
        <w:spacing w:before="132"/>
        <w:ind w:left="584"/>
      </w:pPr>
      <w:r>
        <w:rPr>
          <w:rFonts w:ascii="Arial" w:eastAsia="Arial"/>
          <w:spacing w:val="-1"/>
        </w:rPr>
        <w:t>ISO</w:t>
      </w:r>
      <w:r>
        <w:rPr>
          <w:rFonts w:ascii="Arial" w:eastAsia="Arial"/>
          <w:spacing w:val="-12"/>
        </w:rPr>
        <w:t xml:space="preserve"> </w:t>
      </w:r>
      <w:r>
        <w:rPr>
          <w:spacing w:val="-23"/>
        </w:rPr>
        <w:t xml:space="preserve">和 </w:t>
      </w:r>
      <w:r>
        <w:rPr>
          <w:rFonts w:ascii="Arial" w:eastAsia="Arial"/>
          <w:spacing w:val="-1"/>
        </w:rPr>
        <w:t>IEC</w:t>
      </w:r>
      <w:r>
        <w:rPr>
          <w:rFonts w:ascii="Arial" w:eastAsia="Arial"/>
          <w:spacing w:val="-10"/>
        </w:rPr>
        <w:t xml:space="preserve"> </w:t>
      </w:r>
      <w:r>
        <w:t>在下列网址维护着用于标准化的术语数据库：</w:t>
      </w:r>
    </w:p>
    <w:p>
      <w:pPr>
        <w:pStyle w:val="ListParagraph"/>
        <w:numPr>
          <w:ilvl w:val="0"/>
          <w:numId w:val="26"/>
        </w:numPr>
        <w:tabs>
          <w:tab w:val="left" w:pos="1221"/>
        </w:tabs>
        <w:spacing w:before="131" w:after="0" w:line="240" w:lineRule="auto"/>
        <w:ind w:left="1220" w:right="0" w:hanging="361"/>
        <w:jc w:val="left"/>
        <w:rPr>
          <w:rFonts w:ascii="Calibri" w:eastAsia="Calibri" w:hAnsi="Calibri"/>
          <w:sz w:val="18"/>
        </w:rPr>
      </w:pPr>
      <w:r>
        <w:rPr>
          <w:rFonts w:ascii="Arial" w:eastAsia="Arial" w:hAnsi="Arial"/>
          <w:sz w:val="18"/>
        </w:rPr>
        <w:t>ISO</w:t>
      </w:r>
      <w:r>
        <w:rPr>
          <w:rFonts w:ascii="Arial" w:eastAsia="Arial" w:hAnsi="Arial"/>
          <w:spacing w:val="-12"/>
          <w:sz w:val="18"/>
        </w:rPr>
        <w:t xml:space="preserve"> </w:t>
      </w:r>
      <w:r>
        <w:rPr>
          <w:sz w:val="18"/>
        </w:rPr>
        <w:t>在线浏览平台：</w:t>
      </w:r>
      <w:hyperlink r:id="rId16">
        <w:r>
          <w:rPr>
            <w:rFonts w:ascii="Arial" w:eastAsia="Arial" w:hAnsi="Arial"/>
            <w:sz w:val="18"/>
          </w:rPr>
          <w:t>http://www.iso.org/obp</w:t>
        </w:r>
      </w:hyperlink>
    </w:p>
    <w:p>
      <w:pPr>
        <w:pStyle w:val="ListParagraph"/>
        <w:numPr>
          <w:ilvl w:val="0"/>
          <w:numId w:val="26"/>
        </w:numPr>
        <w:tabs>
          <w:tab w:val="left" w:pos="1221"/>
        </w:tabs>
        <w:spacing w:before="119" w:after="0" w:line="240" w:lineRule="auto"/>
        <w:ind w:left="1220" w:right="0" w:hanging="361"/>
        <w:jc w:val="left"/>
        <w:rPr>
          <w:rFonts w:ascii="Calibri" w:eastAsia="Calibri" w:hAnsi="Calibri"/>
          <w:sz w:val="20"/>
        </w:rPr>
      </w:pPr>
      <w:r>
        <w:rPr>
          <w:rFonts w:ascii="Arial" w:eastAsia="Arial" w:hAnsi="Arial"/>
          <w:sz w:val="18"/>
        </w:rPr>
        <w:t>IEC</w:t>
      </w:r>
      <w:r>
        <w:rPr>
          <w:rFonts w:ascii="Arial" w:eastAsia="Arial" w:hAnsi="Arial"/>
          <w:spacing w:val="-2"/>
          <w:sz w:val="18"/>
        </w:rPr>
        <w:t xml:space="preserve"> </w:t>
      </w:r>
      <w:r>
        <w:rPr>
          <w:sz w:val="18"/>
        </w:rPr>
        <w:t>电工百科：</w:t>
      </w:r>
      <w:hyperlink r:id="rId17">
        <w:r>
          <w:rPr>
            <w:rFonts w:ascii="Arial" w:eastAsia="Arial" w:hAnsi="Arial"/>
            <w:sz w:val="18"/>
          </w:rPr>
          <w:t>http://www.electropedia.org/</w:t>
        </w:r>
      </w:hyperlink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Heading2"/>
        <w:ind w:left="140" w:firstLine="0"/>
      </w:pPr>
      <w:bookmarkStart w:id="5" w:name="_bookmark5"/>
      <w:bookmarkEnd w:id="5"/>
      <w:r>
        <w:rPr>
          <w:rFonts w:ascii="Arial" w:eastAsia="Arial"/>
        </w:rPr>
        <w:t>3.1</w:t>
      </w:r>
      <w:r>
        <w:rPr>
          <w:rFonts w:ascii="Arial" w:eastAsia="Arial"/>
          <w:spacing w:val="-2"/>
        </w:rPr>
        <w:t xml:space="preserve"> </w:t>
      </w:r>
      <w:r>
        <w:t>与组织相关的术语</w:t>
      </w:r>
    </w:p>
    <w:p>
      <w:pPr>
        <w:pStyle w:val="Heading3"/>
        <w:spacing w:before="55"/>
      </w:pPr>
      <w:r>
        <w:t>3.1.1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3"/>
          <w:sz w:val="22"/>
        </w:rPr>
        <w:t xml:space="preserve">组织 </w:t>
      </w:r>
      <w:r>
        <w:rPr>
          <w:rFonts w:ascii="Arial" w:eastAsia="Arial"/>
          <w:b/>
          <w:sz w:val="22"/>
        </w:rPr>
        <w:t>organization</w:t>
      </w:r>
    </w:p>
    <w:p>
      <w:pPr>
        <w:pStyle w:val="BodyText"/>
        <w:spacing w:before="147"/>
        <w:ind w:left="140"/>
      </w:pPr>
      <w:r>
        <w:rPr>
          <w:spacing w:val="-1"/>
        </w:rPr>
        <w:t>为实现其目标（</w:t>
      </w:r>
      <w:r>
        <w:rPr>
          <w:rFonts w:ascii="Arial" w:eastAsia="Arial"/>
          <w:spacing w:val="-1"/>
        </w:rPr>
        <w:t>3.4.13</w:t>
      </w:r>
      <w:r>
        <w:rPr>
          <w:spacing w:val="-1"/>
        </w:rPr>
        <w:t>）</w:t>
      </w:r>
      <w:r>
        <w:t>而具有自身职能及职责、权限和相互关系的个人或一组人。</w:t>
      </w:r>
    </w:p>
    <w:p>
      <w:pPr>
        <w:spacing w:before="132" w:line="364" w:lineRule="auto"/>
        <w:ind w:left="139" w:right="347" w:firstLine="0"/>
        <w:jc w:val="left"/>
        <w:rPr>
          <w:sz w:val="16"/>
        </w:rPr>
      </w:pPr>
      <w:r>
        <w:rPr>
          <w:w w:val="95"/>
          <w:sz w:val="16"/>
        </w:rPr>
        <w:t>注</w:t>
      </w:r>
      <w:r>
        <w:rPr>
          <w:spacing w:val="82"/>
          <w:sz w:val="16"/>
        </w:rPr>
        <w:t xml:space="preserve">  </w:t>
      </w:r>
      <w:r>
        <w:rPr>
          <w:rFonts w:ascii="Arial" w:eastAsia="Arial"/>
          <w:w w:val="95"/>
          <w:sz w:val="16"/>
        </w:rPr>
        <w:t>1</w:t>
      </w:r>
      <w:r>
        <w:rPr>
          <w:w w:val="95"/>
          <w:sz w:val="16"/>
        </w:rPr>
        <w:t>：组织的概念包括但不限于个体经营者、公司、集团公司、商行、企事业单位、政府机构、合股经营的公司、慈善机构</w:t>
      </w:r>
      <w:r>
        <w:rPr>
          <w:sz w:val="16"/>
        </w:rPr>
        <w:t>或研究机构，或它们的一部分或组合，无论是否具有法人资格，公有的或私有的。</w:t>
      </w:r>
    </w:p>
    <w:p>
      <w:pPr>
        <w:spacing w:after="0" w:line="364" w:lineRule="auto"/>
        <w:jc w:val="left"/>
        <w:rPr>
          <w:sz w:val="16"/>
        </w:rPr>
        <w:sectPr>
          <w:headerReference w:type="default" r:id="rId18"/>
          <w:pgSz w:w="12240" w:h="15840"/>
          <w:pgMar w:top="1180" w:right="1480" w:bottom="280" w:left="1660" w:header="978" w:footer="0"/>
          <w:pgNumType w:start="9"/>
          <w:cols w:space="708"/>
        </w:sectPr>
      </w:pPr>
    </w:p>
    <w:p>
      <w:pPr>
        <w:pStyle w:val="Heading3"/>
      </w:pPr>
      <w:r>
        <w:pict>
          <v:shape id="_x0000_s1029" style="width:435.1pt;height:4.45pt;margin-top:64.56pt;margin-left:88.5pt;mso-position-horizontal-relative:page;mso-position-vertical-relative:page;position:absolute;z-index:251658240" coordorigin="1770,1291" coordsize="8702,89" path="m10471,1320l1770,1320,1770,1380,10471,1380,10471,1320xm10471,1291l1770,1291,1770,1306,10471,1306,10471,1291xe" filled="t" fillcolor="#49442a" stroked="f">
            <v:fill type="solid"/>
            <v:path arrowok="t"/>
          </v:shape>
        </w:pict>
      </w:r>
      <w:r>
        <w:rPr>
          <w:rFonts w:ascii="宋体" w:eastAsia="宋体" w:hint="eastAsia"/>
          <w:spacing w:val="1"/>
        </w:rPr>
        <w:t xml:space="preserve">最高管理者 </w:t>
      </w:r>
      <w:r>
        <w:t>top</w:t>
      </w:r>
      <w:r>
        <w:rPr>
          <w:spacing w:val="58"/>
        </w:rPr>
        <w:t xml:space="preserve"> </w:t>
      </w:r>
      <w:r>
        <w:t>management</w:t>
      </w:r>
    </w:p>
    <w:p>
      <w:pPr>
        <w:pStyle w:val="BodyText"/>
        <w:spacing w:before="147"/>
        <w:ind w:left="140"/>
      </w:pPr>
      <w:r>
        <w:rPr>
          <w:spacing w:val="-1"/>
        </w:rPr>
        <w:t>在最高层指挥和控制组织</w:t>
      </w:r>
      <w:r>
        <w:t>（</w:t>
      </w:r>
      <w:r>
        <w:rPr>
          <w:rFonts w:ascii="Arial" w:eastAsia="Arial"/>
        </w:rPr>
        <w:t>3.1.1</w:t>
      </w:r>
      <w:r>
        <w:t>）的一个人或一组人。</w:t>
      </w:r>
    </w:p>
    <w:p>
      <w:pPr>
        <w:spacing w:before="132"/>
        <w:ind w:left="139" w:right="0" w:firstLine="0"/>
        <w:jc w:val="left"/>
        <w:rPr>
          <w:sz w:val="16"/>
        </w:rPr>
      </w:pPr>
      <w:r>
        <w:rPr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1</w:t>
      </w:r>
      <w:r>
        <w:rPr>
          <w:w w:val="95"/>
          <w:sz w:val="16"/>
        </w:rPr>
        <w:t>：最高管理者在组织内有授权和提供资源的权力。</w:t>
      </w:r>
    </w:p>
    <w:p>
      <w:pPr>
        <w:spacing w:before="106" w:line="364" w:lineRule="auto"/>
        <w:ind w:left="140" w:right="435" w:firstLine="0"/>
        <w:jc w:val="left"/>
        <w:rPr>
          <w:sz w:val="16"/>
        </w:rPr>
      </w:pPr>
      <w:r>
        <w:rPr>
          <w:w w:val="95"/>
          <w:sz w:val="16"/>
        </w:rPr>
        <w:t>注</w:t>
      </w:r>
      <w:r>
        <w:rPr>
          <w:spacing w:val="80"/>
          <w:sz w:val="16"/>
        </w:rPr>
        <w:t xml:space="preserve">  </w:t>
      </w:r>
      <w:r>
        <w:rPr>
          <w:rFonts w:ascii="Arial" w:eastAsia="Arial"/>
          <w:w w:val="95"/>
          <w:sz w:val="16"/>
        </w:rPr>
        <w:t>2</w:t>
      </w:r>
      <w:r>
        <w:rPr>
          <w:w w:val="95"/>
          <w:sz w:val="16"/>
        </w:rPr>
        <w:t>：如果管理体系（</w:t>
      </w:r>
      <w:r>
        <w:rPr>
          <w:rFonts w:ascii="Arial" w:eastAsia="Arial"/>
          <w:w w:val="95"/>
          <w:sz w:val="16"/>
        </w:rPr>
        <w:t>3.2.1</w:t>
      </w:r>
      <w:r>
        <w:rPr>
          <w:w w:val="95"/>
          <w:sz w:val="16"/>
        </w:rPr>
        <w:t>）的范围仅覆盖组织（</w:t>
      </w:r>
      <w:r>
        <w:rPr>
          <w:rFonts w:ascii="Arial" w:eastAsia="Arial"/>
          <w:w w:val="95"/>
          <w:sz w:val="16"/>
        </w:rPr>
        <w:t>3.2.1</w:t>
      </w:r>
      <w:r>
        <w:rPr>
          <w:w w:val="95"/>
          <w:sz w:val="16"/>
        </w:rPr>
        <w:t>）的一部分，在这种情况下，最高管理者是指组织的这部分管理者</w:t>
      </w:r>
      <w:r>
        <w:rPr>
          <w:sz w:val="16"/>
        </w:rPr>
        <w:t>和控制者。</w:t>
      </w:r>
    </w:p>
    <w:p>
      <w:pPr>
        <w:spacing w:before="0" w:line="205" w:lineRule="exact"/>
        <w:ind w:left="140" w:right="0" w:firstLine="0"/>
        <w:jc w:val="left"/>
        <w:rPr>
          <w:sz w:val="16"/>
        </w:rPr>
      </w:pPr>
      <w:r>
        <w:rPr>
          <w:w w:val="95"/>
          <w:sz w:val="16"/>
        </w:rPr>
        <w:t>注</w:t>
      </w:r>
      <w:r>
        <w:rPr>
          <w:spacing w:val="135"/>
          <w:sz w:val="16"/>
        </w:rPr>
        <w:t xml:space="preserve"> </w:t>
      </w:r>
      <w:r>
        <w:rPr>
          <w:rFonts w:ascii="Arial" w:eastAsia="Arial"/>
          <w:w w:val="95"/>
          <w:sz w:val="16"/>
        </w:rPr>
        <w:t>3</w:t>
      </w:r>
      <w:r>
        <w:rPr>
          <w:w w:val="95"/>
          <w:sz w:val="16"/>
        </w:rPr>
        <w:t>：最高管理者在确定的能源管理体系（</w:t>
      </w:r>
      <w:r>
        <w:rPr>
          <w:rFonts w:ascii="Arial" w:eastAsia="Arial"/>
          <w:w w:val="95"/>
          <w:sz w:val="16"/>
        </w:rPr>
        <w:t>3.2.2</w:t>
      </w:r>
      <w:r>
        <w:rPr>
          <w:w w:val="95"/>
          <w:sz w:val="16"/>
        </w:rPr>
        <w:t>）的范围（</w:t>
      </w:r>
      <w:r>
        <w:rPr>
          <w:rFonts w:ascii="Arial" w:eastAsia="Arial"/>
          <w:w w:val="95"/>
          <w:sz w:val="16"/>
        </w:rPr>
        <w:t>3.1.4</w:t>
      </w:r>
      <w:r>
        <w:rPr>
          <w:w w:val="95"/>
          <w:sz w:val="16"/>
        </w:rPr>
        <w:t>）和边界（</w:t>
      </w:r>
      <w:r>
        <w:rPr>
          <w:rFonts w:ascii="Arial" w:eastAsia="Arial"/>
          <w:w w:val="95"/>
          <w:sz w:val="16"/>
        </w:rPr>
        <w:t>3.1.3</w:t>
      </w:r>
      <w:r>
        <w:rPr>
          <w:w w:val="95"/>
          <w:sz w:val="16"/>
        </w:rPr>
        <w:t>）内控制组织。</w:t>
      </w:r>
    </w:p>
    <w:p>
      <w:pPr>
        <w:pStyle w:val="BodyText"/>
        <w:rPr>
          <w:sz w:val="18"/>
        </w:rPr>
      </w:pPr>
    </w:p>
    <w:p>
      <w:pPr>
        <w:pStyle w:val="BodyText"/>
        <w:spacing w:before="6"/>
        <w:rPr>
          <w:sz w:val="14"/>
        </w:rPr>
      </w:pPr>
    </w:p>
    <w:p>
      <w:pPr>
        <w:pStyle w:val="Heading3"/>
        <w:spacing w:before="0"/>
      </w:pPr>
      <w:r>
        <w:t>3.1.3</w:t>
      </w:r>
    </w:p>
    <w:p>
      <w:pPr>
        <w:spacing w:before="128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-10"/>
          <w:w w:val="95"/>
          <w:sz w:val="22"/>
        </w:rPr>
        <w:t xml:space="preserve">边界 </w:t>
      </w:r>
      <w:r>
        <w:rPr>
          <w:rFonts w:ascii="Arial" w:eastAsia="Arial"/>
          <w:b/>
          <w:w w:val="95"/>
          <w:sz w:val="22"/>
        </w:rPr>
        <w:t>boundary</w:t>
      </w:r>
    </w:p>
    <w:p>
      <w:pPr>
        <w:pStyle w:val="BodyText"/>
        <w:spacing w:before="145"/>
        <w:ind w:left="140"/>
        <w:rPr>
          <w:sz w:val="22"/>
        </w:rPr>
      </w:pPr>
      <w:r>
        <w:rPr>
          <w:spacing w:val="-1"/>
        </w:rPr>
        <w:t>物理或组织界限</w:t>
      </w:r>
      <w:r>
        <w:rPr>
          <w:sz w:val="22"/>
        </w:rPr>
        <w:t>。</w:t>
      </w:r>
    </w:p>
    <w:p>
      <w:pPr>
        <w:spacing w:before="146" w:line="364" w:lineRule="auto"/>
        <w:ind w:left="140" w:right="1316" w:firstLine="0"/>
        <w:jc w:val="left"/>
        <w:rPr>
          <w:sz w:val="18"/>
        </w:rPr>
      </w:pPr>
      <w:r>
        <w:rPr>
          <w:spacing w:val="-1"/>
          <w:sz w:val="18"/>
        </w:rPr>
        <w:t>示例：一个过程</w:t>
      </w:r>
      <w:r>
        <w:rPr>
          <w:sz w:val="18"/>
        </w:rPr>
        <w:t>（</w:t>
      </w:r>
      <w:r>
        <w:rPr>
          <w:rFonts w:ascii="Arial" w:eastAsia="Arial"/>
          <w:sz w:val="18"/>
        </w:rPr>
        <w:t>3.3.6</w:t>
      </w:r>
      <w:r>
        <w:rPr>
          <w:sz w:val="18"/>
        </w:rPr>
        <w:t>）；一组过程；一个场所；组织控制的多个场所，或整个组织（</w:t>
      </w:r>
      <w:r>
        <w:rPr>
          <w:rFonts w:ascii="Arial" w:eastAsia="Arial"/>
          <w:sz w:val="18"/>
        </w:rPr>
        <w:t>3.1.1</w:t>
      </w:r>
      <w:r>
        <w:rPr>
          <w:sz w:val="18"/>
        </w:rPr>
        <w:t>）。</w:t>
      </w:r>
      <w:r>
        <w:rPr>
          <w:spacing w:val="-21"/>
          <w:sz w:val="18"/>
        </w:rPr>
        <w:t xml:space="preserve">注 </w:t>
      </w:r>
      <w:r>
        <w:rPr>
          <w:rFonts w:ascii="Arial" w:eastAsia="Arial"/>
          <w:spacing w:val="-1"/>
          <w:sz w:val="18"/>
        </w:rPr>
        <w:t>1</w:t>
      </w:r>
      <w:r>
        <w:rPr>
          <w:spacing w:val="-1"/>
          <w:sz w:val="18"/>
        </w:rPr>
        <w:t>：组织界定其能源管理体系的边界。</w:t>
      </w:r>
    </w:p>
    <w:p>
      <w:pPr>
        <w:pStyle w:val="BodyText"/>
        <w:spacing w:before="7"/>
        <w:rPr>
          <w:sz w:val="29"/>
        </w:rPr>
      </w:pPr>
    </w:p>
    <w:p>
      <w:pPr>
        <w:pStyle w:val="Heading3"/>
        <w:spacing w:before="0"/>
      </w:pPr>
      <w:r>
        <w:t>3.1.4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z w:val="22"/>
        </w:rPr>
        <w:t xml:space="preserve">能源管理体系范围 </w:t>
      </w:r>
      <w:r>
        <w:rPr>
          <w:rFonts w:ascii="Arial" w:eastAsia="Arial"/>
          <w:b/>
          <w:sz w:val="22"/>
        </w:rPr>
        <w:t>EnMS</w:t>
      </w:r>
      <w:r>
        <w:rPr>
          <w:rFonts w:ascii="Arial" w:eastAsia="Arial"/>
          <w:b/>
          <w:spacing w:val="-3"/>
          <w:sz w:val="22"/>
        </w:rPr>
        <w:t xml:space="preserve"> </w:t>
      </w:r>
      <w:r>
        <w:rPr>
          <w:rFonts w:ascii="Arial" w:eastAsia="Arial"/>
          <w:b/>
          <w:sz w:val="22"/>
        </w:rPr>
        <w:t>scope</w:t>
      </w:r>
    </w:p>
    <w:p>
      <w:pPr>
        <w:pStyle w:val="BodyText"/>
        <w:spacing w:before="147"/>
        <w:ind w:left="140"/>
      </w:pPr>
      <w:r>
        <w:rPr>
          <w:spacing w:val="-1"/>
        </w:rPr>
        <w:t>组织（</w:t>
      </w:r>
      <w:r>
        <w:rPr>
          <w:rFonts w:ascii="Arial" w:eastAsia="Arial"/>
          <w:spacing w:val="-1"/>
        </w:rPr>
        <w:t>3.1.1</w:t>
      </w:r>
      <w:r>
        <w:rPr>
          <w:spacing w:val="-1"/>
        </w:rPr>
        <w:t>）</w:t>
      </w:r>
      <w:r>
        <w:t>通过能源管理体系（</w:t>
      </w:r>
      <w:r>
        <w:rPr>
          <w:rFonts w:ascii="Arial" w:eastAsia="Arial"/>
        </w:rPr>
        <w:t>3.2.2</w:t>
      </w:r>
      <w:r>
        <w:t>）处理的一系列活动。</w:t>
      </w:r>
    </w:p>
    <w:p>
      <w:pPr>
        <w:spacing w:before="133"/>
        <w:ind w:left="140" w:right="0" w:firstLine="0"/>
        <w:jc w:val="left"/>
        <w:rPr>
          <w:sz w:val="16"/>
        </w:rPr>
      </w:pPr>
      <w:r>
        <w:rPr>
          <w:spacing w:val="28"/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1</w:t>
      </w:r>
      <w:r>
        <w:rPr>
          <w:w w:val="95"/>
          <w:sz w:val="16"/>
        </w:rPr>
        <w:t>：能源管理体系范围可包括多个边界（</w:t>
      </w:r>
      <w:r>
        <w:rPr>
          <w:rFonts w:ascii="Arial" w:eastAsia="Arial"/>
          <w:w w:val="95"/>
          <w:sz w:val="16"/>
        </w:rPr>
        <w:t>3.1.3</w:t>
      </w:r>
      <w:r>
        <w:rPr>
          <w:w w:val="95"/>
          <w:sz w:val="16"/>
        </w:rPr>
        <w:t>），并可包括运输业务。</w:t>
      </w: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Heading3"/>
        <w:spacing w:before="0"/>
      </w:pPr>
      <w:r>
        <w:t>3.1.5</w:t>
      </w:r>
    </w:p>
    <w:p>
      <w:pPr>
        <w:spacing w:before="128" w:line="364" w:lineRule="auto"/>
        <w:ind w:left="140" w:right="3131" w:firstLine="0"/>
        <w:jc w:val="left"/>
        <w:rPr>
          <w:b/>
          <w:sz w:val="22"/>
        </w:rPr>
      </w:pPr>
      <w:r>
        <w:rPr>
          <w:b/>
          <w:sz w:val="22"/>
        </w:rPr>
        <w:t xml:space="preserve">相关方（首选术语） </w:t>
      </w:r>
      <w:r>
        <w:rPr>
          <w:rFonts w:ascii="Arial" w:eastAsia="Arial"/>
          <w:b/>
          <w:sz w:val="22"/>
        </w:rPr>
        <w:t>interested</w:t>
      </w:r>
      <w:r>
        <w:rPr>
          <w:rFonts w:ascii="Arial" w:eastAsia="Arial"/>
          <w:b/>
          <w:spacing w:val="1"/>
          <w:sz w:val="22"/>
        </w:rPr>
        <w:t xml:space="preserve"> </w:t>
      </w:r>
      <w:r>
        <w:rPr>
          <w:rFonts w:ascii="Arial" w:eastAsia="Arial"/>
          <w:b/>
          <w:sz w:val="22"/>
        </w:rPr>
        <w:t xml:space="preserve">party </w:t>
      </w:r>
      <w:r>
        <w:rPr>
          <w:b/>
          <w:sz w:val="22"/>
        </w:rPr>
        <w:t>（</w:t>
      </w:r>
      <w:r>
        <w:rPr>
          <w:rFonts w:ascii="Arial" w:eastAsia="Arial"/>
          <w:b/>
          <w:sz w:val="22"/>
        </w:rPr>
        <w:t>preferred term</w:t>
      </w:r>
      <w:r>
        <w:rPr>
          <w:b/>
          <w:sz w:val="22"/>
        </w:rPr>
        <w:t>）</w:t>
      </w:r>
      <w:r>
        <w:rPr>
          <w:b/>
          <w:spacing w:val="-108"/>
          <w:sz w:val="22"/>
        </w:rPr>
        <w:t xml:space="preserve"> </w:t>
      </w:r>
      <w:r>
        <w:rPr>
          <w:b/>
          <w:w w:val="95"/>
          <w:sz w:val="22"/>
        </w:rPr>
        <w:t>相关方（</w:t>
      </w:r>
      <w:r>
        <w:rPr>
          <w:b/>
          <w:spacing w:val="-7"/>
          <w:w w:val="95"/>
          <w:sz w:val="22"/>
        </w:rPr>
        <w:t xml:space="preserve">准用术语 </w:t>
      </w:r>
      <w:r>
        <w:rPr>
          <w:rFonts w:ascii="Arial" w:eastAsia="Arial"/>
          <w:b/>
          <w:w w:val="95"/>
          <w:sz w:val="22"/>
        </w:rPr>
        <w:t>stakeholder</w:t>
      </w:r>
      <w:r>
        <w:rPr>
          <w:b/>
          <w:w w:val="95"/>
          <w:sz w:val="22"/>
        </w:rPr>
        <w:t>）（</w:t>
      </w:r>
      <w:r>
        <w:rPr>
          <w:rFonts w:ascii="Arial" w:eastAsia="Arial"/>
          <w:b/>
          <w:w w:val="95"/>
          <w:sz w:val="22"/>
        </w:rPr>
        <w:t>admitted</w:t>
      </w:r>
      <w:r>
        <w:rPr>
          <w:rFonts w:ascii="Arial" w:eastAsia="Arial"/>
          <w:b/>
          <w:spacing w:val="22"/>
          <w:w w:val="95"/>
          <w:sz w:val="22"/>
        </w:rPr>
        <w:t xml:space="preserve"> </w:t>
      </w:r>
      <w:r>
        <w:rPr>
          <w:rFonts w:ascii="Arial" w:eastAsia="Arial"/>
          <w:b/>
          <w:w w:val="95"/>
          <w:sz w:val="22"/>
        </w:rPr>
        <w:t>term</w:t>
      </w:r>
      <w:r>
        <w:rPr>
          <w:b/>
          <w:w w:val="95"/>
          <w:sz w:val="22"/>
        </w:rPr>
        <w:t>）</w:t>
      </w:r>
    </w:p>
    <w:p>
      <w:pPr>
        <w:pStyle w:val="BodyText"/>
        <w:spacing w:line="256" w:lineRule="exact"/>
        <w:ind w:left="140"/>
      </w:pPr>
      <w:r>
        <w:rPr>
          <w:spacing w:val="-1"/>
        </w:rPr>
        <w:t>能够影响决策或活动、受决策或活动影响，或感觉自身受到决策或活动影响的个人或组织</w:t>
      </w:r>
    </w:p>
    <w:p>
      <w:pPr>
        <w:pStyle w:val="BodyText"/>
        <w:spacing w:before="133"/>
        <w:ind w:left="140"/>
      </w:pPr>
      <w:r>
        <w:t>（</w:t>
      </w:r>
      <w:r>
        <w:rPr>
          <w:rFonts w:ascii="Arial" w:eastAsia="Arial"/>
        </w:rPr>
        <w:t>3.1.1</w:t>
      </w:r>
      <w:r>
        <w:t>）。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Heading2"/>
        <w:spacing w:before="146"/>
        <w:ind w:left="140" w:firstLine="0"/>
      </w:pPr>
      <w:bookmarkStart w:id="6" w:name="_bookmark6"/>
      <w:bookmarkEnd w:id="6"/>
      <w:r>
        <w:rPr>
          <w:rFonts w:ascii="Arial" w:eastAsia="Arial"/>
        </w:rPr>
        <w:t>3.2</w:t>
      </w:r>
      <w:r>
        <w:rPr>
          <w:rFonts w:ascii="Arial" w:eastAsia="Arial"/>
          <w:spacing w:val="-1"/>
        </w:rPr>
        <w:t xml:space="preserve"> </w:t>
      </w:r>
      <w:r>
        <w:t>与管理体系相关的术语</w:t>
      </w:r>
    </w:p>
    <w:p>
      <w:pPr>
        <w:pStyle w:val="Heading3"/>
        <w:spacing w:before="55"/>
      </w:pPr>
      <w:r>
        <w:t>3.2.1</w:t>
      </w:r>
    </w:p>
    <w:p>
      <w:pPr>
        <w:spacing w:before="128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1"/>
          <w:sz w:val="22"/>
        </w:rPr>
        <w:t xml:space="preserve">管理体系 </w:t>
      </w:r>
      <w:r>
        <w:rPr>
          <w:rFonts w:ascii="Arial" w:eastAsia="Arial"/>
          <w:b/>
          <w:sz w:val="22"/>
        </w:rPr>
        <w:t>management</w:t>
      </w:r>
      <w:r>
        <w:rPr>
          <w:rFonts w:ascii="Arial" w:eastAsia="Arial"/>
          <w:b/>
          <w:spacing w:val="56"/>
          <w:sz w:val="22"/>
        </w:rPr>
        <w:t xml:space="preserve"> </w:t>
      </w:r>
      <w:r>
        <w:rPr>
          <w:rFonts w:ascii="Arial" w:eastAsia="Arial"/>
          <w:b/>
          <w:sz w:val="22"/>
        </w:rPr>
        <w:t>system</w:t>
      </w:r>
    </w:p>
    <w:p>
      <w:pPr>
        <w:pStyle w:val="BodyText"/>
        <w:spacing w:before="146" w:line="364" w:lineRule="auto"/>
        <w:ind w:left="140" w:right="464"/>
      </w:pPr>
      <w:r>
        <w:t>组织（</w:t>
      </w:r>
      <w:r>
        <w:rPr>
          <w:rFonts w:ascii="Arial" w:eastAsia="Arial"/>
        </w:rPr>
        <w:t>3.1.1</w:t>
      </w:r>
      <w:r>
        <w:t>）建立方针（</w:t>
      </w:r>
      <w:r>
        <w:rPr>
          <w:rFonts w:ascii="Arial" w:eastAsia="Arial"/>
        </w:rPr>
        <w:t>3.2.3</w:t>
      </w:r>
      <w:r>
        <w:t>）和目标（</w:t>
      </w:r>
      <w:r>
        <w:rPr>
          <w:rFonts w:ascii="Arial" w:eastAsia="Arial"/>
        </w:rPr>
        <w:t>3.4.13</w:t>
      </w:r>
      <w:r>
        <w:t>）以及实现这些目标的过程（</w:t>
      </w:r>
      <w:r>
        <w:rPr>
          <w:rFonts w:ascii="Arial" w:eastAsia="Arial"/>
        </w:rPr>
        <w:t>3.3.6</w:t>
      </w:r>
      <w:r>
        <w:t>）的相互关联或相互作用的一组要素。</w:t>
      </w:r>
    </w:p>
    <w:p>
      <w:pPr>
        <w:spacing w:before="0" w:line="204" w:lineRule="exact"/>
        <w:ind w:left="140" w:right="0" w:firstLine="0"/>
        <w:jc w:val="left"/>
        <w:rPr>
          <w:sz w:val="16"/>
        </w:rPr>
      </w:pPr>
      <w:r>
        <w:rPr>
          <w:spacing w:val="2"/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1</w:t>
      </w:r>
      <w:r>
        <w:rPr>
          <w:w w:val="95"/>
          <w:sz w:val="16"/>
        </w:rPr>
        <w:t>：一个管理体系可处理单一领域或几个领域。</w:t>
      </w:r>
    </w:p>
    <w:p>
      <w:pPr>
        <w:spacing w:before="106"/>
        <w:ind w:left="140" w:right="0" w:firstLine="0"/>
        <w:jc w:val="left"/>
        <w:rPr>
          <w:sz w:val="16"/>
        </w:rPr>
      </w:pPr>
      <w:r>
        <w:rPr>
          <w:spacing w:val="20"/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2</w:t>
      </w:r>
      <w:r>
        <w:rPr>
          <w:w w:val="95"/>
          <w:sz w:val="16"/>
        </w:rPr>
        <w:t>：管理体系要素规定了组织的结构，角色和职责，策划和运行。</w:t>
      </w:r>
    </w:p>
    <w:p>
      <w:pPr>
        <w:spacing w:before="106" w:line="364" w:lineRule="auto"/>
        <w:ind w:left="140" w:right="347" w:firstLine="0"/>
        <w:jc w:val="left"/>
        <w:rPr>
          <w:sz w:val="16"/>
        </w:rPr>
      </w:pPr>
      <w:r>
        <w:rPr>
          <w:w w:val="95"/>
          <w:sz w:val="16"/>
        </w:rPr>
        <w:t>注</w:t>
      </w:r>
      <w:r>
        <w:rPr>
          <w:spacing w:val="82"/>
          <w:sz w:val="16"/>
        </w:rPr>
        <w:t xml:space="preserve">  </w:t>
      </w:r>
      <w:r>
        <w:rPr>
          <w:rFonts w:ascii="Arial" w:eastAsia="Arial"/>
          <w:w w:val="95"/>
          <w:sz w:val="16"/>
        </w:rPr>
        <w:t>3</w:t>
      </w:r>
      <w:r>
        <w:rPr>
          <w:w w:val="95"/>
          <w:sz w:val="16"/>
        </w:rPr>
        <w:t>：在一些管理体系中，管理体系的范围可包括整个组织，组织特定和确定的职能部门，或组织特定或确定的事业部，或</w:t>
      </w:r>
      <w:r>
        <w:rPr>
          <w:sz w:val="16"/>
        </w:rPr>
        <w:t>横跨一个集团组织的一个或多个职能部门。能源管理体系的范围（</w:t>
      </w:r>
      <w:r>
        <w:rPr>
          <w:rFonts w:ascii="Arial" w:eastAsia="Arial"/>
          <w:sz w:val="16"/>
        </w:rPr>
        <w:t>3.1.4</w:t>
      </w:r>
      <w:r>
        <w:rPr>
          <w:sz w:val="16"/>
        </w:rPr>
        <w:t>）包括边界（</w:t>
      </w:r>
      <w:r>
        <w:rPr>
          <w:rFonts w:ascii="Arial" w:eastAsia="Arial"/>
          <w:sz w:val="16"/>
        </w:rPr>
        <w:t>3.2.3</w:t>
      </w:r>
      <w:r>
        <w:rPr>
          <w:sz w:val="16"/>
        </w:rPr>
        <w:t>）内的所有能源种类。</w:t>
      </w:r>
    </w:p>
    <w:p>
      <w:pPr>
        <w:spacing w:after="0" w:line="364" w:lineRule="auto"/>
        <w:jc w:val="left"/>
        <w:rPr>
          <w:sz w:val="16"/>
        </w:rPr>
        <w:sectPr>
          <w:headerReference w:type="default" r:id="rId19"/>
          <w:pgSz w:w="12240" w:h="15840"/>
          <w:pgMar w:top="1680" w:right="1480" w:bottom="280" w:left="1660" w:header="978" w:footer="0"/>
          <w:pgNumType w:start="1"/>
          <w:cols w:space="708"/>
        </w:sectPr>
      </w:pPr>
    </w:p>
    <w:p>
      <w:pPr>
        <w:pStyle w:val="BodyText"/>
        <w:spacing w:before="4"/>
        <w:rPr>
          <w:sz w:val="7"/>
        </w:rPr>
      </w:pPr>
    </w:p>
    <w:p>
      <w:pPr>
        <w:pStyle w:val="BodyText"/>
        <w:spacing w:line="88" w:lineRule="exact"/>
        <w:ind w:left="110"/>
        <w:rPr>
          <w:sz w:val="8"/>
        </w:rPr>
      </w:pPr>
      <w:r>
        <w:rPr>
          <w:position w:val="-1"/>
          <w:sz w:val="8"/>
        </w:rPr>
        <w:pict>
          <v:group id="_x0000_i1030" style="width:435.1pt;height:4.45pt;mso-position-horizontal-relative:char;mso-position-vertical-relative:line" coordorigin="0,0" coordsize="8702,89">
            <v:shape id="_x0000_s1031" style="width:8702;height:89;position:absolute" coordorigin="0,0" coordsize="8702,89" path="m8701,29l,29,,89,8701,89,8701,29xm8701,l,,,14,8701,14,8701,xe" filled="t" fillcolor="#49442a" stroked="f">
              <v:fill type="solid"/>
              <v:path arrowok="t"/>
            </v:shape>
            <w10:wrap type="none"/>
          </v:group>
        </w:pict>
      </w:r>
    </w:p>
    <w:p>
      <w:pPr>
        <w:pStyle w:val="Heading3"/>
        <w:spacing w:before="61"/>
        <w:ind w:left="190"/>
      </w:pPr>
      <w:r>
        <w:t>3.2.2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7"/>
          <w:w w:val="95"/>
          <w:sz w:val="22"/>
        </w:rPr>
        <w:t xml:space="preserve">能源管理体系 </w:t>
      </w:r>
      <w:r>
        <w:rPr>
          <w:rFonts w:ascii="Arial" w:eastAsia="Arial"/>
          <w:b/>
          <w:w w:val="95"/>
          <w:sz w:val="22"/>
        </w:rPr>
        <w:t>EnMS</w:t>
      </w:r>
    </w:p>
    <w:p>
      <w:pPr>
        <w:pStyle w:val="BodyText"/>
        <w:spacing w:before="147" w:line="364" w:lineRule="auto"/>
        <w:ind w:left="140" w:right="498"/>
      </w:pPr>
      <w:r>
        <w:rPr>
          <w:spacing w:val="-1"/>
        </w:rPr>
        <w:t>建立能源方针（</w:t>
      </w:r>
      <w:r>
        <w:rPr>
          <w:rFonts w:ascii="Arial" w:eastAsia="Arial"/>
          <w:spacing w:val="-1"/>
        </w:rPr>
        <w:t>3.2.4</w:t>
      </w:r>
      <w:r>
        <w:rPr>
          <w:spacing w:val="-1"/>
        </w:rPr>
        <w:t>）</w:t>
      </w:r>
      <w:r>
        <w:t>、目标（</w:t>
      </w:r>
      <w:r>
        <w:rPr>
          <w:rFonts w:ascii="Arial" w:eastAsia="Arial"/>
        </w:rPr>
        <w:t>3.4.13</w:t>
      </w:r>
      <w:r>
        <w:t>）</w:t>
      </w:r>
      <w:r>
        <w:rPr>
          <w:spacing w:val="-7"/>
        </w:rPr>
        <w:t xml:space="preserve">、能源指标 </w:t>
      </w:r>
      <w:r>
        <w:t>（</w:t>
      </w:r>
      <w:r>
        <w:rPr>
          <w:rFonts w:ascii="Arial" w:eastAsia="Arial"/>
        </w:rPr>
        <w:t>3.4.15</w:t>
      </w:r>
      <w:r>
        <w:t>）、行动计划和过程（</w:t>
      </w:r>
      <w:r>
        <w:rPr>
          <w:rFonts w:ascii="Arial" w:eastAsia="Arial"/>
        </w:rPr>
        <w:t>3.3.6</w:t>
      </w:r>
      <w:r>
        <w:t>），以实现目标和能源指标的管理体系（</w:t>
      </w:r>
      <w:r>
        <w:rPr>
          <w:rFonts w:ascii="Arial" w:eastAsia="Arial"/>
        </w:rPr>
        <w:t>3.2.1</w:t>
      </w:r>
      <w:r>
        <w:t>）。</w:t>
      </w:r>
    </w:p>
    <w:p>
      <w:pPr>
        <w:pStyle w:val="BodyText"/>
        <w:spacing w:before="6"/>
        <w:rPr>
          <w:sz w:val="29"/>
        </w:rPr>
      </w:pPr>
    </w:p>
    <w:p>
      <w:pPr>
        <w:pStyle w:val="Heading3"/>
        <w:spacing w:before="0"/>
      </w:pPr>
      <w:r>
        <w:t>3.2.3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3"/>
          <w:sz w:val="22"/>
        </w:rPr>
        <w:t xml:space="preserve">方针 </w:t>
      </w:r>
      <w:r>
        <w:rPr>
          <w:rFonts w:ascii="Arial" w:eastAsia="Arial"/>
          <w:b/>
          <w:sz w:val="22"/>
        </w:rPr>
        <w:t>policy</w:t>
      </w:r>
    </w:p>
    <w:p>
      <w:pPr>
        <w:pStyle w:val="BodyText"/>
        <w:spacing w:before="146"/>
        <w:ind w:left="139"/>
      </w:pPr>
      <w:r>
        <w:rPr>
          <w:spacing w:val="-1"/>
        </w:rPr>
        <w:t>由最高管理者</w:t>
      </w:r>
      <w:r>
        <w:t>（</w:t>
      </w:r>
      <w:r>
        <w:rPr>
          <w:rFonts w:ascii="Arial" w:eastAsia="Arial"/>
        </w:rPr>
        <w:t>3.1.2</w:t>
      </w:r>
      <w:r>
        <w:t>）正式发布的组织（</w:t>
      </w:r>
      <w:r>
        <w:rPr>
          <w:rFonts w:ascii="Arial" w:eastAsia="Arial"/>
        </w:rPr>
        <w:t>3.1.1</w:t>
      </w:r>
      <w:r>
        <w:t>）的意图和方向。</w:t>
      </w:r>
    </w:p>
    <w:p>
      <w:pPr>
        <w:pStyle w:val="BodyText"/>
        <w:rPr>
          <w:sz w:val="22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Heading3"/>
        <w:spacing w:before="0"/>
      </w:pPr>
      <w:r>
        <w:t>3.2.4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2"/>
          <w:w w:val="95"/>
          <w:sz w:val="22"/>
        </w:rPr>
        <w:t xml:space="preserve">能源方针 </w:t>
      </w:r>
      <w:r>
        <w:rPr>
          <w:rFonts w:ascii="Arial" w:eastAsia="Arial"/>
          <w:b/>
          <w:w w:val="95"/>
          <w:sz w:val="22"/>
        </w:rPr>
        <w:t>energy</w:t>
      </w:r>
      <w:r>
        <w:rPr>
          <w:rFonts w:ascii="Arial" w:eastAsia="Arial"/>
          <w:b/>
          <w:spacing w:val="52"/>
          <w:w w:val="95"/>
          <w:sz w:val="22"/>
        </w:rPr>
        <w:t xml:space="preserve"> </w:t>
      </w:r>
      <w:r>
        <w:rPr>
          <w:rFonts w:ascii="Arial" w:eastAsia="Arial"/>
          <w:b/>
          <w:w w:val="95"/>
          <w:sz w:val="22"/>
        </w:rPr>
        <w:t>policy</w:t>
      </w:r>
    </w:p>
    <w:p>
      <w:pPr>
        <w:pStyle w:val="BodyText"/>
        <w:spacing w:before="147"/>
        <w:ind w:left="140"/>
      </w:pPr>
      <w:r>
        <w:rPr>
          <w:spacing w:val="-1"/>
        </w:rPr>
        <w:t>最高管理者（</w:t>
      </w:r>
      <w:r>
        <w:rPr>
          <w:rFonts w:ascii="Arial" w:eastAsia="Arial"/>
          <w:spacing w:val="-1"/>
        </w:rPr>
        <w:t>3.1.2</w:t>
      </w:r>
      <w:r>
        <w:rPr>
          <w:spacing w:val="-1"/>
        </w:rPr>
        <w:t>）</w:t>
      </w:r>
      <w:r>
        <w:t>正式发布的组织（</w:t>
      </w:r>
      <w:r>
        <w:rPr>
          <w:rFonts w:ascii="Arial" w:eastAsia="Arial"/>
        </w:rPr>
        <w:t>3.1.1</w:t>
      </w:r>
      <w:r>
        <w:t>）有关能源绩效（</w:t>
      </w:r>
      <w:r>
        <w:rPr>
          <w:rFonts w:ascii="Arial" w:eastAsia="Arial"/>
        </w:rPr>
        <w:t>3.4.3</w:t>
      </w:r>
      <w:r>
        <w:t>）的总体意图、方向和承诺。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Heading3"/>
        <w:spacing w:before="0"/>
      </w:pPr>
      <w:r>
        <w:t>3.2.5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2"/>
          <w:w w:val="95"/>
          <w:sz w:val="22"/>
        </w:rPr>
        <w:t xml:space="preserve">能源管理团队 </w:t>
      </w:r>
      <w:r>
        <w:rPr>
          <w:rFonts w:ascii="Arial" w:eastAsia="Arial"/>
          <w:b/>
          <w:w w:val="95"/>
          <w:sz w:val="22"/>
        </w:rPr>
        <w:t>energy</w:t>
      </w:r>
      <w:r>
        <w:rPr>
          <w:rFonts w:ascii="Arial" w:eastAsia="Arial"/>
          <w:b/>
          <w:spacing w:val="59"/>
          <w:sz w:val="22"/>
        </w:rPr>
        <w:t xml:space="preserve"> </w:t>
      </w:r>
      <w:r>
        <w:rPr>
          <w:rFonts w:ascii="Arial" w:eastAsia="Arial"/>
          <w:b/>
          <w:w w:val="95"/>
          <w:sz w:val="22"/>
        </w:rPr>
        <w:t>management</w:t>
      </w:r>
      <w:r>
        <w:rPr>
          <w:rFonts w:ascii="Arial" w:eastAsia="Arial"/>
          <w:b/>
          <w:spacing w:val="66"/>
          <w:sz w:val="22"/>
        </w:rPr>
        <w:t xml:space="preserve"> </w:t>
      </w:r>
      <w:r>
        <w:rPr>
          <w:rFonts w:ascii="Arial" w:eastAsia="Arial"/>
          <w:b/>
          <w:w w:val="95"/>
          <w:sz w:val="22"/>
        </w:rPr>
        <w:t>team</w:t>
      </w:r>
    </w:p>
    <w:p>
      <w:pPr>
        <w:pStyle w:val="BodyText"/>
        <w:spacing w:before="147"/>
        <w:ind w:left="140"/>
      </w:pPr>
      <w:r>
        <w:rPr>
          <w:spacing w:val="-1"/>
        </w:rPr>
        <w:t>具有有效实施能源管理体系</w:t>
      </w:r>
      <w:r>
        <w:t>（</w:t>
      </w:r>
      <w:r>
        <w:rPr>
          <w:rFonts w:ascii="Arial" w:eastAsia="Arial"/>
        </w:rPr>
        <w:t>3.2.2</w:t>
      </w:r>
      <w:r>
        <w:t>）职责和权力以及实现改进能源绩效（</w:t>
      </w:r>
      <w:r>
        <w:rPr>
          <w:rFonts w:ascii="Arial" w:eastAsia="Arial"/>
        </w:rPr>
        <w:t>3.4.6</w:t>
      </w:r>
      <w:r>
        <w:t>）的人员。</w:t>
      </w:r>
    </w:p>
    <w:p>
      <w:pPr>
        <w:spacing w:before="132"/>
        <w:ind w:left="140" w:right="0" w:firstLine="0"/>
        <w:jc w:val="left"/>
        <w:rPr>
          <w:sz w:val="16"/>
        </w:rPr>
      </w:pPr>
      <w:r>
        <w:rPr>
          <w:spacing w:val="13"/>
          <w:sz w:val="16"/>
        </w:rPr>
        <w:t xml:space="preserve">注 </w:t>
      </w:r>
      <w:r>
        <w:rPr>
          <w:rFonts w:ascii="Arial" w:eastAsia="Arial"/>
          <w:sz w:val="16"/>
        </w:rPr>
        <w:t>1</w:t>
      </w:r>
      <w:r>
        <w:rPr>
          <w:sz w:val="16"/>
        </w:rPr>
        <w:t>：在决定能源管理团队的规模时，应考虑组织（</w:t>
      </w:r>
      <w:r>
        <w:rPr>
          <w:rFonts w:ascii="Arial" w:eastAsia="Arial"/>
          <w:sz w:val="16"/>
        </w:rPr>
        <w:t>3.1.1</w:t>
      </w:r>
      <w:r>
        <w:rPr>
          <w:sz w:val="16"/>
        </w:rPr>
        <w:t>）的规模、性质及可获得的资源。一个人可行使一个团队的角色。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Heading2"/>
        <w:spacing w:before="155"/>
        <w:ind w:left="140" w:firstLine="0"/>
      </w:pPr>
      <w:bookmarkStart w:id="7" w:name="_bookmark7"/>
      <w:bookmarkEnd w:id="7"/>
      <w:r>
        <w:rPr>
          <w:rFonts w:ascii="Arial" w:eastAsia="Arial"/>
        </w:rPr>
        <w:t>3.3</w:t>
      </w:r>
      <w:r>
        <w:rPr>
          <w:rFonts w:ascii="Arial" w:eastAsia="Arial"/>
          <w:spacing w:val="-2"/>
        </w:rPr>
        <w:t xml:space="preserve"> </w:t>
      </w:r>
      <w:r>
        <w:t>与要求相关的术语</w:t>
      </w:r>
    </w:p>
    <w:p>
      <w:pPr>
        <w:pStyle w:val="Heading3"/>
        <w:spacing w:before="55"/>
      </w:pPr>
      <w:r>
        <w:t>3.3.1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3"/>
          <w:sz w:val="22"/>
        </w:rPr>
        <w:t xml:space="preserve">要求 </w:t>
      </w:r>
      <w:r>
        <w:rPr>
          <w:rFonts w:ascii="Arial" w:eastAsia="Arial"/>
          <w:b/>
          <w:sz w:val="22"/>
        </w:rPr>
        <w:t>requirement</w:t>
      </w:r>
    </w:p>
    <w:p>
      <w:pPr>
        <w:pStyle w:val="BodyText"/>
        <w:spacing w:before="147"/>
        <w:ind w:left="140"/>
      </w:pPr>
      <w:r>
        <w:rPr>
          <w:spacing w:val="-1"/>
        </w:rPr>
        <w:t>明示的、通常隐含的或必须满足的需求或期望。</w:t>
      </w:r>
    </w:p>
    <w:p>
      <w:pPr>
        <w:spacing w:before="132" w:line="364" w:lineRule="auto"/>
        <w:ind w:left="140" w:right="488" w:firstLine="0"/>
        <w:jc w:val="left"/>
        <w:rPr>
          <w:sz w:val="16"/>
        </w:rPr>
      </w:pPr>
      <w:r>
        <w:rPr>
          <w:w w:val="95"/>
          <w:sz w:val="16"/>
        </w:rPr>
        <w:t>注</w:t>
      </w:r>
      <w:r>
        <w:rPr>
          <w:spacing w:val="80"/>
          <w:sz w:val="16"/>
        </w:rPr>
        <w:t xml:space="preserve">  </w:t>
      </w:r>
      <w:r>
        <w:rPr>
          <w:rFonts w:ascii="Arial" w:eastAsia="Arial" w:hAnsi="Arial"/>
          <w:w w:val="95"/>
          <w:sz w:val="16"/>
        </w:rPr>
        <w:t>1</w:t>
      </w:r>
      <w:r>
        <w:rPr>
          <w:w w:val="95"/>
          <w:sz w:val="16"/>
        </w:rPr>
        <w:t>：</w:t>
      </w:r>
      <w:r>
        <w:rPr>
          <w:rFonts w:ascii="Arial" w:eastAsia="Arial" w:hAnsi="Arial"/>
          <w:w w:val="95"/>
          <w:sz w:val="16"/>
        </w:rPr>
        <w:t>“</w:t>
      </w:r>
      <w:r>
        <w:rPr>
          <w:w w:val="95"/>
          <w:sz w:val="16"/>
        </w:rPr>
        <w:t>通常隐含的</w:t>
      </w:r>
      <w:r>
        <w:rPr>
          <w:rFonts w:ascii="Arial" w:eastAsia="Arial" w:hAnsi="Arial"/>
          <w:w w:val="95"/>
          <w:sz w:val="16"/>
        </w:rPr>
        <w:t>”</w:t>
      </w:r>
      <w:r>
        <w:rPr>
          <w:w w:val="95"/>
          <w:sz w:val="16"/>
        </w:rPr>
        <w:t>是指对组织（</w:t>
      </w:r>
      <w:r>
        <w:rPr>
          <w:rFonts w:ascii="Arial" w:eastAsia="Arial" w:hAnsi="Arial"/>
          <w:w w:val="95"/>
          <w:sz w:val="16"/>
        </w:rPr>
        <w:t>3.1.1</w:t>
      </w:r>
      <w:r>
        <w:rPr>
          <w:w w:val="95"/>
          <w:sz w:val="16"/>
        </w:rPr>
        <w:t>）和相关方（</w:t>
      </w:r>
      <w:r>
        <w:rPr>
          <w:rFonts w:ascii="Arial" w:eastAsia="Arial" w:hAnsi="Arial"/>
          <w:w w:val="95"/>
          <w:sz w:val="16"/>
        </w:rPr>
        <w:t>3.1.5</w:t>
      </w:r>
      <w:r>
        <w:rPr>
          <w:w w:val="95"/>
          <w:sz w:val="16"/>
        </w:rPr>
        <w:t>）而言是惯例或一般做法，所考虑的需求或期望是不言而喻的。</w:t>
      </w:r>
      <w:r>
        <w:rPr>
          <w:spacing w:val="-15"/>
          <w:w w:val="95"/>
          <w:sz w:val="16"/>
        </w:rPr>
        <w:t xml:space="preserve">注 </w:t>
      </w:r>
      <w:r>
        <w:rPr>
          <w:rFonts w:ascii="Arial" w:eastAsia="Arial" w:hAnsi="Arial"/>
          <w:w w:val="95"/>
          <w:sz w:val="16"/>
        </w:rPr>
        <w:t>2</w:t>
      </w:r>
      <w:r>
        <w:rPr>
          <w:w w:val="95"/>
          <w:sz w:val="16"/>
        </w:rPr>
        <w:t>：规定要求是指明示的要求，例如在文件化信息（</w:t>
      </w:r>
      <w:r>
        <w:rPr>
          <w:rFonts w:ascii="Arial" w:eastAsia="Arial" w:hAnsi="Arial"/>
          <w:w w:val="95"/>
          <w:sz w:val="16"/>
        </w:rPr>
        <w:t>3.3.5</w:t>
      </w:r>
      <w:r>
        <w:rPr>
          <w:w w:val="95"/>
          <w:sz w:val="16"/>
        </w:rPr>
        <w:t>）中规定的要求。</w:t>
      </w:r>
    </w:p>
    <w:p>
      <w:pPr>
        <w:pStyle w:val="BodyText"/>
        <w:rPr>
          <w:sz w:val="18"/>
        </w:rPr>
      </w:pPr>
    </w:p>
    <w:p>
      <w:pPr>
        <w:pStyle w:val="Heading3"/>
        <w:spacing w:before="147"/>
      </w:pPr>
      <w:r>
        <w:t>3.3.2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w w:val="95"/>
          <w:sz w:val="22"/>
        </w:rPr>
        <w:t>合格（符合）</w:t>
      </w:r>
      <w:r>
        <w:rPr>
          <w:rFonts w:ascii="Arial" w:eastAsia="Arial"/>
          <w:b/>
          <w:w w:val="95"/>
          <w:sz w:val="22"/>
        </w:rPr>
        <w:t>conformity</w:t>
      </w:r>
    </w:p>
    <w:p>
      <w:pPr>
        <w:pStyle w:val="BodyText"/>
        <w:spacing w:before="148"/>
        <w:ind w:left="139"/>
      </w:pPr>
      <w:r>
        <w:rPr>
          <w:spacing w:val="-1"/>
        </w:rPr>
        <w:t>满足要求</w:t>
      </w:r>
      <w:r>
        <w:t>（</w:t>
      </w:r>
      <w:r>
        <w:rPr>
          <w:rFonts w:ascii="Arial" w:eastAsia="Arial"/>
        </w:rPr>
        <w:t>3.3.1</w:t>
      </w:r>
      <w:r>
        <w:t>）。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3"/>
        <w:spacing w:before="0"/>
      </w:pPr>
      <w:r>
        <w:t>3.3.3</w:t>
      </w:r>
    </w:p>
    <w:p>
      <w:pPr>
        <w:spacing w:before="128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w w:val="95"/>
          <w:sz w:val="22"/>
        </w:rPr>
        <w:t>不合格（不符合）</w:t>
      </w:r>
      <w:r>
        <w:rPr>
          <w:rFonts w:ascii="Arial" w:eastAsia="Arial"/>
          <w:b/>
          <w:w w:val="95"/>
          <w:sz w:val="22"/>
        </w:rPr>
        <w:t>nonconformity</w:t>
      </w:r>
    </w:p>
    <w:p>
      <w:pPr>
        <w:pStyle w:val="BodyText"/>
        <w:spacing w:before="146"/>
        <w:ind w:left="140"/>
      </w:pPr>
      <w:r>
        <w:rPr>
          <w:spacing w:val="-1"/>
        </w:rPr>
        <w:t>未满足要求</w:t>
      </w:r>
      <w:r>
        <w:t>（</w:t>
      </w:r>
      <w:r>
        <w:rPr>
          <w:rFonts w:ascii="Arial" w:eastAsia="Arial"/>
        </w:rPr>
        <w:t>3.3.1</w:t>
      </w:r>
      <w:r>
        <w:t>）。</w:t>
      </w:r>
    </w:p>
    <w:p>
      <w:pPr>
        <w:pStyle w:val="Heading3"/>
        <w:spacing w:before="133"/>
        <w:ind w:left="201"/>
      </w:pPr>
      <w:r>
        <w:t>3.3.4</w:t>
      </w:r>
    </w:p>
    <w:p>
      <w:pPr>
        <w:spacing w:after="0"/>
        <w:sectPr>
          <w:headerReference w:type="default" r:id="rId20"/>
          <w:pgSz w:w="12240" w:h="15840"/>
          <w:pgMar w:top="1180" w:right="1480" w:bottom="280" w:left="1660" w:header="978" w:footer="0"/>
          <w:pgNumType w:start="2"/>
          <w:cols w:space="708"/>
        </w:sectPr>
      </w:pPr>
    </w:p>
    <w:p>
      <w:pPr>
        <w:pStyle w:val="BodyText"/>
        <w:spacing w:before="1"/>
        <w:rPr>
          <w:rFonts w:ascii="Arial"/>
          <w:b/>
          <w:sz w:val="8"/>
        </w:rPr>
      </w:pPr>
    </w:p>
    <w:p>
      <w:pPr>
        <w:pStyle w:val="BodyText"/>
        <w:spacing w:line="88" w:lineRule="exact"/>
        <w:ind w:left="110"/>
        <w:rPr>
          <w:rFonts w:ascii="Arial"/>
          <w:sz w:val="8"/>
        </w:rPr>
      </w:pPr>
      <w:r>
        <w:rPr>
          <w:rFonts w:ascii="Arial"/>
          <w:position w:val="-1"/>
          <w:sz w:val="8"/>
        </w:rPr>
        <w:pict>
          <v:group id="_x0000_i1032" style="width:435.1pt;height:4.45pt;mso-position-horizontal-relative:char;mso-position-vertical-relative:line" coordorigin="0,0" coordsize="8702,89">
            <v:shape id="_x0000_s1033" style="width:8702;height:89;position:absolute" coordorigin="0,0" coordsize="8702,89" path="m8701,29l,29,,89,8701,89,8701,29xm8701,l,,,14,8701,14,8701,xe" filled="t" fillcolor="#49442a" stroked="f">
              <v:fill type="solid"/>
              <v:path arrowok="t"/>
            </v:shape>
            <w10:wrap type="none"/>
          </v:group>
        </w:pict>
      </w:r>
    </w:p>
    <w:p>
      <w:pPr>
        <w:spacing w:before="62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2"/>
          <w:sz w:val="22"/>
        </w:rPr>
        <w:t xml:space="preserve">纠正措施 </w:t>
      </w:r>
      <w:r>
        <w:rPr>
          <w:rFonts w:ascii="Arial" w:eastAsia="Arial"/>
          <w:b/>
          <w:sz w:val="22"/>
        </w:rPr>
        <w:t>corrective</w:t>
      </w:r>
      <w:r>
        <w:rPr>
          <w:rFonts w:ascii="Arial" w:eastAsia="Arial"/>
          <w:b/>
          <w:spacing w:val="58"/>
          <w:sz w:val="22"/>
        </w:rPr>
        <w:t xml:space="preserve"> </w:t>
      </w:r>
      <w:r>
        <w:rPr>
          <w:rFonts w:ascii="Arial" w:eastAsia="Arial"/>
          <w:b/>
          <w:sz w:val="22"/>
        </w:rPr>
        <w:t>action</w:t>
      </w:r>
    </w:p>
    <w:p>
      <w:pPr>
        <w:pStyle w:val="BodyText"/>
        <w:spacing w:before="148"/>
        <w:ind w:left="140"/>
      </w:pPr>
      <w:r>
        <w:rPr>
          <w:spacing w:val="-1"/>
        </w:rPr>
        <w:t>为消除不符合</w:t>
      </w:r>
      <w:r>
        <w:t>（</w:t>
      </w:r>
      <w:r>
        <w:rPr>
          <w:rFonts w:ascii="Arial" w:eastAsia="Arial"/>
        </w:rPr>
        <w:t>3.3.3</w:t>
      </w:r>
      <w:r>
        <w:t>）的原因并防止再次发生所采取的措施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Heading3"/>
        <w:spacing w:before="0"/>
      </w:pPr>
      <w:r>
        <w:t>3.3.5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1"/>
          <w:sz w:val="22"/>
        </w:rPr>
        <w:t xml:space="preserve">文件化信息 </w:t>
      </w:r>
      <w:r>
        <w:rPr>
          <w:rFonts w:ascii="Arial" w:eastAsia="Arial"/>
          <w:b/>
          <w:sz w:val="22"/>
        </w:rPr>
        <w:t>documented</w:t>
      </w:r>
      <w:r>
        <w:rPr>
          <w:rFonts w:ascii="Arial" w:eastAsia="Arial"/>
          <w:b/>
          <w:spacing w:val="58"/>
          <w:sz w:val="22"/>
        </w:rPr>
        <w:t xml:space="preserve"> </w:t>
      </w:r>
      <w:r>
        <w:rPr>
          <w:rFonts w:ascii="Arial" w:eastAsia="Arial"/>
          <w:b/>
          <w:sz w:val="22"/>
        </w:rPr>
        <w:t>information</w:t>
      </w:r>
    </w:p>
    <w:p>
      <w:pPr>
        <w:pStyle w:val="BodyText"/>
        <w:spacing w:before="148"/>
        <w:ind w:left="140"/>
      </w:pPr>
      <w:r>
        <w:rPr>
          <w:spacing w:val="-1"/>
        </w:rPr>
        <w:t>组织（</w:t>
      </w:r>
      <w:r>
        <w:rPr>
          <w:rFonts w:ascii="Arial" w:eastAsia="Arial"/>
          <w:spacing w:val="-1"/>
        </w:rPr>
        <w:t>3.1.1</w:t>
      </w:r>
      <w:r>
        <w:rPr>
          <w:spacing w:val="-1"/>
        </w:rPr>
        <w:t>）</w:t>
      </w:r>
      <w:r>
        <w:t>需要控制和保持的信息及其载体。</w:t>
      </w:r>
    </w:p>
    <w:p>
      <w:pPr>
        <w:spacing w:before="131" w:line="364" w:lineRule="auto"/>
        <w:ind w:left="140" w:right="4346" w:firstLine="0"/>
        <w:jc w:val="left"/>
        <w:rPr>
          <w:sz w:val="16"/>
        </w:rPr>
      </w:pPr>
      <w:r>
        <w:rPr>
          <w:w w:val="95"/>
          <w:sz w:val="16"/>
        </w:rPr>
        <w:t>注</w:t>
      </w:r>
      <w:r>
        <w:rPr>
          <w:spacing w:val="108"/>
          <w:sz w:val="16"/>
        </w:rPr>
        <w:t xml:space="preserve"> </w:t>
      </w:r>
      <w:r>
        <w:rPr>
          <w:rFonts w:ascii="Arial" w:eastAsia="Arial"/>
          <w:w w:val="95"/>
          <w:sz w:val="16"/>
        </w:rPr>
        <w:t>1</w:t>
      </w:r>
      <w:r>
        <w:rPr>
          <w:w w:val="95"/>
          <w:sz w:val="16"/>
        </w:rPr>
        <w:t>：文件化信息可以任何格式和载体存在，并可来自任何来源。</w:t>
      </w:r>
      <w:r>
        <w:rPr>
          <w:spacing w:val="-16"/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2</w:t>
      </w:r>
      <w:r>
        <w:rPr>
          <w:w w:val="95"/>
          <w:sz w:val="16"/>
        </w:rPr>
        <w:t>：文件化信息可涉及：</w:t>
      </w:r>
    </w:p>
    <w:p>
      <w:pPr>
        <w:tabs>
          <w:tab w:val="left" w:pos="1220"/>
        </w:tabs>
        <w:spacing w:before="0" w:line="205" w:lineRule="exact"/>
        <w:ind w:left="860" w:right="0" w:firstLine="0"/>
        <w:jc w:val="left"/>
        <w:rPr>
          <w:sz w:val="16"/>
        </w:rPr>
      </w:pPr>
      <w:r>
        <w:rPr>
          <w:rFonts w:ascii="Calibri" w:eastAsia="Calibri" w:hAnsi="Calibri"/>
          <w:sz w:val="16"/>
        </w:rPr>
        <w:t>—</w:t>
        <w:tab/>
      </w:r>
      <w:r>
        <w:rPr>
          <w:sz w:val="16"/>
        </w:rPr>
        <w:t>管理体系（</w:t>
      </w:r>
      <w:r>
        <w:rPr>
          <w:rFonts w:ascii="Arial" w:eastAsia="Arial" w:hAnsi="Arial"/>
          <w:sz w:val="16"/>
        </w:rPr>
        <w:t>3.2.1</w:t>
      </w:r>
      <w:r>
        <w:rPr>
          <w:sz w:val="16"/>
        </w:rPr>
        <w:t>），包括相关过程（</w:t>
      </w:r>
      <w:r>
        <w:rPr>
          <w:rFonts w:ascii="Arial" w:eastAsia="Arial" w:hAnsi="Arial"/>
          <w:sz w:val="16"/>
        </w:rPr>
        <w:t>3.3.6</w:t>
      </w:r>
      <w:r>
        <w:rPr>
          <w:sz w:val="16"/>
        </w:rPr>
        <w:t>）；</w:t>
      </w:r>
    </w:p>
    <w:p>
      <w:pPr>
        <w:pStyle w:val="ListParagraph"/>
        <w:numPr>
          <w:ilvl w:val="0"/>
          <w:numId w:val="25"/>
        </w:numPr>
        <w:tabs>
          <w:tab w:val="left" w:pos="1220"/>
          <w:tab w:val="left" w:pos="1221"/>
        </w:tabs>
        <w:spacing w:before="106" w:after="0" w:line="240" w:lineRule="auto"/>
        <w:ind w:left="1220" w:right="0" w:hanging="361"/>
        <w:jc w:val="left"/>
        <w:rPr>
          <w:sz w:val="16"/>
        </w:rPr>
      </w:pPr>
      <w:r>
        <w:rPr>
          <w:w w:val="95"/>
          <w:sz w:val="16"/>
        </w:rPr>
        <w:t>为组织运行而创建的信息</w:t>
      </w:r>
      <w:r>
        <w:rPr>
          <w:spacing w:val="89"/>
          <w:sz w:val="16"/>
        </w:rPr>
        <w:t xml:space="preserve"> </w:t>
      </w:r>
      <w:r>
        <w:rPr>
          <w:w w:val="95"/>
          <w:sz w:val="16"/>
        </w:rPr>
        <w:t>（文件）；</w:t>
      </w:r>
    </w:p>
    <w:p>
      <w:pPr>
        <w:pStyle w:val="ListParagraph"/>
        <w:numPr>
          <w:ilvl w:val="0"/>
          <w:numId w:val="25"/>
        </w:numPr>
        <w:tabs>
          <w:tab w:val="left" w:pos="1264"/>
          <w:tab w:val="left" w:pos="1265"/>
        </w:tabs>
        <w:spacing w:before="107" w:after="0" w:line="240" w:lineRule="auto"/>
        <w:ind w:left="1264" w:right="0" w:hanging="405"/>
        <w:jc w:val="left"/>
        <w:rPr>
          <w:sz w:val="16"/>
        </w:rPr>
      </w:pPr>
      <w:r>
        <w:rPr>
          <w:w w:val="95"/>
          <w:sz w:val="16"/>
        </w:rPr>
        <w:t>实现结果的证据（记录）。</w:t>
      </w:r>
    </w:p>
    <w:p>
      <w:pPr>
        <w:pStyle w:val="BodyText"/>
        <w:rPr>
          <w:sz w:val="18"/>
        </w:rPr>
      </w:pPr>
    </w:p>
    <w:p>
      <w:pPr>
        <w:pStyle w:val="BodyText"/>
        <w:spacing w:before="10"/>
        <w:rPr>
          <w:sz w:val="19"/>
        </w:rPr>
      </w:pPr>
    </w:p>
    <w:p>
      <w:pPr>
        <w:pStyle w:val="Heading3"/>
        <w:spacing w:before="0"/>
      </w:pPr>
      <w:r>
        <w:t>3.3.6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3"/>
          <w:sz w:val="22"/>
        </w:rPr>
        <w:t xml:space="preserve">过程 </w:t>
      </w:r>
      <w:r>
        <w:rPr>
          <w:rFonts w:ascii="Arial" w:eastAsia="Arial"/>
          <w:b/>
          <w:sz w:val="22"/>
        </w:rPr>
        <w:t>process</w:t>
      </w:r>
    </w:p>
    <w:p>
      <w:pPr>
        <w:pStyle w:val="BodyText"/>
        <w:spacing w:before="148"/>
        <w:ind w:left="140"/>
      </w:pPr>
      <w:r>
        <w:rPr>
          <w:spacing w:val="-1"/>
        </w:rPr>
        <w:t>将输入转化为输出的一系列的相互关联或相互作用的活动。</w:t>
      </w:r>
    </w:p>
    <w:p>
      <w:pPr>
        <w:spacing w:before="132"/>
        <w:ind w:left="140" w:right="0" w:firstLine="0"/>
        <w:jc w:val="left"/>
        <w:rPr>
          <w:sz w:val="16"/>
        </w:rPr>
      </w:pPr>
      <w:r>
        <w:rPr>
          <w:spacing w:val="1"/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1</w:t>
      </w:r>
      <w:r>
        <w:rPr>
          <w:w w:val="95"/>
          <w:sz w:val="16"/>
        </w:rPr>
        <w:t>：与组织（</w:t>
      </w:r>
      <w:r>
        <w:rPr>
          <w:rFonts w:ascii="Arial" w:eastAsia="Arial"/>
          <w:w w:val="95"/>
          <w:sz w:val="16"/>
        </w:rPr>
        <w:t>3.1.1</w:t>
      </w:r>
      <w:r>
        <w:rPr>
          <w:w w:val="95"/>
          <w:sz w:val="16"/>
        </w:rPr>
        <w:t>）活动相关的过程可能是：</w:t>
      </w:r>
    </w:p>
    <w:p>
      <w:pPr>
        <w:pStyle w:val="ListParagraph"/>
        <w:numPr>
          <w:ilvl w:val="0"/>
          <w:numId w:val="24"/>
        </w:numPr>
        <w:tabs>
          <w:tab w:val="left" w:pos="1220"/>
          <w:tab w:val="left" w:pos="1221"/>
        </w:tabs>
        <w:spacing w:before="107" w:after="0" w:line="240" w:lineRule="auto"/>
        <w:ind w:left="1220" w:right="0" w:hanging="361"/>
        <w:jc w:val="left"/>
        <w:rPr>
          <w:sz w:val="16"/>
        </w:rPr>
      </w:pPr>
      <w:r>
        <w:rPr>
          <w:w w:val="95"/>
          <w:sz w:val="16"/>
        </w:rPr>
        <w:t>物理过程（例如用能过程，如燃烧），或</w:t>
      </w:r>
    </w:p>
    <w:p>
      <w:pPr>
        <w:pStyle w:val="ListParagraph"/>
        <w:numPr>
          <w:ilvl w:val="0"/>
          <w:numId w:val="24"/>
        </w:numPr>
        <w:tabs>
          <w:tab w:val="left" w:pos="1220"/>
          <w:tab w:val="left" w:pos="1221"/>
        </w:tabs>
        <w:spacing w:before="105" w:after="0" w:line="240" w:lineRule="auto"/>
        <w:ind w:left="1220" w:right="0" w:hanging="361"/>
        <w:jc w:val="left"/>
        <w:rPr>
          <w:sz w:val="16"/>
        </w:rPr>
      </w:pPr>
      <w:r>
        <w:rPr>
          <w:w w:val="95"/>
          <w:sz w:val="16"/>
        </w:rPr>
        <w:t>经营或服务（例如订单履行）。</w:t>
      </w:r>
    </w:p>
    <w:p>
      <w:pPr>
        <w:pStyle w:val="BodyText"/>
        <w:rPr>
          <w:sz w:val="18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Heading3"/>
        <w:spacing w:before="0"/>
      </w:pPr>
      <w:r>
        <w:t>3.3.7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3"/>
          <w:sz w:val="22"/>
        </w:rPr>
        <w:t xml:space="preserve">监视 </w:t>
      </w:r>
      <w:r>
        <w:rPr>
          <w:rFonts w:ascii="Arial" w:eastAsia="Arial"/>
          <w:b/>
          <w:sz w:val="22"/>
        </w:rPr>
        <w:t>monitoring</w:t>
      </w:r>
    </w:p>
    <w:p>
      <w:pPr>
        <w:pStyle w:val="BodyText"/>
        <w:spacing w:before="147"/>
        <w:ind w:left="140"/>
      </w:pPr>
      <w:r>
        <w:rPr>
          <w:spacing w:val="-1"/>
        </w:rPr>
        <w:t>确定体系、过程</w:t>
      </w:r>
      <w:r>
        <w:t>（</w:t>
      </w:r>
      <w:r>
        <w:rPr>
          <w:rFonts w:ascii="Arial" w:eastAsia="Arial"/>
        </w:rPr>
        <w:t>3.3.6</w:t>
      </w:r>
      <w:r>
        <w:t>）</w:t>
      </w:r>
      <w:r>
        <w:rPr>
          <w:spacing w:val="-7"/>
        </w:rPr>
        <w:t>或活动的状态 。</w:t>
      </w:r>
    </w:p>
    <w:p>
      <w:pPr>
        <w:spacing w:before="132"/>
        <w:ind w:left="140" w:right="0" w:firstLine="0"/>
        <w:jc w:val="left"/>
        <w:rPr>
          <w:sz w:val="16"/>
        </w:rPr>
      </w:pPr>
      <w:r>
        <w:rPr>
          <w:spacing w:val="2"/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1</w:t>
      </w:r>
      <w:r>
        <w:rPr>
          <w:w w:val="95"/>
          <w:sz w:val="16"/>
        </w:rPr>
        <w:t>：确定状态可能需要检查、监督或密切观察。</w:t>
      </w:r>
    </w:p>
    <w:p>
      <w:pPr>
        <w:spacing w:before="106"/>
        <w:ind w:left="140" w:right="0" w:firstLine="0"/>
        <w:jc w:val="left"/>
        <w:rPr>
          <w:sz w:val="16"/>
        </w:rPr>
      </w:pPr>
      <w:r>
        <w:rPr>
          <w:spacing w:val="17"/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2</w:t>
      </w:r>
      <w:r>
        <w:rPr>
          <w:w w:val="95"/>
          <w:sz w:val="16"/>
        </w:rPr>
        <w:t>：在能源管理体系（</w:t>
      </w:r>
      <w:r>
        <w:rPr>
          <w:rFonts w:ascii="Arial" w:eastAsia="Arial"/>
          <w:w w:val="95"/>
          <w:sz w:val="16"/>
        </w:rPr>
        <w:t>3.2.2</w:t>
      </w:r>
      <w:r>
        <w:rPr>
          <w:w w:val="95"/>
          <w:sz w:val="16"/>
        </w:rPr>
        <w:t>），监视可能是对能源数据的评审。</w:t>
      </w:r>
    </w:p>
    <w:p>
      <w:pPr>
        <w:pStyle w:val="BodyText"/>
        <w:rPr>
          <w:sz w:val="18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Heading3"/>
        <w:spacing w:before="0"/>
      </w:pPr>
      <w:r>
        <w:t>3.3.8</w:t>
      </w:r>
    </w:p>
    <w:p>
      <w:pPr>
        <w:spacing w:before="127"/>
        <w:ind w:left="140" w:right="0" w:firstLine="0"/>
        <w:jc w:val="left"/>
        <w:rPr>
          <w:rFonts w:ascii="Arial" w:eastAsia="Arial"/>
          <w:b/>
          <w:sz w:val="22"/>
        </w:rPr>
      </w:pPr>
      <w:r>
        <w:rPr>
          <w:b/>
          <w:spacing w:val="3"/>
          <w:sz w:val="22"/>
        </w:rPr>
        <w:t xml:space="preserve">审核 </w:t>
      </w:r>
      <w:r>
        <w:rPr>
          <w:rFonts w:ascii="Arial" w:eastAsia="Arial"/>
          <w:b/>
          <w:sz w:val="22"/>
        </w:rPr>
        <w:t>audit</w:t>
      </w:r>
    </w:p>
    <w:p>
      <w:pPr>
        <w:pStyle w:val="BodyText"/>
        <w:spacing w:before="148" w:line="364" w:lineRule="auto"/>
        <w:ind w:left="140" w:right="500"/>
      </w:pPr>
      <w:r>
        <w:rPr>
          <w:spacing w:val="-3"/>
        </w:rPr>
        <w:t>为获得客观证据并对其进行客观的评价，以判定审核准则满足程度的系统 的、独立的并形成文件</w:t>
      </w:r>
      <w:r>
        <w:t>的过程（</w:t>
      </w:r>
      <w:r>
        <w:rPr>
          <w:rFonts w:ascii="Arial" w:eastAsia="Arial"/>
        </w:rPr>
        <w:t>3.3.6</w:t>
      </w:r>
      <w:r>
        <w:t>）。</w:t>
      </w:r>
    </w:p>
    <w:p>
      <w:pPr>
        <w:spacing w:before="0" w:line="364" w:lineRule="auto"/>
        <w:ind w:left="139" w:right="667" w:firstLine="0"/>
        <w:jc w:val="left"/>
        <w:rPr>
          <w:sz w:val="16"/>
        </w:rPr>
      </w:pPr>
      <w:r>
        <w:rPr>
          <w:w w:val="95"/>
          <w:sz w:val="16"/>
        </w:rPr>
        <w:t>注</w:t>
      </w:r>
      <w:r>
        <w:rPr>
          <w:spacing w:val="77"/>
          <w:sz w:val="16"/>
        </w:rPr>
        <w:t xml:space="preserve">  </w:t>
      </w:r>
      <w:r>
        <w:rPr>
          <w:rFonts w:ascii="Arial" w:eastAsia="Arial"/>
          <w:w w:val="95"/>
          <w:sz w:val="16"/>
        </w:rPr>
        <w:t>1</w:t>
      </w:r>
      <w:r>
        <w:rPr>
          <w:w w:val="95"/>
          <w:sz w:val="16"/>
        </w:rPr>
        <w:t>：审核可能是内部（第一方）审核，或外部（第二方或第三方）审核，也可能是结合审核（两个或多体系结合）。</w:t>
      </w:r>
      <w:r>
        <w:rPr>
          <w:spacing w:val="-15"/>
          <w:w w:val="95"/>
          <w:sz w:val="16"/>
        </w:rPr>
        <w:t xml:space="preserve">注 </w:t>
      </w:r>
      <w:r>
        <w:rPr>
          <w:rFonts w:ascii="Arial" w:eastAsia="Arial"/>
          <w:w w:val="95"/>
          <w:sz w:val="16"/>
        </w:rPr>
        <w:t>2</w:t>
      </w:r>
      <w:r>
        <w:rPr>
          <w:spacing w:val="-6"/>
          <w:w w:val="95"/>
          <w:sz w:val="16"/>
        </w:rPr>
        <w:t>：内部 审核由组织</w:t>
      </w:r>
      <w:r>
        <w:rPr>
          <w:w w:val="95"/>
          <w:sz w:val="16"/>
        </w:rPr>
        <w:t>（</w:t>
      </w:r>
      <w:r>
        <w:rPr>
          <w:rFonts w:ascii="Arial" w:eastAsia="Arial"/>
          <w:w w:val="95"/>
          <w:sz w:val="16"/>
        </w:rPr>
        <w:t>3.1.1</w:t>
      </w:r>
      <w:r>
        <w:rPr>
          <w:w w:val="95"/>
          <w:sz w:val="16"/>
        </w:rPr>
        <w:t>）自身或外部人员代表其实施。</w:t>
      </w:r>
    </w:p>
    <w:p>
      <w:pPr>
        <w:spacing w:before="0" w:line="205" w:lineRule="exact"/>
        <w:ind w:left="139" w:right="0" w:firstLine="0"/>
        <w:jc w:val="left"/>
        <w:rPr>
          <w:sz w:val="16"/>
        </w:rPr>
      </w:pPr>
      <w:r>
        <w:rPr>
          <w:spacing w:val="-5"/>
          <w:w w:val="95"/>
          <w:sz w:val="16"/>
        </w:rPr>
        <w:t xml:space="preserve">注 </w:t>
      </w:r>
      <w:r>
        <w:rPr>
          <w:rFonts w:ascii="Arial" w:eastAsia="Arial" w:hAnsi="Arial"/>
          <w:w w:val="95"/>
          <w:sz w:val="16"/>
        </w:rPr>
        <w:t>3</w:t>
      </w:r>
      <w:r>
        <w:rPr>
          <w:w w:val="95"/>
          <w:sz w:val="16"/>
        </w:rPr>
        <w:t>：</w:t>
      </w:r>
      <w:r>
        <w:rPr>
          <w:rFonts w:ascii="Arial" w:eastAsia="Arial" w:hAnsi="Arial"/>
          <w:w w:val="95"/>
          <w:sz w:val="16"/>
        </w:rPr>
        <w:t>“</w:t>
      </w:r>
      <w:r>
        <w:rPr>
          <w:w w:val="95"/>
          <w:sz w:val="16"/>
        </w:rPr>
        <w:t>审核证据</w:t>
      </w:r>
      <w:r>
        <w:rPr>
          <w:rFonts w:ascii="Arial" w:eastAsia="Arial" w:hAnsi="Arial"/>
          <w:w w:val="95"/>
          <w:sz w:val="16"/>
        </w:rPr>
        <w:t>”</w:t>
      </w:r>
      <w:r>
        <w:rPr>
          <w:w w:val="95"/>
          <w:sz w:val="16"/>
        </w:rPr>
        <w:t>和</w:t>
      </w:r>
      <w:r>
        <w:rPr>
          <w:rFonts w:ascii="Arial" w:eastAsia="Arial" w:hAnsi="Arial"/>
          <w:w w:val="95"/>
          <w:sz w:val="16"/>
        </w:rPr>
        <w:t>“</w:t>
      </w:r>
      <w:r>
        <w:rPr>
          <w:w w:val="95"/>
          <w:sz w:val="16"/>
        </w:rPr>
        <w:t>审核准则</w:t>
      </w:r>
      <w:r>
        <w:rPr>
          <w:rFonts w:ascii="Arial" w:eastAsia="Arial" w:hAnsi="Arial"/>
          <w:w w:val="95"/>
          <w:sz w:val="16"/>
        </w:rPr>
        <w:t>”</w:t>
      </w:r>
      <w:r>
        <w:rPr>
          <w:spacing w:val="-2"/>
          <w:w w:val="95"/>
          <w:sz w:val="16"/>
        </w:rPr>
        <w:t xml:space="preserve">请参见 </w:t>
      </w:r>
      <w:r>
        <w:rPr>
          <w:rFonts w:ascii="Arial" w:eastAsia="Arial" w:hAnsi="Arial"/>
          <w:w w:val="95"/>
          <w:sz w:val="16"/>
        </w:rPr>
        <w:t>ISO</w:t>
      </w:r>
      <w:r>
        <w:rPr>
          <w:rFonts w:ascii="Arial" w:eastAsia="Arial" w:hAnsi="Arial"/>
          <w:spacing w:val="24"/>
          <w:w w:val="95"/>
          <w:sz w:val="16"/>
        </w:rPr>
        <w:t xml:space="preserve"> </w:t>
      </w:r>
      <w:r>
        <w:rPr>
          <w:rFonts w:ascii="Arial" w:eastAsia="Arial" w:hAnsi="Arial"/>
          <w:w w:val="95"/>
          <w:sz w:val="16"/>
        </w:rPr>
        <w:t>19011</w:t>
      </w:r>
      <w:r>
        <w:rPr>
          <w:rFonts w:ascii="Arial" w:eastAsia="Arial" w:hAnsi="Arial"/>
          <w:spacing w:val="27"/>
          <w:w w:val="95"/>
          <w:sz w:val="16"/>
        </w:rPr>
        <w:t xml:space="preserve"> </w:t>
      </w:r>
      <w:r>
        <w:rPr>
          <w:w w:val="95"/>
          <w:sz w:val="16"/>
        </w:rPr>
        <w:t>定义。</w:t>
      </w:r>
    </w:p>
    <w:p>
      <w:pPr>
        <w:spacing w:before="103" w:line="364" w:lineRule="auto"/>
        <w:ind w:left="139" w:right="476" w:firstLine="0"/>
        <w:jc w:val="left"/>
        <w:rPr>
          <w:sz w:val="16"/>
        </w:rPr>
      </w:pPr>
      <w:r>
        <w:rPr>
          <w:w w:val="95"/>
          <w:sz w:val="16"/>
        </w:rPr>
        <w:t>注</w:t>
      </w:r>
      <w:r>
        <w:rPr>
          <w:spacing w:val="74"/>
          <w:sz w:val="16"/>
        </w:rPr>
        <w:t xml:space="preserve">  </w:t>
      </w:r>
      <w:r>
        <w:rPr>
          <w:rFonts w:ascii="Arial" w:eastAsia="Arial" w:hAnsi="Arial"/>
          <w:w w:val="95"/>
          <w:sz w:val="16"/>
        </w:rPr>
        <w:t>4</w:t>
      </w:r>
      <w:r>
        <w:rPr>
          <w:w w:val="95"/>
          <w:sz w:val="16"/>
        </w:rPr>
        <w:t>：本文件中界定或使用的术语“审核”指能源管理体系（</w:t>
      </w:r>
      <w:r>
        <w:rPr>
          <w:rFonts w:ascii="Arial" w:eastAsia="Arial" w:hAnsi="Arial"/>
          <w:w w:val="95"/>
          <w:sz w:val="16"/>
        </w:rPr>
        <w:t>3.2.2</w:t>
      </w:r>
      <w:r>
        <w:rPr>
          <w:w w:val="95"/>
          <w:sz w:val="16"/>
        </w:rPr>
        <w:t>）的内部审核。这与</w:t>
      </w:r>
      <w:r>
        <w:rPr>
          <w:rFonts w:ascii="Arial" w:eastAsia="Arial" w:hAnsi="Arial"/>
          <w:w w:val="95"/>
          <w:sz w:val="16"/>
        </w:rPr>
        <w:t>“</w:t>
      </w:r>
      <w:r>
        <w:rPr>
          <w:w w:val="95"/>
          <w:sz w:val="16"/>
        </w:rPr>
        <w:t>能源审计</w:t>
      </w:r>
      <w:r>
        <w:rPr>
          <w:rFonts w:ascii="Arial" w:eastAsia="Arial" w:hAnsi="Arial"/>
          <w:w w:val="95"/>
          <w:sz w:val="16"/>
        </w:rPr>
        <w:t>”</w:t>
      </w:r>
      <w:r>
        <w:rPr>
          <w:w w:val="95"/>
          <w:sz w:val="16"/>
        </w:rPr>
        <w:t>不同。在本定义中，</w:t>
      </w:r>
      <w:r>
        <w:rPr>
          <w:rFonts w:ascii="Arial" w:eastAsia="Arial" w:hAnsi="Arial"/>
          <w:w w:val="95"/>
          <w:sz w:val="16"/>
        </w:rPr>
        <w:t>“</w:t>
      </w:r>
      <w:r>
        <w:rPr>
          <w:w w:val="95"/>
          <w:sz w:val="16"/>
        </w:rPr>
        <w:t>审</w:t>
      </w:r>
      <w:r>
        <w:rPr>
          <w:sz w:val="16"/>
        </w:rPr>
        <w:t>核证据</w:t>
      </w:r>
      <w:r>
        <w:rPr>
          <w:rFonts w:ascii="Arial" w:eastAsia="Arial" w:hAnsi="Arial"/>
          <w:sz w:val="16"/>
        </w:rPr>
        <w:t>”</w:t>
      </w:r>
      <w:r>
        <w:rPr>
          <w:sz w:val="16"/>
        </w:rPr>
        <w:t>是指来源于能源管理体系的内部审核，而非来自能源审计的证据。</w:t>
      </w:r>
    </w:p>
    <w:p>
      <w:pPr>
        <w:pStyle w:val="BodyText"/>
        <w:rPr>
          <w:sz w:val="18"/>
        </w:rPr>
      </w:pPr>
    </w:p>
    <w:p>
      <w:pPr>
        <w:pStyle w:val="Heading3"/>
        <w:spacing w:before="148"/>
      </w:pPr>
      <w:r>
        <w:t>3.3.9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https://d.book118.com/817155144155006035</w:t>
        </w:r>
      </w:hyperlink>
    </w:p>
    <w:p>
      <w:pPr>
        <w:spacing w:after="0"/>
      </w:pPr>
    </w:p>
    <w:sectPr>
      <w:headerReference w:type="default" r:id="rId22"/>
      <w:pgSz w:w="12240" w:h="15840"/>
      <w:pgMar w:top="1180" w:right="1480" w:bottom="280" w:left="1660" w:header="978" w:footer="0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rect id="_x0000_s2049" style="width:435.06pt;height:0.72pt;margin-top:64.56pt;margin-left:88.5pt;mso-position-horizontal-relative:page;mso-position-vertical-relative:page;position:absolute;z-index:-251658240" filled="t" fillcolor="#49442a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2.7pt;height:13pt;margin-top:47.88pt;margin-left:442.7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rect id="_x0000_s2051" style="width:435.06pt;height:0.72pt;margin-top:64.56pt;margin-left:88.5pt;mso-position-horizontal-relative:page;mso-position-vertical-relative:page;position:absolute;z-index:-251656192" filled="t" fillcolor="#49442a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2.7pt;height:13pt;margin-top:47.88pt;margin-left:442.7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rect id="_x0000_s2053" style="width:435.06pt;height:0.72pt;margin-top:64.56pt;margin-left:88.5pt;mso-position-horizontal-relative:page;mso-position-vertical-relative:page;position:absolute;z-index:-251654144" filled="t" fillcolor="#49442a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2.7pt;height:13pt;margin-top:47.88pt;margin-left:442.7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rect id="_x0000_s2055" style="width:435.06pt;height:0.72pt;margin-top:64.56pt;margin-left:88.5pt;mso-position-horizontal-relative:page;mso-position-vertical-relative:page;position:absolute;z-index:-251652096" filled="t" fillcolor="#49442a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2.7pt;height:13pt;margin-top:47.88pt;margin-left:442.7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rect id="_x0000_s2057" style="width:435.06pt;height:0.72pt;margin-top:64.56pt;margin-left:88.5pt;mso-position-horizontal-relative:page;mso-position-vertical-relative:page;position:absolute;z-index:-251650048" filled="t" fillcolor="#49442a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2.7pt;height:13pt;margin-top:47.88pt;margin-left:442.7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rect id="_x0000_s2059" style="width:435.06pt;height:0.72pt;margin-top:64.56pt;margin-left:88.5pt;mso-position-horizontal-relative:page;mso-position-vertical-relative:page;position:absolute;z-index:-251648000" filled="t" fillcolor="#49442a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2.7pt;height:13pt;margin-top:47.88pt;margin-left:442.7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rect id="_x0000_s2061" style="width:435.06pt;height:0.72pt;margin-top:64.56pt;margin-left:88.5pt;mso-position-horizontal-relative:page;mso-position-vertical-relative:page;position:absolute;z-index:-251645952" filled="t" fillcolor="#49442a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2.7pt;height:13pt;margin-top:47.88pt;margin-left:442.7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72.7pt;height:13pt;margin-top:47.88pt;margin-left:442.7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72.7pt;height:13pt;margin-top:47.88pt;margin-left:442.7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2.7pt;height:13pt;margin-top:47.88pt;margin-left:442.7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  <w:r>
      <w:pict>
        <v:shape id="_x0000_s2066" type="#_x0000_t202" style="width:29.5pt;height:14.3pt;margin-top:71.38pt;margin-left:8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"/>
                    <w:b/>
                    <w:sz w:val="22"/>
                  </w:rPr>
                </w:pPr>
                <w:r>
                  <w:rPr>
                    <w:rFonts w:ascii="Arial"/>
                    <w:b/>
                    <w:sz w:val="22"/>
                  </w:rPr>
                  <w:t>3.</w:t>
                </w:r>
                <w:r>
                  <w:fldChar w:fldCharType="begin"/>
                </w:r>
                <w:r>
                  <w:rPr>
                    <w:rFonts w:ascii="Arial"/>
                    <w:b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b/>
                    <w:sz w:val="22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b/>
                    <w:sz w:val="22"/>
                  </w:rPr>
                  <w:t>.2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72.7pt;height:13pt;margin-top:47.88pt;margin-left:442.7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2.7pt;height:13pt;margin-top:47.88pt;margin-left:442.7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44" w:lineRule="exact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ISO</w:t>
                </w:r>
                <w:r>
                  <w:rPr>
                    <w:rFonts w:ascii="Calibri"/>
                    <w:spacing w:val="-3"/>
                    <w:sz w:val="22"/>
                  </w:rPr>
                  <w:t xml:space="preserve"> </w:t>
                </w:r>
                <w:r>
                  <w:rPr>
                    <w:rFonts w:ascii="Calibri"/>
                    <w:sz w:val="22"/>
                  </w:rPr>
                  <w:t>50001:2018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AAF43"/>
    <w:multiLevelType w:val="hybridMultilevel"/>
    <w:tmpl w:val="00000000"/>
    <w:lvl w:ilvl="0">
      <w:start w:val="1"/>
      <w:numFmt w:val="lowerLetter"/>
      <w:lvlText w:val="%1)"/>
      <w:lvlJc w:val="left"/>
      <w:pPr>
        <w:ind w:left="906" w:hanging="36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20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40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60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20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40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60" w:hanging="360"/>
      </w:pPr>
      <w:rPr>
        <w:rFonts w:hint="default"/>
        <w:lang w:val="en-US" w:eastAsia="zh-CN" w:bidi="ar-SA"/>
      </w:rPr>
    </w:lvl>
  </w:abstractNum>
  <w:abstractNum w:abstractNumId="1">
    <w:nsid w:val="09213B8D"/>
    <w:multiLevelType w:val="hybridMultilevel"/>
    <w:tmpl w:val="00000000"/>
    <w:lvl w:ilvl="0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08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6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4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8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360"/>
      </w:pPr>
      <w:rPr>
        <w:rFonts w:hint="default"/>
        <w:lang w:val="en-US" w:eastAsia="zh-CN" w:bidi="ar-SA"/>
      </w:rPr>
    </w:lvl>
  </w:abstractNum>
  <w:abstractNum w:abstractNumId="2">
    <w:nsid w:val="0BC20BC3"/>
    <w:multiLevelType w:val="hybridMultilevel"/>
    <w:tmpl w:val="00000000"/>
    <w:lvl w:ilvl="0">
      <w:start w:val="7"/>
      <w:numFmt w:val="decimal"/>
      <w:lvlText w:val="%1"/>
      <w:lvlJc w:val="left"/>
      <w:pPr>
        <w:ind w:left="682" w:hanging="543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682" w:hanging="543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682" w:hanging="543"/>
        <w:jc w:val="left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zh-CN" w:bidi="ar-SA"/>
      </w:rPr>
    </w:lvl>
    <w:lvl w:ilvl="3">
      <w:start w:val="1"/>
      <w:numFmt w:val="lowerLetter"/>
      <w:lvlText w:val="%4)"/>
      <w:lvlJc w:val="left"/>
      <w:pPr>
        <w:ind w:left="980" w:hanging="42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4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99"/>
        <w:sz w:val="16"/>
        <w:szCs w:val="16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75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5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30" w:hanging="360"/>
      </w:pPr>
      <w:rPr>
        <w:rFonts w:hint="default"/>
        <w:lang w:val="en-US" w:eastAsia="zh-CN" w:bidi="ar-SA"/>
      </w:rPr>
    </w:lvl>
  </w:abstractNum>
  <w:abstractNum w:abstractNumId="3">
    <w:nsid w:val="0C2B1CAF"/>
    <w:multiLevelType w:val="hybridMultilevel"/>
    <w:tmpl w:val="00000000"/>
    <w:lvl w:ilvl="0">
      <w:start w:val="9"/>
      <w:numFmt w:val="decimal"/>
      <w:lvlText w:val="%1"/>
      <w:lvlJc w:val="left"/>
      <w:pPr>
        <w:ind w:left="140" w:hanging="590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40" w:hanging="59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0" w:hanging="590"/>
        <w:jc w:val="left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zh-CN" w:bidi="ar-SA"/>
      </w:rPr>
    </w:lvl>
    <w:lvl w:ilvl="3">
      <w:start w:val="1"/>
      <w:numFmt w:val="lowerLetter"/>
      <w:lvlText w:val="%4)"/>
      <w:lvlJc w:val="left"/>
      <w:pPr>
        <w:ind w:left="980" w:hanging="420"/>
        <w:jc w:val="left"/>
      </w:pPr>
      <w:rPr>
        <w:rFonts w:hint="default"/>
        <w:w w:val="100"/>
        <w:lang w:val="en-US" w:eastAsia="zh-CN" w:bidi="ar-SA"/>
      </w:rPr>
    </w:lvl>
    <w:lvl w:ilvl="4">
      <w:start w:val="1"/>
      <w:numFmt w:val="decimal"/>
      <w:lvlText w:val="%5）"/>
      <w:lvlJc w:val="left"/>
      <w:pPr>
        <w:ind w:left="1062" w:hanging="42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075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8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85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90" w:hanging="420"/>
      </w:pPr>
      <w:rPr>
        <w:rFonts w:hint="default"/>
        <w:lang w:val="en-US" w:eastAsia="zh-CN" w:bidi="ar-SA"/>
      </w:rPr>
    </w:lvl>
  </w:abstractNum>
  <w:abstractNum w:abstractNumId="4">
    <w:nsid w:val="0FC3C7E8"/>
    <w:multiLevelType w:val="hybridMultilevel"/>
    <w:tmpl w:val="00000000"/>
    <w:lvl w:ilvl="0">
      <w:start w:val="1"/>
      <w:numFmt w:val="lowerLetter"/>
      <w:lvlText w:val="%1)"/>
      <w:lvlJc w:val="left"/>
      <w:pPr>
        <w:ind w:left="980" w:hanging="42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2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6" w:hanging="420"/>
      </w:pPr>
      <w:rPr>
        <w:rFonts w:hint="default"/>
        <w:lang w:val="en-US" w:eastAsia="zh-CN" w:bidi="ar-SA"/>
      </w:rPr>
    </w:lvl>
  </w:abstractNum>
  <w:abstractNum w:abstractNumId="5">
    <w:nsid w:val="120744C0"/>
    <w:multiLevelType w:val="hybridMultilevel"/>
    <w:tmpl w:val="00000000"/>
    <w:lvl w:ilvl="0">
      <w:start w:val="4"/>
      <w:numFmt w:val="decimal"/>
      <w:lvlText w:val="%1"/>
      <w:lvlJc w:val="left"/>
      <w:pPr>
        <w:ind w:left="374" w:hanging="235"/>
        <w:jc w:val="left"/>
      </w:pPr>
      <w:rPr>
        <w:rFonts w:ascii="Arial" w:eastAsia="Arial" w:hAnsi="Arial" w:cs="Arial" w:hint="default"/>
        <w:b/>
        <w:bCs/>
        <w:w w:val="99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09" w:hanging="570"/>
        <w:jc w:val="left"/>
      </w:pPr>
      <w:rPr>
        <w:rFonts w:hint="default"/>
        <w:b/>
        <w:bCs/>
        <w:w w:val="100"/>
        <w:lang w:val="en-US" w:eastAsia="zh-CN" w:bidi="ar-SA"/>
      </w:rPr>
    </w:lvl>
    <w:lvl w:ilvl="2">
      <w:start w:val="1"/>
      <w:numFmt w:val="lowerLetter"/>
      <w:lvlText w:val="%3）"/>
      <w:lvlJc w:val="left"/>
      <w:pPr>
        <w:ind w:left="896" w:hanging="570"/>
        <w:jc w:val="left"/>
      </w:pPr>
      <w:rPr>
        <w:rFonts w:ascii="Arial" w:eastAsia="Arial" w:hAnsi="Arial" w:cs="Arial" w:hint="default"/>
        <w:w w:val="100"/>
        <w:sz w:val="18"/>
        <w:szCs w:val="18"/>
        <w:lang w:val="en-US" w:eastAsia="zh-CN" w:bidi="ar-SA"/>
      </w:rPr>
    </w:lvl>
    <w:lvl w:ilvl="3">
      <w:start w:val="0"/>
      <w:numFmt w:val="bullet"/>
      <w:lvlText w:val="—"/>
      <w:lvlJc w:val="left"/>
      <w:pPr>
        <w:ind w:left="1220" w:hanging="570"/>
      </w:pPr>
      <w:rPr>
        <w:rFonts w:ascii="Calibri" w:eastAsia="Calibri" w:hAnsi="Calibri" w:cs="Calibri" w:hint="default"/>
        <w:w w:val="100"/>
        <w:sz w:val="20"/>
        <w:szCs w:val="20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00" w:hanging="5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20" w:hanging="5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96" w:hanging="5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72" w:hanging="5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948" w:hanging="570"/>
      </w:pPr>
      <w:rPr>
        <w:rFonts w:hint="default"/>
        <w:lang w:val="en-US" w:eastAsia="zh-CN" w:bidi="ar-SA"/>
      </w:rPr>
    </w:lvl>
  </w:abstractNum>
  <w:abstractNum w:abstractNumId="6">
    <w:nsid w:val="12DF4F6A"/>
    <w:multiLevelType w:val="hybridMultilevel"/>
    <w:tmpl w:val="00000000"/>
    <w:lvl w:ilvl="0">
      <w:start w:val="1"/>
      <w:numFmt w:val="lowerLetter"/>
      <w:lvlText w:val="%1)"/>
      <w:lvlJc w:val="left"/>
      <w:pPr>
        <w:ind w:left="980" w:hanging="42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2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6" w:hanging="420"/>
      </w:pPr>
      <w:rPr>
        <w:rFonts w:hint="default"/>
        <w:lang w:val="en-US" w:eastAsia="zh-CN" w:bidi="ar-SA"/>
      </w:rPr>
    </w:lvl>
  </w:abstractNum>
  <w:abstractNum w:abstractNumId="7">
    <w:nsid w:val="13EBC654"/>
    <w:multiLevelType w:val="hybridMultilevel"/>
    <w:tmpl w:val="00000000"/>
    <w:lvl w:ilvl="0">
      <w:start w:val="1"/>
      <w:numFmt w:val="lowerLetter"/>
      <w:lvlText w:val="%1)"/>
      <w:lvlJc w:val="left"/>
      <w:pPr>
        <w:ind w:left="1363" w:hanging="420"/>
        <w:jc w:val="left"/>
      </w:pPr>
      <w:rPr>
        <w:rFonts w:hint="default"/>
        <w:w w:val="100"/>
        <w:lang w:val="en-US" w:eastAsia="zh-CN" w:bidi="ar-SA"/>
      </w:rPr>
    </w:lvl>
    <w:lvl w:ilvl="1">
      <w:start w:val="1"/>
      <w:numFmt w:val="decimal"/>
      <w:lvlText w:val="%2）"/>
      <w:lvlJc w:val="left"/>
      <w:pPr>
        <w:ind w:left="1730" w:hanging="368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57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93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1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28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4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64" w:hanging="368"/>
      </w:pPr>
      <w:rPr>
        <w:rFonts w:hint="default"/>
        <w:lang w:val="en-US" w:eastAsia="zh-CN" w:bidi="ar-SA"/>
      </w:rPr>
    </w:lvl>
  </w:abstractNum>
  <w:abstractNum w:abstractNumId="8">
    <w:nsid w:val="23BD96D9"/>
    <w:multiLevelType w:val="hybridMultilevel"/>
    <w:tmpl w:val="00000000"/>
    <w:lvl w:ilvl="0">
      <w:start w:val="1"/>
      <w:numFmt w:val="lowerLetter"/>
      <w:lvlText w:val="%1）"/>
      <w:lvlJc w:val="left"/>
      <w:pPr>
        <w:ind w:left="806" w:hanging="313"/>
        <w:jc w:val="left"/>
      </w:pPr>
      <w:rPr>
        <w:rFonts w:ascii="Arial" w:eastAsia="Arial" w:hAnsi="Arial" w:cs="Arial" w:hint="default"/>
        <w:w w:val="100"/>
        <w:sz w:val="18"/>
        <w:szCs w:val="18"/>
        <w:lang w:val="en-US" w:eastAsia="zh-CN" w:bidi="ar-SA"/>
      </w:rPr>
    </w:lvl>
    <w:lvl w:ilvl="1">
      <w:start w:val="1"/>
      <w:numFmt w:val="decimal"/>
      <w:lvlText w:val="%2）"/>
      <w:lvlJc w:val="left"/>
      <w:pPr>
        <w:ind w:left="1286" w:hanging="313"/>
        <w:jc w:val="left"/>
      </w:pPr>
      <w:rPr>
        <w:rFonts w:ascii="Arial" w:eastAsia="Arial" w:hAnsi="Arial" w:cs="Arial" w:hint="default"/>
        <w:w w:val="100"/>
        <w:sz w:val="18"/>
        <w:szCs w:val="1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48" w:hanging="3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7" w:hanging="3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86" w:hanging="3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55" w:hanging="3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24" w:hanging="3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3" w:hanging="3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2" w:hanging="313"/>
      </w:pPr>
      <w:rPr>
        <w:rFonts w:hint="default"/>
        <w:lang w:val="en-US" w:eastAsia="zh-CN" w:bidi="ar-SA"/>
      </w:rPr>
    </w:lvl>
  </w:abstractNum>
  <w:abstractNum w:abstractNumId="9">
    <w:nsid w:val="28EDC8FF"/>
    <w:multiLevelType w:val="hybridMultilevel"/>
    <w:tmpl w:val="00000000"/>
    <w:lvl w:ilvl="0">
      <w:start w:val="0"/>
      <w:numFmt w:val="bullet"/>
      <w:lvlText w:val="—"/>
      <w:lvlJc w:val="left"/>
      <w:pPr>
        <w:ind w:left="1220" w:hanging="360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08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6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4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8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360"/>
      </w:pPr>
      <w:rPr>
        <w:rFonts w:hint="default"/>
        <w:lang w:val="en-US" w:eastAsia="zh-CN" w:bidi="ar-SA"/>
      </w:rPr>
    </w:lvl>
  </w:abstractNum>
  <w:abstractNum w:abstractNumId="10">
    <w:nsid w:val="2A1728B2"/>
    <w:multiLevelType w:val="hybridMultilevel"/>
    <w:tmpl w:val="00000000"/>
    <w:lvl w:ilvl="0">
      <w:start w:val="1"/>
      <w:numFmt w:val="lowerLetter"/>
      <w:lvlText w:val="%1)"/>
      <w:lvlJc w:val="left"/>
      <w:pPr>
        <w:ind w:left="906" w:hanging="36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95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71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2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7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3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8" w:hanging="360"/>
      </w:pPr>
      <w:rPr>
        <w:rFonts w:hint="default"/>
        <w:lang w:val="en-US" w:eastAsia="zh-CN" w:bidi="ar-SA"/>
      </w:rPr>
    </w:lvl>
  </w:abstractNum>
  <w:abstractNum w:abstractNumId="11">
    <w:nsid w:val="30A64F76"/>
    <w:multiLevelType w:val="hybridMultilevel"/>
    <w:tmpl w:val="00000000"/>
    <w:lvl w:ilvl="0">
      <w:start w:val="0"/>
      <w:numFmt w:val="decimal"/>
      <w:lvlText w:val="%1"/>
      <w:lvlJc w:val="left"/>
      <w:pPr>
        <w:ind w:left="574" w:hanging="435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74" w:hanging="435"/>
        <w:jc w:val="left"/>
      </w:pPr>
      <w:rPr>
        <w:rFonts w:ascii="Arial" w:eastAsia="Arial" w:hAnsi="Arial" w:cs="Arial" w:hint="default"/>
        <w:b/>
        <w:bCs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—"/>
      <w:lvlJc w:val="left"/>
      <w:pPr>
        <w:ind w:left="970" w:hanging="390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4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86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88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1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3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5" w:hanging="390"/>
      </w:pPr>
      <w:rPr>
        <w:rFonts w:hint="default"/>
        <w:lang w:val="en-US" w:eastAsia="zh-CN" w:bidi="ar-SA"/>
      </w:rPr>
    </w:lvl>
  </w:abstractNum>
  <w:abstractNum w:abstractNumId="12">
    <w:nsid w:val="32EA984B"/>
    <w:multiLevelType w:val="hybridMultilevel"/>
    <w:tmpl w:val="00000000"/>
    <w:lvl w:ilvl="0">
      <w:start w:val="0"/>
      <w:numFmt w:val="bullet"/>
      <w:lvlText w:val="—"/>
      <w:lvlJc w:val="left"/>
      <w:pPr>
        <w:ind w:left="970" w:hanging="390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2" w:hanging="39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3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6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28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0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2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4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6" w:hanging="390"/>
      </w:pPr>
      <w:rPr>
        <w:rFonts w:hint="default"/>
        <w:lang w:val="en-US" w:eastAsia="zh-CN" w:bidi="ar-SA"/>
      </w:rPr>
    </w:lvl>
  </w:abstractNum>
  <w:abstractNum w:abstractNumId="13">
    <w:nsid w:val="331329CB"/>
    <w:multiLevelType w:val="hybridMultilevel"/>
    <w:tmpl w:val="00000000"/>
    <w:lvl w:ilvl="0">
      <w:start w:val="6"/>
      <w:numFmt w:val="decimal"/>
      <w:lvlText w:val="%1"/>
      <w:lvlJc w:val="left"/>
      <w:pPr>
        <w:ind w:left="752" w:hanging="613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752" w:hanging="613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752" w:hanging="613"/>
        <w:jc w:val="left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zh-CN" w:bidi="ar-SA"/>
      </w:rPr>
    </w:lvl>
    <w:lvl w:ilvl="3">
      <w:start w:val="1"/>
      <w:numFmt w:val="lowerLetter"/>
      <w:lvlText w:val="%4)"/>
      <w:lvlJc w:val="left"/>
      <w:pPr>
        <w:ind w:left="1420" w:hanging="42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8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4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3" w:hanging="420"/>
      </w:pPr>
      <w:rPr>
        <w:rFonts w:hint="default"/>
        <w:lang w:val="en-US" w:eastAsia="zh-CN" w:bidi="ar-SA"/>
      </w:rPr>
    </w:lvl>
  </w:abstractNum>
  <w:abstractNum w:abstractNumId="14">
    <w:nsid w:val="35D3EDE6"/>
    <w:multiLevelType w:val="hybridMultilevel"/>
    <w:tmpl w:val="00000000"/>
    <w:lvl w:ilvl="0">
      <w:start w:val="6"/>
      <w:numFmt w:val="decimal"/>
      <w:lvlText w:val="%1"/>
      <w:lvlJc w:val="left"/>
      <w:pPr>
        <w:ind w:left="140" w:hanging="613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40" w:hanging="613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40" w:hanging="613"/>
        <w:jc w:val="left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zh-CN" w:bidi="ar-SA"/>
      </w:rPr>
    </w:lvl>
    <w:lvl w:ilvl="3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100"/>
        <w:sz w:val="20"/>
        <w:szCs w:val="20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2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7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3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8" w:hanging="360"/>
      </w:pPr>
      <w:rPr>
        <w:rFonts w:hint="default"/>
        <w:lang w:val="en-US" w:eastAsia="zh-CN" w:bidi="ar-SA"/>
      </w:rPr>
    </w:lvl>
  </w:abstractNum>
  <w:abstractNum w:abstractNumId="15">
    <w:nsid w:val="3B2D8C49"/>
    <w:multiLevelType w:val="hybridMultilevel"/>
    <w:tmpl w:val="00000000"/>
    <w:lvl w:ilvl="0">
      <w:start w:val="9"/>
      <w:numFmt w:val="decimal"/>
      <w:lvlText w:val="%1"/>
      <w:lvlJc w:val="left"/>
      <w:pPr>
        <w:ind w:left="680" w:hanging="541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680" w:hanging="541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680" w:hanging="541"/>
        <w:jc w:val="left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zh-CN" w:bidi="ar-SA"/>
      </w:rPr>
    </w:lvl>
    <w:lvl w:ilvl="3">
      <w:start w:val="1"/>
      <w:numFmt w:val="lowerLetter"/>
      <w:lvlText w:val="%4)"/>
      <w:lvlJc w:val="left"/>
      <w:pPr>
        <w:ind w:left="980" w:hanging="420"/>
        <w:jc w:val="left"/>
      </w:pPr>
      <w:rPr>
        <w:rFonts w:hint="default"/>
        <w:w w:val="100"/>
        <w:lang w:val="en-US" w:eastAsia="zh-CN" w:bidi="ar-SA"/>
      </w:rPr>
    </w:lvl>
    <w:lvl w:ilvl="4">
      <w:start w:val="0"/>
      <w:numFmt w:val="bullet"/>
      <w:lvlText w:val="—"/>
      <w:lvlJc w:val="left"/>
      <w:pPr>
        <w:ind w:left="1220" w:hanging="420"/>
      </w:pPr>
      <w:rPr>
        <w:rFonts w:ascii="Calibri" w:eastAsia="Calibri" w:hAnsi="Calibri" w:cs="Calibri" w:hint="default"/>
        <w:w w:val="100"/>
        <w:sz w:val="20"/>
        <w:szCs w:val="20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75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6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5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30" w:hanging="420"/>
      </w:pPr>
      <w:rPr>
        <w:rFonts w:hint="default"/>
        <w:lang w:val="en-US" w:eastAsia="zh-CN" w:bidi="ar-SA"/>
      </w:rPr>
    </w:lvl>
  </w:abstractNum>
  <w:abstractNum w:abstractNumId="16">
    <w:nsid w:val="40F64FAE"/>
    <w:multiLevelType w:val="hybridMultilevel"/>
    <w:tmpl w:val="00000000"/>
    <w:lvl w:ilvl="0">
      <w:start w:val="7"/>
      <w:numFmt w:val="decimal"/>
      <w:lvlText w:val="%1"/>
      <w:lvlJc w:val="left"/>
      <w:pPr>
        <w:ind w:left="727" w:hanging="368"/>
        <w:jc w:val="left"/>
      </w:pPr>
      <w:rPr>
        <w:rFonts w:hint="default"/>
        <w:lang w:val="en-US" w:eastAsia="zh-CN" w:bidi="ar-SA"/>
      </w:rPr>
    </w:lvl>
    <w:lvl w:ilvl="1">
      <w:start w:val="4"/>
      <w:numFmt w:val="decimal"/>
      <w:lvlText w:val="%1.%2"/>
      <w:lvlJc w:val="left"/>
      <w:pPr>
        <w:ind w:left="727" w:hanging="368"/>
        <w:jc w:val="left"/>
      </w:pPr>
      <w:rPr>
        <w:rFonts w:ascii="Arial" w:eastAsia="Arial" w:hAnsi="Arial" w:cs="Arial" w:hint="default"/>
        <w:w w:val="99"/>
        <w:sz w:val="22"/>
        <w:szCs w:val="22"/>
        <w:lang w:val="en-US" w:eastAsia="zh-CN" w:bidi="ar-SA"/>
      </w:rPr>
    </w:lvl>
    <w:lvl w:ilvl="2">
      <w:start w:val="2"/>
      <w:numFmt w:val="decimal"/>
      <w:lvlText w:val="%1.%2.%3"/>
      <w:lvlJc w:val="left"/>
      <w:pPr>
        <w:ind w:left="1131" w:hanging="551"/>
        <w:jc w:val="left"/>
      </w:pPr>
      <w:rPr>
        <w:rFonts w:ascii="Arial" w:eastAsia="Arial" w:hAnsi="Arial" w:cs="Arial" w:hint="default"/>
        <w:w w:val="99"/>
        <w:sz w:val="22"/>
        <w:szCs w:val="22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08" w:hanging="5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93" w:hanging="5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7" w:hanging="5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62" w:hanging="5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46" w:hanging="5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31" w:hanging="551"/>
      </w:pPr>
      <w:rPr>
        <w:rFonts w:hint="default"/>
        <w:lang w:val="en-US" w:eastAsia="zh-CN" w:bidi="ar-SA"/>
      </w:rPr>
    </w:lvl>
  </w:abstractNum>
  <w:abstractNum w:abstractNumId="17">
    <w:nsid w:val="41D570E4"/>
    <w:multiLevelType w:val="hybridMultilevel"/>
    <w:tmpl w:val="00000000"/>
    <w:lvl w:ilvl="0">
      <w:start w:val="0"/>
      <w:numFmt w:val="decimal"/>
      <w:lvlText w:val="%1"/>
      <w:lvlJc w:val="left"/>
      <w:pPr>
        <w:ind w:left="574" w:hanging="435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74" w:hanging="435"/>
        <w:jc w:val="left"/>
      </w:pPr>
      <w:rPr>
        <w:rFonts w:ascii="Arial" w:eastAsia="Arial" w:hAnsi="Arial" w:cs="Arial" w:hint="default"/>
        <w:b/>
        <w:bCs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—"/>
      <w:lvlJc w:val="left"/>
      <w:pPr>
        <w:ind w:left="970" w:hanging="390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4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86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88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1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3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5" w:hanging="390"/>
      </w:pPr>
      <w:rPr>
        <w:rFonts w:hint="default"/>
        <w:lang w:val="en-US" w:eastAsia="zh-CN" w:bidi="ar-SA"/>
      </w:rPr>
    </w:lvl>
  </w:abstractNum>
  <w:abstractNum w:abstractNumId="18">
    <w:nsid w:val="4363138C"/>
    <w:multiLevelType w:val="hybridMultilevel"/>
    <w:tmpl w:val="00000000"/>
    <w:lvl w:ilvl="0">
      <w:start w:val="1"/>
      <w:numFmt w:val="decimal"/>
      <w:lvlText w:val="%1"/>
      <w:lvlJc w:val="left"/>
      <w:pPr>
        <w:ind w:left="324" w:hanging="184"/>
        <w:jc w:val="left"/>
      </w:pPr>
      <w:rPr>
        <w:rFonts w:ascii="Arial" w:eastAsia="Arial" w:hAnsi="Arial" w:cs="Arial" w:hint="default"/>
        <w:w w:val="99"/>
        <w:sz w:val="22"/>
        <w:szCs w:val="2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7" w:hanging="368"/>
        <w:jc w:val="left"/>
      </w:pPr>
      <w:rPr>
        <w:rFonts w:ascii="Arial" w:eastAsia="Arial" w:hAnsi="Arial" w:cs="Arial" w:hint="default"/>
        <w:w w:val="99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51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2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13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44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0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7" w:hanging="368"/>
      </w:pPr>
      <w:rPr>
        <w:rFonts w:hint="default"/>
        <w:lang w:val="en-US" w:eastAsia="zh-CN" w:bidi="ar-SA"/>
      </w:rPr>
    </w:lvl>
  </w:abstractNum>
  <w:abstractNum w:abstractNumId="19">
    <w:nsid w:val="4541E677"/>
    <w:multiLevelType w:val="hybridMultilevel"/>
    <w:tmpl w:val="00000000"/>
    <w:lvl w:ilvl="0">
      <w:start w:val="6"/>
      <w:numFmt w:val="decimal"/>
      <w:lvlText w:val="%1"/>
      <w:lvlJc w:val="left"/>
      <w:pPr>
        <w:ind w:left="727" w:hanging="368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7" w:hanging="368"/>
        <w:jc w:val="left"/>
      </w:pPr>
      <w:rPr>
        <w:rFonts w:ascii="Arial" w:eastAsia="Arial" w:hAnsi="Arial" w:cs="Arial" w:hint="default"/>
        <w:w w:val="99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96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34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2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0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48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8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24" w:hanging="368"/>
      </w:pPr>
      <w:rPr>
        <w:rFonts w:hint="default"/>
        <w:lang w:val="en-US" w:eastAsia="zh-CN" w:bidi="ar-SA"/>
      </w:rPr>
    </w:lvl>
  </w:abstractNum>
  <w:abstractNum w:abstractNumId="20">
    <w:nsid w:val="4F357991"/>
    <w:multiLevelType w:val="hybridMultilevel"/>
    <w:tmpl w:val="00000000"/>
    <w:lvl w:ilvl="0">
      <w:start w:val="9"/>
      <w:numFmt w:val="decimal"/>
      <w:lvlText w:val="%1"/>
      <w:lvlJc w:val="left"/>
      <w:pPr>
        <w:ind w:left="324" w:hanging="184"/>
        <w:jc w:val="left"/>
      </w:pPr>
      <w:rPr>
        <w:rFonts w:ascii="Arial" w:eastAsia="Arial" w:hAnsi="Arial" w:cs="Arial" w:hint="default"/>
        <w:w w:val="99"/>
        <w:sz w:val="22"/>
        <w:szCs w:val="22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7" w:hanging="368"/>
        <w:jc w:val="right"/>
      </w:pPr>
      <w:rPr>
        <w:rFonts w:ascii="Arial" w:eastAsia="Arial" w:hAnsi="Arial" w:cs="Arial" w:hint="default"/>
        <w:w w:val="99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51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2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13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44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7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0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7" w:hanging="368"/>
      </w:pPr>
      <w:rPr>
        <w:rFonts w:hint="default"/>
        <w:lang w:val="en-US" w:eastAsia="zh-CN" w:bidi="ar-SA"/>
      </w:rPr>
    </w:lvl>
  </w:abstractNum>
  <w:abstractNum w:abstractNumId="21">
    <w:nsid w:val="52E8EA38"/>
    <w:multiLevelType w:val="hybridMultilevel"/>
    <w:tmpl w:val="00000000"/>
    <w:lvl w:ilvl="0">
      <w:start w:val="1"/>
      <w:numFmt w:val="lowerLetter"/>
      <w:lvlText w:val="%1)"/>
      <w:lvlJc w:val="left"/>
      <w:pPr>
        <w:ind w:left="980" w:hanging="42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2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6" w:hanging="420"/>
      </w:pPr>
      <w:rPr>
        <w:rFonts w:hint="default"/>
        <w:lang w:val="en-US" w:eastAsia="zh-CN" w:bidi="ar-SA"/>
      </w:rPr>
    </w:lvl>
  </w:abstractNum>
  <w:abstractNum w:abstractNumId="22">
    <w:nsid w:val="560659E5"/>
    <w:multiLevelType w:val="hybridMultilevel"/>
    <w:tmpl w:val="00000000"/>
    <w:lvl w:ilvl="0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99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08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6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4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8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360"/>
      </w:pPr>
      <w:rPr>
        <w:rFonts w:hint="default"/>
        <w:lang w:val="en-US" w:eastAsia="zh-CN" w:bidi="ar-SA"/>
      </w:rPr>
    </w:lvl>
  </w:abstractNum>
  <w:abstractNum w:abstractNumId="23">
    <w:nsid w:val="5945F5CE"/>
    <w:multiLevelType w:val="hybridMultilevel"/>
    <w:tmpl w:val="00000000"/>
    <w:lvl w:ilvl="0">
      <w:start w:val="9"/>
      <w:numFmt w:val="decimal"/>
      <w:lvlText w:val="%1"/>
      <w:lvlJc w:val="left"/>
      <w:pPr>
        <w:ind w:left="682" w:hanging="543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2" w:hanging="543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682" w:hanging="543"/>
        <w:jc w:val="left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zh-CN" w:bidi="ar-SA"/>
      </w:rPr>
    </w:lvl>
    <w:lvl w:ilvl="3">
      <w:start w:val="1"/>
      <w:numFmt w:val="lowerLetter"/>
      <w:lvlText w:val="%4）"/>
      <w:lvlJc w:val="left"/>
      <w:pPr>
        <w:ind w:left="950" w:hanging="368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4">
      <w:start w:val="1"/>
      <w:numFmt w:val="decimal"/>
      <w:lvlText w:val="%5）"/>
      <w:lvlJc w:val="left"/>
      <w:pPr>
        <w:ind w:left="1173" w:hanging="368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50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4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30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0" w:hanging="368"/>
      </w:pPr>
      <w:rPr>
        <w:rFonts w:hint="default"/>
        <w:lang w:val="en-US" w:eastAsia="zh-CN" w:bidi="ar-SA"/>
      </w:rPr>
    </w:lvl>
  </w:abstractNum>
  <w:abstractNum w:abstractNumId="24">
    <w:nsid w:val="59627855"/>
    <w:multiLevelType w:val="hybridMultilevel"/>
    <w:tmpl w:val="00000000"/>
    <w:lvl w:ilvl="0">
      <w:start w:val="1"/>
      <w:numFmt w:val="lowerLetter"/>
      <w:lvlText w:val="%1）"/>
      <w:lvlJc w:val="left"/>
      <w:pPr>
        <w:ind w:left="583" w:hanging="313"/>
        <w:jc w:val="left"/>
      </w:pPr>
      <w:rPr>
        <w:rFonts w:ascii="Arial" w:eastAsia="Arial" w:hAnsi="Arial" w:cs="Arial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95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71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22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7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3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8" w:hanging="360"/>
      </w:pPr>
      <w:rPr>
        <w:rFonts w:hint="default"/>
        <w:lang w:val="en-US" w:eastAsia="zh-CN" w:bidi="ar-SA"/>
      </w:rPr>
    </w:lvl>
  </w:abstractNum>
  <w:abstractNum w:abstractNumId="25">
    <w:nsid w:val="5B821215"/>
    <w:multiLevelType w:val="hybridMultilevel"/>
    <w:tmpl w:val="00000000"/>
    <w:lvl w:ilvl="0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99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08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6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4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8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360"/>
      </w:pPr>
      <w:rPr>
        <w:rFonts w:hint="default"/>
        <w:lang w:val="en-US" w:eastAsia="zh-CN" w:bidi="ar-SA"/>
      </w:rPr>
    </w:lvl>
  </w:abstractNum>
  <w:abstractNum w:abstractNumId="26">
    <w:nsid w:val="5F01BD01"/>
    <w:multiLevelType w:val="hybridMultilevel"/>
    <w:tmpl w:val="00000000"/>
    <w:lvl w:ilvl="0">
      <w:start w:val="1"/>
      <w:numFmt w:val="lowerLetter"/>
      <w:lvlText w:val="%1)"/>
      <w:lvlJc w:val="left"/>
      <w:pPr>
        <w:ind w:left="906" w:hanging="36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20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40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60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0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20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40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60" w:hanging="360"/>
      </w:pPr>
      <w:rPr>
        <w:rFonts w:hint="default"/>
        <w:lang w:val="en-US" w:eastAsia="zh-CN" w:bidi="ar-SA"/>
      </w:rPr>
    </w:lvl>
  </w:abstractNum>
  <w:abstractNum w:abstractNumId="27">
    <w:nsid w:val="62287A62"/>
    <w:multiLevelType w:val="hybridMultilevel"/>
    <w:tmpl w:val="00000000"/>
    <w:lvl w:ilvl="0">
      <w:start w:val="10"/>
      <w:numFmt w:val="decimal"/>
      <w:lvlText w:val="%1"/>
      <w:lvlJc w:val="left"/>
      <w:pPr>
        <w:ind w:left="836" w:hanging="477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36" w:hanging="477"/>
        <w:jc w:val="left"/>
      </w:pPr>
      <w:rPr>
        <w:rFonts w:ascii="Arial" w:eastAsia="Arial" w:hAnsi="Arial" w:cs="Arial" w:hint="default"/>
        <w:w w:val="99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92" w:hanging="47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8" w:hanging="47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4" w:hanging="47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70" w:hanging="47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96" w:hanging="47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22" w:hanging="47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48" w:hanging="477"/>
      </w:pPr>
      <w:rPr>
        <w:rFonts w:hint="default"/>
        <w:lang w:val="en-US" w:eastAsia="zh-CN" w:bidi="ar-SA"/>
      </w:rPr>
    </w:lvl>
  </w:abstractNum>
  <w:abstractNum w:abstractNumId="28">
    <w:nsid w:val="6569FD92"/>
    <w:multiLevelType w:val="hybridMultilevel"/>
    <w:tmpl w:val="00000000"/>
    <w:lvl w:ilvl="0">
      <w:start w:val="1"/>
      <w:numFmt w:val="lowerLetter"/>
      <w:lvlText w:val="%1)"/>
      <w:lvlJc w:val="left"/>
      <w:pPr>
        <w:ind w:left="980" w:hanging="42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2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6" w:hanging="420"/>
      </w:pPr>
      <w:rPr>
        <w:rFonts w:hint="default"/>
        <w:lang w:val="en-US" w:eastAsia="zh-CN" w:bidi="ar-SA"/>
      </w:rPr>
    </w:lvl>
  </w:abstractNum>
  <w:abstractNum w:abstractNumId="29">
    <w:nsid w:val="671192C0"/>
    <w:multiLevelType w:val="hybridMultilevel"/>
    <w:tmpl w:val="00000000"/>
    <w:lvl w:ilvl="0">
      <w:start w:val="0"/>
      <w:numFmt w:val="bullet"/>
      <w:lvlText w:val="—"/>
      <w:lvlJc w:val="left"/>
      <w:pPr>
        <w:ind w:left="970" w:hanging="390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2" w:hanging="39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3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6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28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0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2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4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6" w:hanging="390"/>
      </w:pPr>
      <w:rPr>
        <w:rFonts w:hint="default"/>
        <w:lang w:val="en-US" w:eastAsia="zh-CN" w:bidi="ar-SA"/>
      </w:rPr>
    </w:lvl>
  </w:abstractNum>
  <w:abstractNum w:abstractNumId="30">
    <w:nsid w:val="671EB512"/>
    <w:multiLevelType w:val="hybridMultilevel"/>
    <w:tmpl w:val="00000000"/>
    <w:lvl w:ilvl="0">
      <w:start w:val="1"/>
      <w:numFmt w:val="decimal"/>
      <w:lvlText w:val="%1"/>
      <w:lvlJc w:val="left"/>
      <w:pPr>
        <w:ind w:left="374" w:hanging="235"/>
        <w:jc w:val="left"/>
      </w:pPr>
      <w:rPr>
        <w:rFonts w:ascii="Arial" w:eastAsia="Arial" w:hAnsi="Arial" w:cs="Arial" w:hint="default"/>
        <w:b/>
        <w:bCs/>
        <w:w w:val="99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960" w:hanging="420"/>
        <w:jc w:val="left"/>
      </w:pPr>
      <w:rPr>
        <w:rFonts w:ascii="宋体" w:eastAsia="宋体" w:hAnsi="宋体" w:cs="宋体" w:hint="default"/>
        <w:w w:val="100"/>
        <w:sz w:val="20"/>
        <w:szCs w:val="2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4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8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73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77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82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1" w:hanging="420"/>
      </w:pPr>
      <w:rPr>
        <w:rFonts w:hint="default"/>
        <w:lang w:val="en-US" w:eastAsia="zh-CN" w:bidi="ar-SA"/>
      </w:rPr>
    </w:lvl>
  </w:abstractNum>
  <w:abstractNum w:abstractNumId="31">
    <w:nsid w:val="6A791623"/>
    <w:multiLevelType w:val="hybridMultilevel"/>
    <w:tmpl w:val="00000000"/>
    <w:lvl w:ilvl="0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99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08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6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4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8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360"/>
      </w:pPr>
      <w:rPr>
        <w:rFonts w:hint="default"/>
        <w:lang w:val="en-US" w:eastAsia="zh-CN" w:bidi="ar-SA"/>
      </w:rPr>
    </w:lvl>
  </w:abstractNum>
  <w:abstractNum w:abstractNumId="32">
    <w:nsid w:val="6ADCD1BD"/>
    <w:multiLevelType w:val="hybridMultilevel"/>
    <w:tmpl w:val="00000000"/>
    <w:lvl w:ilvl="0">
      <w:start w:val="0"/>
      <w:numFmt w:val="decimal"/>
      <w:lvlText w:val="%1"/>
      <w:lvlJc w:val="left"/>
      <w:pPr>
        <w:ind w:left="574" w:hanging="435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74" w:hanging="435"/>
        <w:jc w:val="left"/>
      </w:pPr>
      <w:rPr>
        <w:rFonts w:ascii="Arial" w:eastAsia="Arial" w:hAnsi="Arial" w:cs="Arial" w:hint="default"/>
        <w:b/>
        <w:bCs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—"/>
      <w:lvlJc w:val="left"/>
      <w:pPr>
        <w:ind w:left="970" w:hanging="390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84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86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88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1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93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5" w:hanging="390"/>
      </w:pPr>
      <w:rPr>
        <w:rFonts w:hint="default"/>
        <w:lang w:val="en-US" w:eastAsia="zh-CN" w:bidi="ar-SA"/>
      </w:rPr>
    </w:lvl>
  </w:abstractNum>
  <w:abstractNum w:abstractNumId="33">
    <w:nsid w:val="71ACC634"/>
    <w:multiLevelType w:val="hybridMultilevel"/>
    <w:tmpl w:val="00000000"/>
    <w:lvl w:ilvl="0">
      <w:start w:val="1"/>
      <w:numFmt w:val="lowerLetter"/>
      <w:lvlText w:val="%1)"/>
      <w:lvlJc w:val="left"/>
      <w:pPr>
        <w:ind w:left="980" w:hanging="420"/>
        <w:jc w:val="left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04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2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2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76" w:hanging="420"/>
      </w:pPr>
      <w:rPr>
        <w:rFonts w:hint="default"/>
        <w:lang w:val="en-US" w:eastAsia="zh-CN" w:bidi="ar-SA"/>
      </w:rPr>
    </w:lvl>
  </w:abstractNum>
  <w:abstractNum w:abstractNumId="34">
    <w:nsid w:val="721B76D2"/>
    <w:multiLevelType w:val="hybridMultilevel"/>
    <w:tmpl w:val="00000000"/>
    <w:lvl w:ilvl="0">
      <w:start w:val="0"/>
      <w:numFmt w:val="bullet"/>
      <w:lvlText w:val="—"/>
      <w:lvlJc w:val="left"/>
      <w:pPr>
        <w:ind w:left="1220" w:hanging="360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08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6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4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8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360"/>
      </w:pPr>
      <w:rPr>
        <w:rFonts w:hint="default"/>
        <w:lang w:val="en-US" w:eastAsia="zh-CN" w:bidi="ar-SA"/>
      </w:rPr>
    </w:lvl>
  </w:abstractNum>
  <w:abstractNum w:abstractNumId="35">
    <w:nsid w:val="78E7A3F9"/>
    <w:multiLevelType w:val="hybridMultilevel"/>
    <w:tmpl w:val="00000000"/>
    <w:lvl w:ilvl="0">
      <w:start w:val="0"/>
      <w:numFmt w:val="bullet"/>
      <w:lvlText w:val="—"/>
      <w:lvlJc w:val="left"/>
      <w:pPr>
        <w:ind w:left="540" w:hanging="390"/>
      </w:pPr>
      <w:rPr>
        <w:rFonts w:ascii="Arial" w:eastAsia="Arial" w:hAnsi="Arial" w:cs="Arial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96" w:hanging="39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52" w:hanging="3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08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64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20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76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32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88" w:hanging="390"/>
      </w:pPr>
      <w:rPr>
        <w:rFonts w:hint="default"/>
        <w:lang w:val="en-US" w:eastAsia="zh-CN" w:bidi="ar-SA"/>
      </w:rPr>
    </w:lvl>
  </w:abstractNum>
  <w:abstractNum w:abstractNumId="36">
    <w:nsid w:val="7939A2B8"/>
    <w:multiLevelType w:val="hybridMultilevel"/>
    <w:tmpl w:val="00000000"/>
    <w:lvl w:ilvl="0">
      <w:start w:val="1"/>
      <w:numFmt w:val="decimal"/>
      <w:lvlText w:val="%1）"/>
      <w:lvlJc w:val="left"/>
      <w:pPr>
        <w:ind w:left="1229" w:hanging="313"/>
        <w:jc w:val="left"/>
      </w:pPr>
      <w:rPr>
        <w:rFonts w:ascii="Arial" w:eastAsia="Arial" w:hAnsi="Arial" w:cs="Arial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08" w:hanging="3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6" w:hanging="3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4" w:hanging="3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2" w:hanging="3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0" w:hanging="3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8" w:hanging="3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6" w:hanging="3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313"/>
      </w:pPr>
      <w:rPr>
        <w:rFonts w:hint="default"/>
        <w:lang w:val="en-US" w:eastAsia="zh-CN" w:bidi="ar-SA"/>
      </w:rPr>
    </w:lvl>
  </w:abstractNum>
  <w:abstractNum w:abstractNumId="37">
    <w:nsid w:val="7D5B6C0E"/>
    <w:multiLevelType w:val="hybridMultilevel"/>
    <w:tmpl w:val="00000000"/>
    <w:lvl w:ilvl="0">
      <w:start w:val="0"/>
      <w:numFmt w:val="bullet"/>
      <w:lvlText w:val="—"/>
      <w:lvlJc w:val="left"/>
      <w:pPr>
        <w:ind w:left="1220" w:hanging="360"/>
      </w:pPr>
      <w:rPr>
        <w:rFonts w:ascii="Calibri" w:eastAsia="Calibri" w:hAnsi="Calibri" w:cs="Calibri" w:hint="default"/>
        <w:w w:val="100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08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96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84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48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36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24" w:hanging="360"/>
      </w:pPr>
      <w:rPr>
        <w:rFonts w:hint="default"/>
        <w:lang w:val="en-US" w:eastAsia="zh-CN" w:bidi="ar-SA"/>
      </w:rPr>
    </w:lvl>
  </w:abstractNum>
  <w:num w:numId="1">
    <w:abstractNumId w:val="37"/>
  </w:num>
  <w:num w:numId="2">
    <w:abstractNumId w:val="7"/>
  </w:num>
  <w:num w:numId="3">
    <w:abstractNumId w:val="34"/>
  </w:num>
  <w:num w:numId="4">
    <w:abstractNumId w:val="3"/>
  </w:num>
  <w:num w:numId="5">
    <w:abstractNumId w:val="15"/>
  </w:num>
  <w:num w:numId="6">
    <w:abstractNumId w:val="23"/>
  </w:num>
  <w:num w:numId="7">
    <w:abstractNumId w:val="28"/>
  </w:num>
  <w:num w:numId="8">
    <w:abstractNumId w:val="21"/>
  </w:num>
  <w:num w:numId="9">
    <w:abstractNumId w:val="2"/>
  </w:num>
  <w:num w:numId="10">
    <w:abstractNumId w:val="24"/>
  </w:num>
  <w:num w:numId="11">
    <w:abstractNumId w:val="33"/>
  </w:num>
  <w:num w:numId="12">
    <w:abstractNumId w:val="6"/>
  </w:num>
  <w:num w:numId="13">
    <w:abstractNumId w:val="4"/>
  </w:num>
  <w:num w:numId="14">
    <w:abstractNumId w:val="36"/>
  </w:num>
  <w:num w:numId="15">
    <w:abstractNumId w:val="1"/>
  </w:num>
  <w:num w:numId="16">
    <w:abstractNumId w:val="13"/>
  </w:num>
  <w:num w:numId="17">
    <w:abstractNumId w:val="8"/>
  </w:num>
  <w:num w:numId="18">
    <w:abstractNumId w:val="14"/>
  </w:num>
  <w:num w:numId="19">
    <w:abstractNumId w:val="0"/>
  </w:num>
  <w:num w:numId="20">
    <w:abstractNumId w:val="10"/>
  </w:num>
  <w:num w:numId="21">
    <w:abstractNumId w:val="26"/>
  </w:num>
  <w:num w:numId="22">
    <w:abstractNumId w:val="31"/>
  </w:num>
  <w:num w:numId="23">
    <w:abstractNumId w:val="5"/>
  </w:num>
  <w:num w:numId="24">
    <w:abstractNumId w:val="25"/>
  </w:num>
  <w:num w:numId="25">
    <w:abstractNumId w:val="22"/>
  </w:num>
  <w:num w:numId="26">
    <w:abstractNumId w:val="9"/>
  </w:num>
  <w:num w:numId="27">
    <w:abstractNumId w:val="30"/>
  </w:num>
  <w:num w:numId="28">
    <w:abstractNumId w:val="35"/>
  </w:num>
  <w:num w:numId="29">
    <w:abstractNumId w:val="17"/>
  </w:num>
  <w:num w:numId="30">
    <w:abstractNumId w:val="29"/>
  </w:num>
  <w:num w:numId="31">
    <w:abstractNumId w:val="27"/>
  </w:num>
  <w:num w:numId="32">
    <w:abstractNumId w:val="20"/>
  </w:num>
  <w:num w:numId="33">
    <w:abstractNumId w:val="16"/>
  </w:num>
  <w:num w:numId="34">
    <w:abstractNumId w:val="19"/>
  </w:num>
  <w:num w:numId="35">
    <w:abstractNumId w:val="18"/>
  </w:num>
  <w:num w:numId="36">
    <w:abstractNumId w:val="12"/>
  </w:num>
  <w:num w:numId="37">
    <w:abstractNumId w:val="11"/>
  </w:num>
  <w:num w:numId="3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374" w:hanging="235"/>
      <w:outlineLvl w:val="0"/>
    </w:pPr>
    <w:rPr>
      <w:rFonts w:ascii="宋体" w:eastAsia="宋体" w:hAnsi="宋体" w:cs="宋体"/>
      <w:b/>
      <w:bCs/>
      <w:sz w:val="28"/>
      <w:szCs w:val="28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574" w:hanging="435"/>
      <w:outlineLvl w:val="1"/>
    </w:pPr>
    <w:rPr>
      <w:rFonts w:ascii="宋体" w:eastAsia="宋体" w:hAnsi="宋体" w:cs="宋体"/>
      <w:b/>
      <w:bCs/>
      <w:sz w:val="26"/>
      <w:szCs w:val="26"/>
      <w:lang w:val="en-US" w:eastAsia="zh-CN" w:bidi="ar-SA"/>
    </w:rPr>
  </w:style>
  <w:style w:type="paragraph" w:styleId="Heading3">
    <w:name w:val="heading 3"/>
    <w:basedOn w:val="Normal"/>
    <w:uiPriority w:val="1"/>
    <w:qFormat/>
    <w:pPr>
      <w:spacing w:before="127"/>
      <w:ind w:left="140"/>
      <w:outlineLvl w:val="2"/>
    </w:pPr>
    <w:rPr>
      <w:rFonts w:ascii="Arial" w:eastAsia="Arial" w:hAnsi="Arial" w:cs="Arial"/>
      <w:b/>
      <w:bCs/>
      <w:sz w:val="22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46"/>
      <w:ind w:left="324" w:right="186" w:hanging="324"/>
    </w:pPr>
    <w:rPr>
      <w:rFonts w:ascii="宋体" w:eastAsia="宋体" w:hAnsi="宋体" w:cs="宋体"/>
      <w:sz w:val="22"/>
      <w:szCs w:val="22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146"/>
      <w:ind w:left="139"/>
    </w:pPr>
    <w:rPr>
      <w:rFonts w:ascii="宋体" w:eastAsia="宋体" w:hAnsi="宋体" w:cs="宋体"/>
      <w:sz w:val="22"/>
      <w:szCs w:val="22"/>
      <w:lang w:val="en-US" w:eastAsia="zh-CN" w:bidi="ar-SA"/>
    </w:rPr>
  </w:style>
  <w:style w:type="paragraph" w:styleId="TOC3">
    <w:name w:val="toc 3"/>
    <w:basedOn w:val="Normal"/>
    <w:uiPriority w:val="1"/>
    <w:qFormat/>
    <w:pPr>
      <w:spacing w:before="470"/>
      <w:ind w:left="140"/>
    </w:pPr>
    <w:rPr>
      <w:rFonts w:ascii="Arial" w:eastAsia="Arial" w:hAnsi="Arial" w:cs="Arial"/>
      <w:sz w:val="22"/>
      <w:szCs w:val="22"/>
      <w:lang w:val="en-US" w:eastAsia="zh-CN" w:bidi="ar-SA"/>
    </w:rPr>
  </w:style>
  <w:style w:type="paragraph" w:styleId="TOC4">
    <w:name w:val="toc 4"/>
    <w:basedOn w:val="Normal"/>
    <w:uiPriority w:val="1"/>
    <w:qFormat/>
    <w:pPr>
      <w:spacing w:before="147"/>
      <w:ind w:left="727" w:hanging="369"/>
    </w:pPr>
    <w:rPr>
      <w:rFonts w:ascii="宋体" w:eastAsia="宋体" w:hAnsi="宋体" w:cs="宋体"/>
      <w:sz w:val="22"/>
      <w:szCs w:val="22"/>
      <w:lang w:val="en-US" w:eastAsia="zh-CN" w:bidi="ar-SA"/>
    </w:rPr>
  </w:style>
  <w:style w:type="paragraph" w:styleId="TOC5">
    <w:name w:val="toc 5"/>
    <w:basedOn w:val="Normal"/>
    <w:uiPriority w:val="1"/>
    <w:qFormat/>
    <w:pPr>
      <w:spacing w:before="147"/>
      <w:ind w:left="580"/>
    </w:pPr>
    <w:rPr>
      <w:rFonts w:ascii="宋体" w:eastAsia="宋体" w:hAnsi="宋体" w:cs="宋体"/>
      <w:sz w:val="22"/>
      <w:szCs w:val="22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0"/>
      <w:szCs w:val="20"/>
      <w:lang w:val="en-US" w:eastAsia="zh-CN" w:bidi="ar-SA"/>
    </w:rPr>
  </w:style>
  <w:style w:type="paragraph" w:styleId="Title">
    <w:name w:val="Title"/>
    <w:basedOn w:val="Normal"/>
    <w:uiPriority w:val="1"/>
    <w:qFormat/>
    <w:pPr>
      <w:ind w:right="177"/>
      <w:jc w:val="center"/>
    </w:pPr>
    <w:rPr>
      <w:rFonts w:ascii="宋体" w:eastAsia="宋体" w:hAnsi="宋体" w:cs="宋体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33"/>
      <w:ind w:left="980" w:hanging="36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www.iso.org/iso/foreword.html" TargetMode="Externa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image" Target="media/image1.jpeg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yperlink" Target="http://www.iso.org/obp" TargetMode="External" /><Relationship Id="rId17" Type="http://schemas.openxmlformats.org/officeDocument/2006/relationships/hyperlink" Target="http://www.electropedia.org/" TargetMode="Externa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yperlink" Target="https://d.book118.com/817155144155006035" TargetMode="External" /><Relationship Id="rId22" Type="http://schemas.openxmlformats.org/officeDocument/2006/relationships/header" Target="header12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yperlink" Target="http://www.iso.org/directives" TargetMode="External" /><Relationship Id="rId9" Type="http://schemas.openxmlformats.org/officeDocument/2006/relationships/hyperlink" Target="http://www.iso.org/patents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 50001:2018能源管理体系—要求及使用指南</dc:title>
  <dc:creator>Dan Deng</dc:creator>
  <cp:revision>0</cp:revision>
  <dcterms:created xsi:type="dcterms:W3CDTF">2024-01-31T13:33:53Z</dcterms:created>
  <dcterms:modified xsi:type="dcterms:W3CDTF">2024-01-31T13:33:53Z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2024-01-31T00:00:00Z</vt:filetime>
  </property>
</Properties>
</file>