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预混料项目调研分析报告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2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_Toc32628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val="en-US"/>
          </w:rPr>
          <w:t>一、预混料项目可持续发展</w:t>
        </w:r>
        <w:r>
          <w:tab/>
        </w:r>
        <w:r>
          <w:fldChar w:fldCharType="begin"/>
        </w:r>
        <w:r>
          <w:instrText xml:space="preserve"> PAGEREF _Toc23403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_Toc11279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_Toc17461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val="en-US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_Toc30336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_Toc25756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_Toc27583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_Toc158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_Toc10009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_Toc6291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val="en-US"/>
          </w:rPr>
          <w:t>三、环保分析</w:t>
        </w:r>
        <w:r>
          <w:tab/>
        </w:r>
        <w:r>
          <w:fldChar w:fldCharType="begin"/>
        </w:r>
        <w:r>
          <w:instrText xml:space="preserve"> PAGEREF _Toc6358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val="en-US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_Toc20392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val="en-US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_Toc9040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val="en-US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_Toc9004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val="en-US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_Toc18831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val="en-US"/>
          </w:rPr>
          <w:t>四、社交媒体与在线营销</w:t>
        </w:r>
        <w:r>
          <w:tab/>
        </w:r>
        <w:r>
          <w:fldChar w:fldCharType="begin"/>
        </w:r>
        <w:r>
          <w:instrText xml:space="preserve"> PAGEREF _Toc24881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_Toc17372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_Toc340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_Toc12788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val="en-US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_Toc22697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val="en-US"/>
          </w:rPr>
          <w:t>(一)、预混料行业企业在确定愿景及使命时的风险识别</w:t>
        </w:r>
        <w:r>
          <w:tab/>
        </w:r>
        <w:r>
          <w:fldChar w:fldCharType="begin"/>
        </w:r>
        <w:r>
          <w:instrText xml:space="preserve"> PAGEREF _Toc8124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val="en-US"/>
          </w:rPr>
          <w:t>(二)、制定预混料行业企业战略目标的风险识别</w:t>
        </w:r>
        <w:r>
          <w:tab/>
        </w:r>
        <w:r>
          <w:fldChar w:fldCharType="begin"/>
        </w:r>
        <w:r>
          <w:instrText xml:space="preserve"> PAGEREF _Toc10780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4" w:history="1">
        <w:r>
          <w:rPr>
            <w:rFonts w:ascii="仿宋" w:eastAsia="仿宋" w:hAnsi="仿宋" w:cs="仿宋" w:hint="eastAsia"/>
            <w:lang w:val="en-US"/>
          </w:rPr>
          <w:t>(三)、预混料行业企业战略分析的风险识别</w:t>
        </w:r>
        <w:r>
          <w:tab/>
        </w:r>
        <w:r>
          <w:fldChar w:fldCharType="begin"/>
        </w:r>
        <w:r>
          <w:instrText xml:space="preserve"> PAGEREF _Toc30884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val="en-US"/>
          </w:rPr>
          <w:t>(四)、预混料行业企业战略选择的风险识别</w:t>
        </w:r>
        <w:r>
          <w:tab/>
        </w:r>
        <w:r>
          <w:fldChar w:fldCharType="begin"/>
        </w:r>
        <w:r>
          <w:instrText xml:space="preserve"> PAGEREF _Toc24262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val="en-US"/>
          </w:rPr>
          <w:t>(五)、预混料行业企业战略实施的风险识别</w:t>
        </w:r>
        <w:r>
          <w:tab/>
        </w:r>
        <w:r>
          <w:fldChar w:fldCharType="begin"/>
        </w:r>
        <w:r>
          <w:instrText xml:space="preserve"> PAGEREF _Toc10014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80" w:history="1">
        <w:r>
          <w:rPr>
            <w:rFonts w:ascii="仿宋" w:eastAsia="仿宋" w:hAnsi="仿宋" w:cs="仿宋" w:hint="eastAsia"/>
            <w:lang w:val="en-US"/>
          </w:rPr>
          <w:t>六、工程设计说明</w:t>
        </w:r>
        <w:r>
          <w:tab/>
        </w:r>
        <w:r>
          <w:fldChar w:fldCharType="begin"/>
        </w:r>
        <w:r>
          <w:instrText xml:space="preserve"> PAGEREF _Toc19980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_Toc18644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val="en-US"/>
          </w:rPr>
          <w:t>(二)、预混料项目工程建设标准规范</w:t>
        </w:r>
        <w:r>
          <w:tab/>
        </w:r>
        <w:r>
          <w:fldChar w:fldCharType="begin"/>
        </w:r>
        <w:r>
          <w:instrText xml:space="preserve"> PAGEREF _Toc31609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val="en-US"/>
          </w:rPr>
          <w:t>(三)、预混料项目总平面设计要求</w:t>
        </w:r>
        <w:r>
          <w:tab/>
        </w:r>
        <w:r>
          <w:fldChar w:fldCharType="begin"/>
        </w:r>
        <w:r>
          <w:instrText xml:space="preserve"> PAGEREF _Toc25984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_Toc8377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_Toc17812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_Toc19488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val="en-US"/>
          </w:rPr>
          <w:t>七、风险应对说明</w:t>
        </w:r>
        <w:r>
          <w:tab/>
        </w:r>
        <w:r>
          <w:fldChar w:fldCharType="begin"/>
        </w:r>
        <w:r>
          <w:instrText xml:space="preserve"> PAGEREF _Toc12053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_Toc24729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_Toc16979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_Toc27133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_Toc15722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_Toc4375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_Toc25766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_Toc5351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val="en-US"/>
          </w:rPr>
          <w:t>(八)、其他风险分析</w:t>
        </w:r>
        <w:r>
          <w:tab/>
        </w:r>
        <w:r>
          <w:fldChar w:fldCharType="begin"/>
        </w:r>
        <w:r>
          <w:instrText xml:space="preserve"> PAGEREF _Toc32585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_Toc6883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val="en-US"/>
          </w:rPr>
          <w:t>八、节能减排措施</w:t>
        </w:r>
        <w:r>
          <w:tab/>
        </w:r>
        <w:r>
          <w:fldChar w:fldCharType="begin"/>
        </w:r>
        <w:r>
          <w:instrText xml:space="preserve"> PAGEREF _Toc4933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_Toc30271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_Toc8158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_Toc18060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val="en-US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_Toc22102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_Toc4134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_Toc2328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val="en-US"/>
          </w:rPr>
          <w:t>十、安全管理与风险预防</w:t>
        </w:r>
        <w:r>
          <w:tab/>
        </w:r>
        <w:r>
          <w:fldChar w:fldCharType="begin"/>
        </w:r>
        <w:r>
          <w:instrText xml:space="preserve"> PAGEREF _Toc17744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val="en-US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_Toc3311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val="en-US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_Toc11501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val="en-US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_Toc25938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411" w:history="1">
        <w:r>
          <w:rPr>
            <w:rFonts w:ascii="仿宋" w:eastAsia="仿宋" w:hAnsi="仿宋" w:cs="仿宋" w:hint="eastAsia"/>
            <w:lang w:val="en-US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_Toc15411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_Toc7126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_Toc25293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_Toc25651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_Toc1358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val="en-US"/>
          </w:rPr>
          <w:t>十二、行业壁垒</w:t>
        </w:r>
        <w:r>
          <w:tab/>
        </w:r>
        <w:r>
          <w:fldChar w:fldCharType="begin"/>
        </w:r>
        <w:r>
          <w:instrText xml:space="preserve"> PAGEREF _Toc31115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_Toc32729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_Toc18130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_Toc7018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_Toc15240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_Toc29232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val="en-US"/>
          </w:rPr>
          <w:t>十三、预混料项目合作伙伴与利益相关者</w:t>
        </w:r>
        <w:r>
          <w:tab/>
        </w:r>
        <w:r>
          <w:fldChar w:fldCharType="begin"/>
        </w:r>
        <w:r>
          <w:instrText xml:space="preserve"> PAGEREF _Toc30494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_Toc25549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_Toc2247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val="en-US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_Toc11902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_Toc19028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val="en-US"/>
          </w:rPr>
          <w:t>十五、风险性分析</w:t>
        </w:r>
        <w:r>
          <w:tab/>
        </w:r>
        <w:r>
          <w:fldChar w:fldCharType="begin"/>
        </w:r>
        <w:r>
          <w:instrText xml:space="preserve"> PAGEREF _Toc5509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_Toc26247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_Toc28596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_Toc25538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_Toc10850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_Toc22535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_Toc2648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_Toc2073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_Toc15724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val="en-US"/>
          </w:rPr>
          <w:t>十六、应急管理与安全防护</w:t>
        </w:r>
        <w:r>
          <w:tab/>
        </w:r>
        <w:r>
          <w:fldChar w:fldCharType="begin"/>
        </w:r>
        <w:r>
          <w:instrText xml:space="preserve"> PAGEREF _Toc2977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406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_Toc10406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_Toc1053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_Toc15832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val="en-US"/>
          </w:rPr>
          <w:t>十七、差异化战略</w:t>
        </w:r>
        <w:r>
          <w:tab/>
        </w:r>
        <w:r>
          <w:fldChar w:fldCharType="begin"/>
        </w:r>
        <w:r>
          <w:instrText xml:space="preserve"> PAGEREF _Toc16694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_Toc9888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_Toc25668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_Toc27744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_Toc12518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_Toc11508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_Toc31575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val="en-US"/>
          </w:rPr>
          <w:t>十九、安全与环境问题的沟通与协调</w:t>
        </w:r>
        <w:r>
          <w:tab/>
        </w:r>
        <w:r>
          <w:fldChar w:fldCharType="begin"/>
        </w:r>
        <w:r>
          <w:instrText xml:space="preserve"> PAGEREF _Toc10809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_Toc27237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_Toc12955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8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_Toc12858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val="en-US"/>
          </w:rPr>
          <w:t>二十、合同与法务管理</w:t>
        </w:r>
        <w:r>
          <w:tab/>
        </w:r>
        <w:r>
          <w:fldChar w:fldCharType="begin"/>
        </w:r>
        <w:r>
          <w:instrText xml:space="preserve"> PAGEREF _Toc4934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_Toc22105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_Toc2222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_Toc13426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https://d.book118.com/818006073072006043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预混料项目调研分析报告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预混料项目调研分析报告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预混料项目调研分析报告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预混料项目调研分析报告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预混料项目调研分析报告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392924"/>
    <w:rsid w:val="463929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18006073072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2024-02-21T22:47:00Z</dcterms:created>
  <dcterms:modified xsi:type="dcterms:W3CDTF">2024-02-21T22:47:50Z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