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智能儿童成长仪相关行业公司成立方案及可行性研究报告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(七)、智能儿童成长仪项目建设必要性分析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三、智能儿童成长仪项目概况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(二)、智能儿童成长仪项目提出的理由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3" w:history="1">
        <w:r>
          <w:rPr>
            <w:rFonts w:ascii="仿宋" w:eastAsia="仿宋" w:hAnsi="仿宋" w:cs="仿宋" w:hint="eastAsia"/>
            <w:lang w:eastAsia="zh-CN"/>
          </w:rPr>
          <w:t>(三)、智能儿童成长仪项目选址</w:t>
        </w:r>
        <w:r>
          <w:tab/>
        </w:r>
        <w:r>
          <w:fldChar w:fldCharType="begin"/>
        </w:r>
        <w:r>
          <w:instrText xml:space="preserve"> PAGEREF _Toc26313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(六)、智能儿童成长仪项目投资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(七)、智能儿童成长仪项目进度规划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(九)、智能儿童成长仪项目综合评价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(一)、智能儿童成长仪项目背景分析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(二)、智能儿童成长仪项目建设必要性分析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32" w:history="1">
        <w:r>
          <w:rPr>
            <w:rFonts w:ascii="仿宋" w:eastAsia="仿宋" w:hAnsi="仿宋" w:cs="仿宋" w:hint="eastAsia"/>
            <w:lang w:eastAsia="zh-CN"/>
          </w:rPr>
          <w:t>七、智能儿童成长仪项目风险分析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(一)、智能儿童成长仪项目风险分析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(二)、智能儿童成长仪项目风险对策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八、智能儿童成长仪项目经济效益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(三)、智能儿童成长仪项目盈利能力分析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(一)、智能儿童成长仪项目进度安排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eastAsia="zh-CN"/>
          </w:rPr>
          <w:t>(二)、智能儿童成长仪项目实施保障措施</w:t>
        </w:r>
        <w:r>
          <w:tab/>
        </w:r>
        <w:r>
          <w:fldChar w:fldCharType="begin"/>
        </w:r>
        <w:r>
          <w:instrText xml:space="preserve"> PAGEREF _Toc6217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(一)、社会责任智能儿童成长仪项目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_Toc18908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_Toc17486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(二)、合作智能儿童成长仪项目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7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7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6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https://d.book118.com/818011045142006031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智能儿童成长仪相关行业公司成立方案及可行性研究报告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智能儿童成长仪相关行业公司成立方案及可行性研究报告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智能儿童成长仪相关行业公司成立方案及可行性研究报告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智能儿童成长仪相关行业公司成立方案及可行性研究报告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智能儿童成长仪相关行业公司成立方案及可行性研究报告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011045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2024-01-19T21:33:00Z</dcterms:created>
  <dcterms:modified xsi:type="dcterms:W3CDTF">2024-01-19T21:34:01Z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643572910EAD4561A89E030861900E57_11</vt:lpwstr>
  </property>
  <property fmtid="{D5CDD505-2E9C-101B-9397-08002B2CF9AE}" pid="3" name="KSOProductBuildVer">
    <vt:lpwstr>2052-12.1.0.16120</vt:lpwstr>
  </property>
</Properties>
</file>