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印花纹理项目构思建设方案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5841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_Toc25841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8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_Toc768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78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_Toc10478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43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_Toc32643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6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_Toc2196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00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_Toc21800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46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_Toc19846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87" w:history="1">
        <w:r>
          <w:rPr>
            <w:rFonts w:ascii="仿宋" w:eastAsia="仿宋" w:hAnsi="仿宋" w:cs="仿宋" w:hint="eastAsia"/>
            <w:lang w:eastAsia="zh-CN"/>
          </w:rPr>
          <w:t>二、经济影响分析</w:t>
        </w:r>
        <w:r>
          <w:tab/>
        </w:r>
        <w:r>
          <w:fldChar w:fldCharType="begin"/>
        </w:r>
        <w:r>
          <w:instrText xml:space="preserve"> PAGEREF _Toc18887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83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_Toc26083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91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_Toc23591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92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_Toc25092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32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_Toc32032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09" w:history="1">
        <w:r>
          <w:rPr>
            <w:rFonts w:ascii="仿宋" w:eastAsia="仿宋" w:hAnsi="仿宋" w:cs="仿宋" w:hint="eastAsia"/>
            <w:lang w:eastAsia="zh-CN"/>
          </w:rPr>
          <w:t>三、印花纹理项目概论</w:t>
        </w:r>
        <w:r>
          <w:tab/>
        </w:r>
        <w:r>
          <w:fldChar w:fldCharType="begin"/>
        </w:r>
        <w:r>
          <w:instrText xml:space="preserve"> PAGEREF _Toc12709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67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_Toc7867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57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_Toc8957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35" w:history="1">
        <w:r>
          <w:rPr>
            <w:rFonts w:ascii="仿宋" w:eastAsia="仿宋" w:hAnsi="仿宋" w:cs="仿宋" w:hint="eastAsia"/>
            <w:lang w:eastAsia="zh-CN"/>
          </w:rPr>
          <w:t>四、财务管理与成本控制</w:t>
        </w:r>
        <w:r>
          <w:tab/>
        </w:r>
        <w:r>
          <w:fldChar w:fldCharType="begin"/>
        </w:r>
        <w:r>
          <w:instrText xml:space="preserve"> PAGEREF _Toc12635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81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_Toc31681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45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_Toc10045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9" w:history="1">
        <w:r>
          <w:rPr>
            <w:rFonts w:ascii="仿宋" w:eastAsia="仿宋" w:hAnsi="仿宋" w:cs="仿宋" w:hint="eastAsia"/>
            <w:lang w:eastAsia="zh-CN"/>
          </w:rPr>
          <w:t>五、社会影响分析</w:t>
        </w:r>
        <w:r>
          <w:tab/>
        </w:r>
        <w:r>
          <w:fldChar w:fldCharType="begin"/>
        </w:r>
        <w:r>
          <w:instrText xml:space="preserve"> PAGEREF _Toc819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41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_Toc6341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76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_Toc19876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56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_Toc14456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30" w:history="1">
        <w:r>
          <w:rPr>
            <w:rFonts w:ascii="仿宋" w:eastAsia="仿宋" w:hAnsi="仿宋" w:cs="仿宋" w:hint="eastAsia"/>
            <w:lang w:eastAsia="zh-CN"/>
          </w:rPr>
          <w:t>六、资源开发及综合利用分析</w:t>
        </w:r>
        <w:r>
          <w:tab/>
        </w:r>
        <w:r>
          <w:fldChar w:fldCharType="begin"/>
        </w:r>
        <w:r>
          <w:instrText xml:space="preserve"> PAGEREF _Toc23830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42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_Toc31642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9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_Toc2019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95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_Toc17595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47" w:history="1">
        <w:r>
          <w:rPr>
            <w:rFonts w:ascii="仿宋" w:eastAsia="仿宋" w:hAnsi="仿宋" w:cs="仿宋" w:hint="eastAsia"/>
            <w:lang w:eastAsia="zh-CN"/>
          </w:rPr>
          <w:t>七、环境保护与治理方案</w:t>
        </w:r>
        <w:r>
          <w:tab/>
        </w:r>
        <w:r>
          <w:fldChar w:fldCharType="begin"/>
        </w:r>
        <w:r>
          <w:instrText xml:space="preserve"> PAGEREF _Toc23947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4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_Toc1984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85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_Toc17185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41" w:history="1">
        <w:r>
          <w:rPr>
            <w:rFonts w:ascii="仿宋" w:eastAsia="仿宋" w:hAnsi="仿宋" w:cs="仿宋" w:hint="eastAsia"/>
            <w:lang w:eastAsia="zh-CN"/>
          </w:rPr>
          <w:t>八、项目变更管理</w:t>
        </w:r>
        <w:r>
          <w:tab/>
        </w:r>
        <w:r>
          <w:fldChar w:fldCharType="begin"/>
        </w:r>
        <w:r>
          <w:instrText xml:space="preserve"> PAGEREF _Toc23341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3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_Toc3053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13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_Toc18613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88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_Toc14388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09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_Toc32609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45" w:history="1">
        <w:r>
          <w:rPr>
            <w:rFonts w:ascii="仿宋" w:eastAsia="仿宋" w:hAnsi="仿宋" w:cs="仿宋" w:hint="eastAsia"/>
            <w:lang w:eastAsia="zh-CN"/>
          </w:rPr>
          <w:t>九、项目质量与标准</w:t>
        </w:r>
        <w:r>
          <w:tab/>
        </w:r>
        <w:r>
          <w:fldChar w:fldCharType="begin"/>
        </w:r>
        <w:r>
          <w:instrText xml:space="preserve"> PAGEREF _Toc4945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95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_Toc23495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71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_Toc29571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78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_Toc7978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59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_Toc12559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43" w:history="1">
        <w:r>
          <w:rPr>
            <w:rFonts w:ascii="仿宋" w:eastAsia="仿宋" w:hAnsi="仿宋" w:cs="仿宋" w:hint="eastAsia"/>
            <w:lang w:eastAsia="zh-CN"/>
          </w:rPr>
          <w:t>十、土地利用与规划方案</w:t>
        </w:r>
        <w:r>
          <w:tab/>
        </w:r>
        <w:r>
          <w:fldChar w:fldCharType="begin"/>
        </w:r>
        <w:r>
          <w:instrText xml:space="preserve"> PAGEREF _Toc13443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50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_Toc22450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833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_Toc6833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74" w:history="1">
        <w:r>
          <w:rPr>
            <w:rFonts w:ascii="仿宋" w:eastAsia="仿宋" w:hAnsi="仿宋" w:cs="仿宋" w:hint="eastAsia"/>
            <w:lang w:eastAsia="zh-CN"/>
          </w:rPr>
          <w:t>十一、项目进度计划</w:t>
        </w:r>
        <w:r>
          <w:tab/>
        </w:r>
        <w:r>
          <w:fldChar w:fldCharType="begin"/>
        </w:r>
        <w:r>
          <w:instrText xml:space="preserve"> PAGEREF _Toc27774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1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_Toc1391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86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_Toc13186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04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_Toc4804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42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_Toc31742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44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_Toc8444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02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_Toc28402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41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_Toc29041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48" w:history="1">
        <w:r>
          <w:rPr>
            <w:rFonts w:ascii="仿宋" w:eastAsia="仿宋" w:hAnsi="仿宋" w:cs="仿宋" w:hint="eastAsia"/>
            <w:lang w:eastAsia="zh-CN"/>
          </w:rPr>
          <w:t>十二、项目实施与管理方案</w:t>
        </w:r>
        <w:r>
          <w:tab/>
        </w:r>
        <w:r>
          <w:fldChar w:fldCharType="begin"/>
        </w:r>
        <w:r>
          <w:instrText xml:space="preserve"> PAGEREF _Toc31548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94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_Toc26294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35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_Toc5035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88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_Toc24788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93" w:history="1">
        <w:r>
          <w:rPr>
            <w:rFonts w:ascii="仿宋" w:eastAsia="仿宋" w:hAnsi="仿宋" w:cs="仿宋" w:hint="eastAsia"/>
            <w:lang w:eastAsia="zh-CN"/>
          </w:rPr>
          <w:t>十三、知识产权管理与保护</w:t>
        </w:r>
        <w:r>
          <w:tab/>
        </w:r>
        <w:r>
          <w:fldChar w:fldCharType="begin"/>
        </w:r>
        <w:r>
          <w:instrText xml:space="preserve"> PAGEREF _Toc22193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86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_Toc4286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66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_Toc13466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61" w:history="1">
        <w:r>
          <w:rPr>
            <w:rFonts w:ascii="仿宋" w:eastAsia="仿宋" w:hAnsi="仿宋" w:cs="仿宋" w:hint="eastAsia"/>
            <w:lang w:eastAsia="zh-CN"/>
          </w:rPr>
          <w:t>十四、企业合规与伦理</w:t>
        </w:r>
        <w:r>
          <w:tab/>
        </w:r>
        <w:r>
          <w:fldChar w:fldCharType="begin"/>
        </w:r>
        <w:r>
          <w:instrText xml:space="preserve"> PAGEREF _Toc9261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04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_Toc4204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74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_Toc30074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43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_Toc30943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5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_Toc1845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14" w:history="1">
        <w:r>
          <w:rPr>
            <w:rFonts w:ascii="仿宋" w:eastAsia="仿宋" w:hAnsi="仿宋" w:cs="仿宋" w:hint="eastAsia"/>
            <w:lang w:eastAsia="zh-CN"/>
          </w:rPr>
          <w:t>十五、合作与交流机制建立</w:t>
        </w:r>
        <w:r>
          <w:tab/>
        </w:r>
        <w:r>
          <w:fldChar w:fldCharType="begin"/>
        </w:r>
        <w:r>
          <w:instrText xml:space="preserve"> PAGEREF _Toc16914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91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_Toc4491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42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_Toc19942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51" w:history="1">
        <w:r>
          <w:rPr>
            <w:rFonts w:ascii="仿宋" w:eastAsia="仿宋" w:hAnsi="仿宋" w:cs="仿宋" w:hint="eastAsia"/>
            <w:lang w:eastAsia="zh-CN"/>
          </w:rPr>
          <w:t>十六、人力资源管理与开发</w:t>
        </w:r>
        <w:r>
          <w:tab/>
        </w:r>
        <w:r>
          <w:fldChar w:fldCharType="begin"/>
        </w:r>
        <w:r>
          <w:instrText xml:space="preserve"> PAGEREF _Toc22451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_Toc35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59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_Toc28159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5" w:history="1">
        <w:r>
          <w:rPr>
            <w:rFonts w:ascii="仿宋" w:eastAsia="仿宋" w:hAnsi="仿宋" w:cs="仿宋" w:hint="eastAsia"/>
            <w:lang w:eastAsia="zh-CN"/>
          </w:rPr>
          <w:t>十七、设施与设备管理</w:t>
        </w:r>
        <w:r>
          <w:tab/>
        </w:r>
        <w:r>
          <w:fldChar w:fldCharType="begin"/>
        </w:r>
        <w:r>
          <w:instrText xml:space="preserve"> PAGEREF _Toc1235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98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_Toc7498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8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_Toc638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24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_Toc14024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56" w:history="1">
        <w:r>
          <w:rPr>
            <w:rFonts w:ascii="仿宋" w:eastAsia="仿宋" w:hAnsi="仿宋" w:cs="仿宋" w:hint="eastAsia"/>
            <w:lang w:eastAsia="zh-CN"/>
          </w:rPr>
          <w:t>十八、法律法规与政策遵循</w:t>
        </w:r>
        <w:r>
          <w:tab/>
        </w:r>
        <w:r>
          <w:fldChar w:fldCharType="begin"/>
        </w:r>
        <w:r>
          <w:instrText xml:space="preserve"> PAGEREF _Toc24356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7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_Toc917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64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_Toc13864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85" w:history="1">
        <w:r>
          <w:rPr>
            <w:rFonts w:ascii="仿宋" w:eastAsia="仿宋" w:hAnsi="仿宋" w:cs="仿宋" w:hint="eastAsia"/>
            <w:lang w:eastAsia="zh-CN"/>
          </w:rPr>
          <w:t>十九、成果转化与推广应用</w:t>
        </w:r>
        <w:r>
          <w:tab/>
        </w:r>
        <w:r>
          <w:fldChar w:fldCharType="begin"/>
        </w:r>
        <w:r>
          <w:instrText xml:space="preserve"> PAGEREF _Toc5485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13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_Toc20113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70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_Toc10870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5841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768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0478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印花纹理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印花纹理项目将进行详细的生态影响评估，确保不会对当地的动植物种群和自然栖息地造成负面影响。如果项目地点附近有重要的生物栖息地或生态敏感区，项目将重新考虑建设地点或采取相应的保护措施。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印花纹理项目将积极采用可持续材料，如再生塑料和生物降解材料，以减少对环境的影响。项目还将推行废物减量和回收计划，例如通过再利用工业废料或建立回收系统。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印花纹理项目还将参与当地的环保活动和计划，如资助当地的环境保护项目或与社区合作进行环保宣传活动。通过这些活动，项目不仅能够提高自身的环境表现，还能在当地社区中树立积极的环保形象。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2643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印花纹理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印花纹理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印花纹理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196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印花纹理项目将采用绿色屋顶和生态墙等环境友好型建筑设计，这些设计不仅有助于改善空气质量，还能为城市野生动植物提供栖息地。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印花纹理项目将建立高效的废水处理系统，确保所有工业废水在排放前都经过适当处理，达到或超过环保标准。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印花纹理项目将致力于使用清洁能源，如太阳能和风能，减少对化石燃料的依赖。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印花纹理项目将举办环保教育研讨会，向员工和当地社区普及环保知识，提升对环境保护重要性的认识。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1800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在印花纹理项目启动前，将进行一系列深入的地质调查，包括钻探和土壤取样，以深入了解项目区域的地层结构和土壤组成。特别是对于土壤的承载能力和地下水位的深度进行详细评估。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印花纹理项目将通过地下水位监测系统定期检测水位变化，以预测和预防由高地下水位可能引起的地基问题。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印花纹理项目将进行详尽的水文和地形分析，以识别可能的洪水和泥石流风险区。基于这些分析，项目将设计防洪设施，如提高地基、构建防洪墙和排水沟。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印花纹理项目还将考虑建设排水系统，以减少地表水对土壤稳定性的影响。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完成初始的地质风险评估后，印花纹理项目将安装长期地质监测设备，如倾斜仪、裂缝计和地下水位计，以持续监测地质条件的变化。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9846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印花纹理项目将通过这些措施来适应和尊重特殊环境条件，确保项目的可持续发展，同时减少对环境的负面影响。这不仅有助于保护自然和文化遗产，还能提升项目在社会责任方面的表现和形象。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8887"/>
      <w:r>
        <w:rPr>
          <w:rFonts w:ascii="仿宋" w:eastAsia="仿宋" w:hAnsi="仿宋" w:cs="仿宋" w:hint="eastAsia"/>
          <w:sz w:val="28"/>
          <w:lang w:eastAsia="zh-CN"/>
        </w:rPr>
        <w:t>二、经济影响分析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6083"/>
      <w:r>
        <w:rPr>
          <w:rFonts w:ascii="仿宋" w:eastAsia="仿宋" w:hAnsi="仿宋" w:cs="仿宋" w:hint="eastAsia"/>
          <w:lang w:eastAsia="zh-CN"/>
        </w:rPr>
        <w:t>(一)、经济费用效益或费用效果分析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项目总成本评估：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初始投资成本：假设土地购置成本为XX万元，建筑和基础设施建设成本为XX万元，设备采购和安装费用为XX万元。因此，项目的总初始投资成本估计为XX万元。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运营成本：每年的运营成本包括人力资源成本XX万元，原材料采购XX万元，能源消耗XX万元，维护和修理XX万元。因此，项目的年运营成本估计为XX万元。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环境和社会成本：环境保护措施预计年费用为XX万元，社区补偿和支持预算为XX万元，因此总计为XX万元。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预期收益分析：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 直接收益：假设印花纹理项目的产品或服务年销售收入为XX万元。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间接收益：包括提高品牌价值和市场份额，假设间接经济效益为XX万元。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社会和环境效益：虽难以量化，但假设其长期价值估计为XX万元。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成本效果比较：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假设项目的总成本（初始投资成本加上预计五年的运营成本和环境社会成本）为XX万元。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预期收益（直接收益加上五年的间接收益和社会环境效益）为XX万元。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因此，项目的成本效果比为XX万元（总成本）对比XX万元（总收益）。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投资回收期分析：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假设项目的总初始投资为XX万元，年运营成本为XX万元，而年直接收益为XX万元。假定直接收益和运营成本保持恒定，则项目的投资回收期为：（总初始投资） / （年直接收益 年运营成本）= XX年。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净现值（NPV）和内部收益率（IRR）分析：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净现值（NPV）是评估项目总收益与总成本现值的差额。假设项目预计持续XX年，每年的净收益为（年直接收益 年运营成本），折现率假定为XX%，则NPV计算为：NPV = ∑ [（年净收益） / （1 + 折现率）^年份] 初始投资成本。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https://d.book118.com/818014033131006042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印花纹理项目构思建设方案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印花纹理项目构思建设方案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印花纹理项目构思建设方案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印花纹理项目构思建设方案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印花纹理项目构思建设方案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印花纹理项目构思建设方案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印花纹理项目构思建设方案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印花纹理项目构思建设方案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印花纹理项目构思建设方案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印花纹理项目构思建设方案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印花纹理项目构思建设方案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印花纹理项目构思建设方案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B4A73EA"/>
    <w:rsid w:val="5B4A73E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818014033131006042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2024-02-17T10:52:00Z</dcterms:created>
  <dcterms:modified xsi:type="dcterms:W3CDTF">2024-02-17T10:53:16Z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3B5BC0DF24044A9AB9189DBE227D995D_11</vt:lpwstr>
  </property>
  <property fmtid="{D5CDD505-2E9C-101B-9397-08002B2CF9AE}" pid="3" name="KSOProductBuildVer">
    <vt:lpwstr>2052-12.1.0.16250</vt:lpwstr>
  </property>
</Properties>
</file>