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19" w:lineRule="exact"/>
      </w:pPr>
      <w:r>
        <w:pict>
          <v:shape id="_x0000_s1025" style="width:550.45pt;height:0.25pt;margin-top:794.88pt;margin-left:19.8pt;mso-position-horizontal-relative:page;mso-position-vertical-relative:page;position:absolute;z-index:-251656192" coordorigin="0,0" coordsize="11009,5" o:allowincell="f" path="m,2l11008,2e" filled="f" strokecolor="black" strokeweight="0.24pt"/>
        </w:pict>
      </w:r>
      <w:r>
        <w:pict>
          <v:shapetype id="_x0000_t202" coordsize="21600,21600" o:spt="202" path="m,l,21600r21600,l21600,xe">
            <v:stroke joinstyle="miter"/>
            <v:path gradientshapeok="t" o:connecttype="rect"/>
          </v:shapetype>
          <v:shape id="_x0000_s1026" type="#_x0000_t202" style="width:126.85pt;height:13.25pt;margin-top:798.83pt;margin-left:20.6pt;mso-position-horizontal-relative:page;mso-position-vertical-relative:page;position:absolute;z-index:251661312" o:allowincell="f" filled="f" stroked="f">
            <o:lock v:ext="edit" aspectratio="f"/>
            <v:textbox inset="0,0,0,0">
              <w:txbxContent>
                <w:p>
                  <w:pPr>
                    <w:spacing w:before="19" w:line="219" w:lineRule="auto"/>
                    <w:ind w:left="20"/>
                    <w:rPr>
                      <w:rFonts w:ascii="FangSong" w:eastAsia="FangSong" w:hAnsi="FangSong" w:cs="FangSong"/>
                      <w:sz w:val="19"/>
                      <w:szCs w:val="19"/>
                    </w:rPr>
                  </w:pPr>
                  <w:r>
                    <w:rPr>
                      <w:rFonts w:ascii="Arial" w:eastAsia="Arial" w:hAnsi="Arial" w:cs="Arial"/>
                      <w:b/>
                      <w:bCs/>
                      <w:color w:val="FFFFFF"/>
                      <w:spacing w:val="-3"/>
                      <w:position w:val="2"/>
                      <w:sz w:val="18"/>
                      <w:szCs w:val="18"/>
                    </w:rPr>
                    <w:t>1</w:t>
                  </w:r>
                  <w:r>
                    <w:rPr>
                      <w:rFonts w:ascii="Arial" w:eastAsia="Arial" w:hAnsi="Arial" w:cs="Arial"/>
                      <w:b/>
                      <w:bCs/>
                      <w:color w:val="FFFFFF"/>
                      <w:spacing w:val="7"/>
                      <w:position w:val="2"/>
                      <w:sz w:val="18"/>
                      <w:szCs w:val="18"/>
                    </w:rPr>
                    <w:t xml:space="preserve">      </w:t>
                  </w:r>
                  <w:r>
                    <w:rPr>
                      <w:rFonts w:ascii="FangSong" w:eastAsia="FangSong" w:hAnsi="FangSong" w:cs="FangSong"/>
                      <w:spacing w:val="-3"/>
                      <w:sz w:val="19"/>
                      <w:szCs w:val="19"/>
                    </w:rPr>
                    <w:t>东北三省债务化解再思考</w:t>
                  </w:r>
                </w:p>
              </w:txbxContent>
            </v:textbox>
          </v:shape>
        </w:pict>
      </w:r>
    </w:p>
    <w:tbl>
      <w:tblPr>
        <w:tblStyle w:val="TableNormal"/>
        <w:tblW w:w="11001" w:type="dxa"/>
        <w:tblInd w:w="2" w:type="dxa"/>
        <w:tblBorders>
          <w:top w:val="single" w:sz="2" w:space="0" w:color="808080"/>
          <w:left w:val="single" w:sz="2" w:space="0" w:color="808080"/>
          <w:bottom w:val="single" w:sz="2" w:space="0" w:color="808080"/>
          <w:right w:val="single" w:sz="2" w:space="0" w:color="808080"/>
        </w:tblBorders>
        <w:tblLayout w:type="fixed"/>
      </w:tblPr>
      <w:tblGrid>
        <w:gridCol w:w="11001"/>
      </w:tblGrid>
      <w:tr>
        <w:tblPrEx>
          <w:tblW w:w="11001" w:type="dxa"/>
          <w:tblInd w:w="2" w:type="dxa"/>
          <w:tblBorders>
            <w:top w:val="single" w:sz="2" w:space="0" w:color="808080"/>
            <w:left w:val="single" w:sz="2" w:space="0" w:color="808080"/>
            <w:bottom w:val="single" w:sz="2" w:space="0" w:color="808080"/>
            <w:right w:val="single" w:sz="2" w:space="0" w:color="808080"/>
          </w:tblBorders>
          <w:tblLayout w:type="fixed"/>
        </w:tblPrEx>
        <w:trPr>
          <w:trHeight w:val="15594"/>
        </w:trPr>
        <w:tc>
          <w:tcPr>
            <w:tcW w:w="11001" w:type="dxa"/>
            <w:vAlign w:val="top"/>
          </w:tcPr>
          <w:p>
            <w:pPr>
              <w:spacing w:line="467" w:lineRule="exact"/>
            </w:pPr>
            <w:r>
              <mc:AlternateContent>
                <mc:Choice Requires="wps">
                  <w:drawing>
                    <wp:anchor distT="0" distB="0" distL="0" distR="0" simplePos="0" relativeHeight="251659264" behindDoc="1" locked="0" layoutInCell="1" allowOverlap="1">
                      <wp:simplePos x="0" y="0"/>
                      <wp:positionH relativeFrom="rightMargin">
                        <wp:posOffset>-6985634</wp:posOffset>
                      </wp:positionH>
                      <wp:positionV relativeFrom="topMargin">
                        <wp:posOffset>9698609</wp:posOffset>
                      </wp:positionV>
                      <wp:extent cx="219709" cy="19875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6985634" y="9698609"/>
                                <a:ext cx="219709" cy="198754"/>
                              </a:xfrm>
                              <a:prstGeom prst="rect">
                                <a:avLst/>
                              </a:prstGeom>
                              <a:solidFill>
                                <a:srgbClr val="8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7" style="width:17.3pt;height:15.65pt;margin-top:763.67pt;margin-left:-550.05pt;mso-position-horizontal-relative:right-margin-area;mso-position-vertical-relative:top-margin-area;mso-wrap-distance-bottom:0;mso-wrap-distance-left:0;mso-wrap-distance-right:0;mso-wrap-distance-top:0;position:absolute;v-text-anchor:top;z-index:-251658240" fillcolor="maroon" stroked="f"/>
                  </w:pict>
                </mc:Fallback>
              </mc:AlternateContent>
            </w:r>
            <w:r>
              <w:pict>
                <v:shape id="_x0000_s1028" type="#_x0000_t202" style="width:97.3pt;height:30.55pt;margin-top:47.75pt;margin-left:-512.17pt;mso-position-horizontal-relative:right-margin-area;mso-position-vertical-relative:top-margin-area;position:absolute;z-index:251662336" filled="f" stroked="f">
                  <o:lock v:ext="edit" aspectratio="f"/>
                  <v:textbox inset="0,0,0,0">
                    <w:txbxContent>
                      <w:p>
                        <w:pPr>
                          <w:spacing w:before="18" w:line="220" w:lineRule="auto"/>
                          <w:ind w:left="20"/>
                          <w:rPr>
                            <w:rFonts w:ascii="SimSun" w:eastAsia="SimSun" w:hAnsi="SimSun" w:cs="SimSun"/>
                            <w:sz w:val="48"/>
                            <w:szCs w:val="48"/>
                          </w:rPr>
                        </w:pPr>
                        <w:r>
                          <w:rPr>
                            <w:rFonts w:ascii="SimSun" w:eastAsia="SimSun" w:hAnsi="SimSun" w:cs="SimSun"/>
                            <w:color w:val="800000"/>
                            <w:spacing w:val="-4"/>
                            <w:sz w:val="48"/>
                            <w:szCs w:val="48"/>
                            <w14:textOutline w14:w="8712">
                              <w14:solidFill>
                                <w14:srgbClr w14:val="800000"/>
                              </w14:solidFill>
                              <w14:prstDash w14:val="solid"/>
                              <w14:round/>
                            </w14:textOutline>
                          </w:rPr>
                          <w:t>特别评论</w:t>
                        </w:r>
                      </w:p>
                    </w:txbxContent>
                  </v:textbox>
                </v:shape>
              </w:pict>
            </w:r>
            <w:r>
              <w:pict>
                <v:shape id="_x0000_s1029" type="#_x0000_t202" style="width:29.5pt;height:18.7pt;margin-top:176.7pt;margin-left:-352.59pt;mso-position-horizontal-relative:right-margin-area;mso-position-vertical-relative:top-margin-area;position:absolute;z-index:251664384" filled="f" stroked="f">
                  <o:lock v:ext="edit" aspectratio="f"/>
                  <v:textbox inset="0,0,0,0">
                    <w:txbxContent>
                      <w:p>
                        <w:pPr>
                          <w:spacing w:before="20" w:line="228" w:lineRule="auto"/>
                          <w:ind w:left="20"/>
                          <w:rPr>
                            <w:rFonts w:ascii="SimSun" w:eastAsia="SimSun" w:hAnsi="SimSun" w:cs="SimSun"/>
                            <w:sz w:val="27"/>
                            <w:szCs w:val="27"/>
                          </w:rPr>
                        </w:pPr>
                        <w:r>
                          <w:rPr>
                            <w:rFonts w:ascii="SimSun" w:eastAsia="SimSun" w:hAnsi="SimSun" w:cs="SimSun"/>
                            <w:color w:val="003366"/>
                            <w:spacing w:val="4"/>
                            <w:sz w:val="27"/>
                            <w:szCs w:val="27"/>
                            <w14:textOutline w14:w="5054">
                              <w14:solidFill>
                                <w14:srgbClr w14:val="003366"/>
                              </w14:solidFill>
                              <w14:prstDash w14:val="solid"/>
                              <w14:round/>
                            </w14:textOutline>
                          </w:rPr>
                          <w:t>要点</w:t>
                        </w:r>
                      </w:p>
                    </w:txbxContent>
                  </v:textbox>
                </v:shape>
              </w:pict>
            </w:r>
            <w:r>
              <w:pict>
                <v:shape id="_x0000_s1030" type="#_x0000_t202" style="width:184.9pt;height:581.2pt;margin-top:148.68pt;margin-left:-546.85pt;mso-position-horizontal-relative:right-margin-area;mso-position-vertical-relative:top-margin-area;position:absolute;z-index:251663360" filled="f" stroked="f">
                  <o:lock v:ext="edit" aspectratio="f"/>
                  <v:textbox inset="0,0,0,0">
                    <w:txbxContent>
                      <w:p>
                        <w:pPr>
                          <w:spacing w:before="20" w:line="222" w:lineRule="auto"/>
                          <w:ind w:left="125"/>
                          <w:rPr>
                            <w:rFonts w:ascii="SimSun" w:eastAsia="SimSun" w:hAnsi="SimSun" w:cs="SimSun"/>
                            <w:sz w:val="22"/>
                            <w:szCs w:val="22"/>
                          </w:rPr>
                        </w:pPr>
                        <w:r>
                          <w:rPr>
                            <w:rFonts w:ascii="SimSun" w:eastAsia="SimSun" w:hAnsi="SimSun" w:cs="SimSun"/>
                            <w:spacing w:val="-13"/>
                            <w:sz w:val="22"/>
                            <w:szCs w:val="22"/>
                            <w14:textOutline w14:w="4000">
                              <w14:solidFill>
                                <w14:srgbClr w14:val="000000"/>
                              </w14:solidFill>
                              <w14:prstDash w14:val="solid"/>
                              <w14:round/>
                            </w14:textOutline>
                          </w:rPr>
                          <w:t>目录</w:t>
                        </w:r>
                      </w:p>
                      <w:p>
                        <w:pPr>
                          <w:spacing w:line="55" w:lineRule="auto"/>
                          <w:rPr>
                            <w:rFonts w:ascii="Arial"/>
                            <w:sz w:val="2"/>
                          </w:rPr>
                        </w:pPr>
                      </w:p>
                      <w:tbl>
                        <w:tblPr>
                          <w:tblStyle w:val="TableNormal"/>
                          <w:tblW w:w="3657" w:type="dxa"/>
                          <w:tblInd w:w="20" w:type="dxa"/>
                          <w:tblBorders>
                            <w:top w:val="nil"/>
                            <w:left w:val="nil"/>
                            <w:bottom w:val="nil"/>
                            <w:right w:val="nil"/>
                            <w:insideH w:val="nil"/>
                            <w:insideV w:val="nil"/>
                          </w:tblBorders>
                          <w:tblLayout w:type="fixed"/>
                        </w:tblPr>
                        <w:tblGrid>
                          <w:gridCol w:w="3060"/>
                          <w:gridCol w:w="597"/>
                        </w:tblGrid>
                        <w:tr>
                          <w:tblPrEx>
                            <w:tblW w:w="3657" w:type="dxa"/>
                            <w:tblInd w:w="20" w:type="dxa"/>
                            <w:tblBorders>
                              <w:top w:val="nil"/>
                              <w:left w:val="nil"/>
                              <w:bottom w:val="nil"/>
                              <w:right w:val="nil"/>
                              <w:insideH w:val="nil"/>
                              <w:insideV w:val="nil"/>
                            </w:tblBorders>
                            <w:tblLayout w:type="fixed"/>
                          </w:tblPrEx>
                          <w:trPr>
                            <w:trHeight w:val="854"/>
                          </w:trPr>
                          <w:tc>
                            <w:tcPr>
                              <w:tcW w:w="3060" w:type="dxa"/>
                              <w:tcBorders>
                                <w:top w:val="single" w:sz="8" w:space="0" w:color="800000"/>
                              </w:tcBorders>
                              <w:vAlign w:val="top"/>
                            </w:tcPr>
                            <w:p>
                              <w:pPr>
                                <w:pStyle w:val="TableText"/>
                                <w:spacing w:before="162" w:line="220" w:lineRule="auto"/>
                                <w:ind w:left="172"/>
                                <w:rPr>
                                  <w:sz w:val="20"/>
                                  <w:szCs w:val="20"/>
                                </w:rPr>
                              </w:pPr>
                              <w:r>
                                <w:rPr>
                                  <w:spacing w:val="-5"/>
                                  <w:sz w:val="20"/>
                                  <w:szCs w:val="20"/>
                                </w:rPr>
                                <w:t>引言</w:t>
                              </w:r>
                            </w:p>
                            <w:p>
                              <w:pPr>
                                <w:pStyle w:val="TableText"/>
                                <w:spacing w:before="155" w:line="220" w:lineRule="auto"/>
                                <w:ind w:left="169"/>
                                <w:rPr>
                                  <w:sz w:val="20"/>
                                  <w:szCs w:val="20"/>
                                </w:rPr>
                              </w:pPr>
                              <w:r>
                                <w:rPr>
                                  <w:spacing w:val="-3"/>
                                  <w:sz w:val="20"/>
                                  <w:szCs w:val="20"/>
                                </w:rPr>
                                <w:t>东北三省均被列入</w:t>
                              </w:r>
                              <w:r>
                                <w:rPr>
                                  <w:spacing w:val="-19"/>
                                  <w:sz w:val="20"/>
                                  <w:szCs w:val="20"/>
                                </w:rPr>
                                <w:t xml:space="preserve"> </w:t>
                              </w:r>
                              <w:r>
                                <w:rPr>
                                  <w:rFonts w:ascii="Times New Roman" w:eastAsia="Times New Roman" w:hAnsi="Times New Roman" w:cs="Times New Roman"/>
                                  <w:spacing w:val="-3"/>
                                  <w:sz w:val="20"/>
                                  <w:szCs w:val="20"/>
                                </w:rPr>
                                <w:t xml:space="preserve">12 </w:t>
                              </w:r>
                              <w:r>
                                <w:rPr>
                                  <w:spacing w:val="-3"/>
                                  <w:sz w:val="20"/>
                                  <w:szCs w:val="20"/>
                                </w:rPr>
                                <w:t>个高风险</w:t>
                              </w:r>
                            </w:p>
                          </w:tc>
                          <w:tc>
                            <w:tcPr>
                              <w:tcW w:w="597" w:type="dxa"/>
                              <w:tcBorders>
                                <w:top w:val="single" w:sz="8" w:space="0" w:color="800000"/>
                              </w:tcBorders>
                              <w:vAlign w:val="top"/>
                            </w:tcPr>
                            <w:p>
                              <w:pPr>
                                <w:spacing w:before="208" w:line="189" w:lineRule="auto"/>
                                <w:ind w:left="39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3657" w:type="dxa"/>
                            <w:tblInd w:w="20" w:type="dxa"/>
                            <w:tblLayout w:type="fixed"/>
                          </w:tblPrEx>
                          <w:trPr>
                            <w:trHeight w:val="791"/>
                          </w:trPr>
                          <w:tc>
                            <w:tcPr>
                              <w:tcW w:w="3060" w:type="dxa"/>
                              <w:vAlign w:val="top"/>
                            </w:tcPr>
                            <w:p>
                              <w:pPr>
                                <w:pStyle w:val="TableText"/>
                                <w:spacing w:before="100" w:line="220" w:lineRule="auto"/>
                                <w:ind w:left="171"/>
                                <w:rPr>
                                  <w:sz w:val="20"/>
                                  <w:szCs w:val="20"/>
                                </w:rPr>
                              </w:pPr>
                              <w:r>
                                <w:rPr>
                                  <w:spacing w:val="-2"/>
                                  <w:sz w:val="20"/>
                                  <w:szCs w:val="20"/>
                                </w:rPr>
                                <w:t>重点省份原因推演</w:t>
                              </w:r>
                            </w:p>
                            <w:p>
                              <w:pPr>
                                <w:pStyle w:val="TableText"/>
                                <w:spacing w:before="155" w:line="218" w:lineRule="auto"/>
                                <w:ind w:left="190"/>
                                <w:rPr>
                                  <w:sz w:val="20"/>
                                  <w:szCs w:val="20"/>
                                </w:rPr>
                              </w:pPr>
                              <w:r>
                                <w:rPr>
                                  <w:spacing w:val="-4"/>
                                  <w:sz w:val="20"/>
                                  <w:szCs w:val="20"/>
                                </w:rPr>
                                <w:t>中央层面债务化解措施</w:t>
                              </w:r>
                            </w:p>
                          </w:tc>
                          <w:tc>
                            <w:tcPr>
                              <w:tcW w:w="597" w:type="dxa"/>
                              <w:vAlign w:val="top"/>
                            </w:tcPr>
                            <w:p>
                              <w:pPr>
                                <w:spacing w:before="146" w:line="189" w:lineRule="auto"/>
                                <w:ind w:left="39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r>
                        <w:tr>
                          <w:tblPrEx>
                            <w:tblW w:w="3657" w:type="dxa"/>
                            <w:tblInd w:w="20" w:type="dxa"/>
                            <w:tblLayout w:type="fixed"/>
                          </w:tblPrEx>
                          <w:trPr>
                            <w:trHeight w:val="790"/>
                          </w:trPr>
                          <w:tc>
                            <w:tcPr>
                              <w:tcW w:w="3060" w:type="dxa"/>
                              <w:vAlign w:val="top"/>
                            </w:tcPr>
                            <w:p>
                              <w:pPr>
                                <w:pStyle w:val="TableText"/>
                                <w:spacing w:before="102" w:line="220" w:lineRule="auto"/>
                                <w:ind w:left="167"/>
                                <w:rPr>
                                  <w:sz w:val="20"/>
                                  <w:szCs w:val="20"/>
                                </w:rPr>
                              </w:pPr>
                              <w:r>
                                <w:rPr>
                                  <w:spacing w:val="-2"/>
                                  <w:sz w:val="20"/>
                                  <w:szCs w:val="20"/>
                                </w:rPr>
                                <w:t>及对东北三省影响</w:t>
                              </w:r>
                            </w:p>
                            <w:p>
                              <w:pPr>
                                <w:pStyle w:val="TableText"/>
                                <w:spacing w:before="155" w:line="218" w:lineRule="auto"/>
                                <w:ind w:left="166"/>
                                <w:rPr>
                                  <w:sz w:val="20"/>
                                  <w:szCs w:val="20"/>
                                </w:rPr>
                              </w:pPr>
                              <w:r>
                                <w:rPr>
                                  <w:spacing w:val="-1"/>
                                  <w:sz w:val="20"/>
                                  <w:szCs w:val="20"/>
                                </w:rPr>
                                <w:t>省级层面债务化解措施</w:t>
                              </w:r>
                            </w:p>
                          </w:tc>
                          <w:tc>
                            <w:tcPr>
                              <w:tcW w:w="597" w:type="dxa"/>
                              <w:vAlign w:val="top"/>
                            </w:tcPr>
                            <w:p>
                              <w:pPr>
                                <w:spacing w:before="147" w:line="189" w:lineRule="auto"/>
                                <w:ind w:left="40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r>
                        <w:tr>
                          <w:tblPrEx>
                            <w:tblW w:w="3657" w:type="dxa"/>
                            <w:tblInd w:w="20" w:type="dxa"/>
                            <w:tblLayout w:type="fixed"/>
                          </w:tblPrEx>
                          <w:trPr>
                            <w:trHeight w:val="790"/>
                          </w:trPr>
                          <w:tc>
                            <w:tcPr>
                              <w:tcW w:w="3060" w:type="dxa"/>
                              <w:vAlign w:val="top"/>
                            </w:tcPr>
                            <w:p>
                              <w:pPr>
                                <w:pStyle w:val="TableText"/>
                                <w:spacing w:before="104" w:line="220" w:lineRule="auto"/>
                                <w:ind w:left="167"/>
                                <w:rPr>
                                  <w:sz w:val="20"/>
                                  <w:szCs w:val="20"/>
                                </w:rPr>
                              </w:pPr>
                              <w:r>
                                <w:rPr>
                                  <w:spacing w:val="-2"/>
                                  <w:sz w:val="20"/>
                                  <w:szCs w:val="20"/>
                                </w:rPr>
                                <w:t>及对东北三省的影响</w:t>
                              </w:r>
                            </w:p>
                            <w:p>
                              <w:pPr>
                                <w:pStyle w:val="TableText"/>
                                <w:spacing w:before="155" w:line="218" w:lineRule="auto"/>
                                <w:ind w:left="165"/>
                                <w:rPr>
                                  <w:sz w:val="20"/>
                                  <w:szCs w:val="20"/>
                                </w:rPr>
                              </w:pPr>
                              <w:r>
                                <w:rPr>
                                  <w:spacing w:val="-1"/>
                                  <w:sz w:val="20"/>
                                  <w:szCs w:val="20"/>
                                </w:rPr>
                                <w:t>本次“一揽子化债”方案推行</w:t>
                              </w:r>
                            </w:p>
                          </w:tc>
                          <w:tc>
                            <w:tcPr>
                              <w:tcW w:w="597" w:type="dxa"/>
                              <w:vAlign w:val="top"/>
                            </w:tcPr>
                            <w:p>
                              <w:pPr>
                                <w:spacing w:before="149" w:line="189" w:lineRule="auto"/>
                                <w:ind w:left="407"/>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r>
                        <w:tr>
                          <w:tblPrEx>
                            <w:tblW w:w="3657" w:type="dxa"/>
                            <w:tblInd w:w="20" w:type="dxa"/>
                            <w:tblLayout w:type="fixed"/>
                          </w:tblPrEx>
                          <w:trPr>
                            <w:trHeight w:val="394"/>
                          </w:trPr>
                          <w:tc>
                            <w:tcPr>
                              <w:tcW w:w="3060" w:type="dxa"/>
                              <w:vAlign w:val="top"/>
                            </w:tcPr>
                            <w:p>
                              <w:pPr>
                                <w:pStyle w:val="TableText"/>
                                <w:spacing w:before="106" w:line="220" w:lineRule="auto"/>
                                <w:ind w:left="166"/>
                                <w:rPr>
                                  <w:sz w:val="20"/>
                                  <w:szCs w:val="20"/>
                                </w:rPr>
                              </w:pPr>
                              <w:r>
                                <w:rPr>
                                  <w:spacing w:val="-2"/>
                                  <w:sz w:val="20"/>
                                  <w:szCs w:val="20"/>
                                </w:rPr>
                                <w:t>对东北三省的影响</w:t>
                              </w:r>
                            </w:p>
                          </w:tc>
                          <w:tc>
                            <w:tcPr>
                              <w:tcW w:w="597" w:type="dxa"/>
                              <w:vAlign w:val="top"/>
                            </w:tcPr>
                            <w:p>
                              <w:pPr>
                                <w:spacing w:before="152" w:line="189"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10</w:t>
                              </w:r>
                            </w:p>
                          </w:tc>
                        </w:tr>
                        <w:tr>
                          <w:tblPrEx>
                            <w:tblW w:w="3657" w:type="dxa"/>
                            <w:tblInd w:w="20" w:type="dxa"/>
                            <w:tblLayout w:type="fixed"/>
                          </w:tblPrEx>
                          <w:trPr>
                            <w:trHeight w:val="418"/>
                          </w:trPr>
                          <w:tc>
                            <w:tcPr>
                              <w:tcW w:w="3060" w:type="dxa"/>
                              <w:tcBorders>
                                <w:bottom w:val="single" w:sz="8" w:space="0" w:color="800000"/>
                              </w:tcBorders>
                              <w:vAlign w:val="top"/>
                            </w:tcPr>
                            <w:p>
                              <w:pPr>
                                <w:pStyle w:val="TableText"/>
                                <w:spacing w:before="107" w:line="221" w:lineRule="auto"/>
                                <w:ind w:left="169"/>
                                <w:rPr>
                                  <w:sz w:val="20"/>
                                  <w:szCs w:val="20"/>
                                </w:rPr>
                              </w:pPr>
                              <w:r>
                                <w:rPr>
                                  <w:spacing w:val="-4"/>
                                  <w:sz w:val="20"/>
                                  <w:szCs w:val="20"/>
                                </w:rPr>
                                <w:t>结论</w:t>
                              </w:r>
                            </w:p>
                          </w:tc>
                          <w:tc>
                            <w:tcPr>
                              <w:tcW w:w="597" w:type="dxa"/>
                              <w:tcBorders>
                                <w:bottom w:val="single" w:sz="8" w:space="0" w:color="800000"/>
                              </w:tcBorders>
                              <w:vAlign w:val="top"/>
                            </w:tcPr>
                            <w:p>
                              <w:pPr>
                                <w:spacing w:before="151" w:line="189" w:lineRule="auto"/>
                                <w:ind w:left="317"/>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12</w:t>
                              </w:r>
                            </w:p>
                          </w:tc>
                        </w:tr>
                        <w:tr>
                          <w:tblPrEx>
                            <w:tblW w:w="3657" w:type="dxa"/>
                            <w:tblInd w:w="20" w:type="dxa"/>
                            <w:tblLayout w:type="fixed"/>
                          </w:tblPrEx>
                          <w:trPr>
                            <w:trHeight w:val="578"/>
                          </w:trPr>
                          <w:tc>
                            <w:tcPr>
                              <w:tcW w:w="3657" w:type="dxa"/>
                              <w:gridSpan w:val="2"/>
                              <w:tcBorders>
                                <w:top w:val="single" w:sz="8" w:space="0" w:color="800000"/>
                                <w:bottom w:val="single" w:sz="8" w:space="0" w:color="800000"/>
                              </w:tcBorders>
                              <w:vAlign w:val="top"/>
                            </w:tcPr>
                            <w:p>
                              <w:pPr>
                                <w:pStyle w:val="TableText"/>
                                <w:spacing w:before="194" w:line="218" w:lineRule="auto"/>
                                <w:ind w:left="274"/>
                              </w:pPr>
                              <w:r>
                                <w:rPr>
                                  <w:spacing w:val="-3"/>
                                  <w14:textOutline w14:w="4000">
                                    <w14:solidFill>
                                      <w14:srgbClr w14:val="000000"/>
                                    </w14:solidFill>
                                    <w14:prstDash w14:val="solid"/>
                                    <w14:round/>
                                  </w14:textOutline>
                                </w:rPr>
                                <w:t>联络人</w:t>
                              </w:r>
                            </w:p>
                          </w:tc>
                        </w:tr>
                        <w:tr>
                          <w:tblPrEx>
                            <w:tblW w:w="3657" w:type="dxa"/>
                            <w:tblInd w:w="20" w:type="dxa"/>
                            <w:tblLayout w:type="fixed"/>
                          </w:tblPrEx>
                          <w:trPr>
                            <w:trHeight w:val="2097"/>
                          </w:trPr>
                          <w:tc>
                            <w:tcPr>
                              <w:tcW w:w="3657" w:type="dxa"/>
                              <w:gridSpan w:val="2"/>
                              <w:tcBorders>
                                <w:top w:val="single" w:sz="8" w:space="0" w:color="800000"/>
                                <w:bottom w:val="single" w:sz="8" w:space="0" w:color="800000"/>
                              </w:tcBorders>
                              <w:vAlign w:val="top"/>
                            </w:tcPr>
                            <w:p>
                              <w:pPr>
                                <w:spacing w:line="409" w:lineRule="auto"/>
                                <w:rPr>
                                  <w:rFonts w:ascii="Arial"/>
                                  <w:sz w:val="21"/>
                                </w:rPr>
                              </w:pPr>
                            </w:p>
                            <w:p>
                              <w:pPr>
                                <w:spacing w:before="59" w:line="221" w:lineRule="auto"/>
                                <w:ind w:left="267"/>
                                <w:rPr>
                                  <w:rFonts w:ascii="SimHei" w:eastAsia="SimHei" w:hAnsi="SimHei" w:cs="SimHei"/>
                                  <w:sz w:val="18"/>
                                  <w:szCs w:val="18"/>
                                </w:rPr>
                              </w:pPr>
                              <w:r>
                                <w:rPr>
                                  <w:rFonts w:ascii="SimHei" w:eastAsia="SimHei" w:hAnsi="SimHei" w:cs="SimHei"/>
                                  <w:spacing w:val="-1"/>
                                  <w:sz w:val="18"/>
                                  <w:szCs w:val="18"/>
                                  <w14:textOutline w14:w="3314">
                                    <w14:solidFill>
                                      <w14:srgbClr w14:val="000000"/>
                                    </w14:solidFill>
                                    <w14:prstDash w14:val="solid"/>
                                    <w14:round/>
                                  </w14:textOutline>
                                </w:rPr>
                                <w:t>作者</w:t>
                              </w:r>
                            </w:p>
                            <w:p>
                              <w:pPr>
                                <w:spacing w:before="100" w:line="221" w:lineRule="auto"/>
                                <w:ind w:left="267"/>
                                <w:rPr>
                                  <w:rFonts w:ascii="SimHei" w:eastAsia="SimHei" w:hAnsi="SimHei" w:cs="SimHei"/>
                                  <w:sz w:val="18"/>
                                  <w:szCs w:val="18"/>
                                </w:rPr>
                              </w:pPr>
                              <w:r>
                                <w:rPr>
                                  <w:rFonts w:ascii="SimHei" w:eastAsia="SimHei" w:hAnsi="SimHei" w:cs="SimHei"/>
                                  <w:sz w:val="18"/>
                                  <w:szCs w:val="18"/>
                                  <w14:textOutline w14:w="3314">
                                    <w14:solidFill>
                                      <w14:srgbClr w14:val="000000"/>
                                    </w14:solidFill>
                                    <w14:prstDash w14:val="solid"/>
                                    <w14:round/>
                                  </w14:textOutline>
                                </w:rPr>
                                <w:t>政府公共评级部</w:t>
                              </w:r>
                            </w:p>
                            <w:p>
                              <w:pPr>
                                <w:spacing w:before="85"/>
                              </w:pPr>
                            </w:p>
                            <w:tbl>
                              <w:tblPr>
                                <w:tblStyle w:val="TableNormal"/>
                                <w:tblW w:w="3295" w:type="dxa"/>
                                <w:tblInd w:w="267" w:type="dxa"/>
                                <w:tblBorders>
                                  <w:top w:val="nil"/>
                                  <w:left w:val="nil"/>
                                  <w:bottom w:val="nil"/>
                                  <w:right w:val="nil"/>
                                  <w:insideH w:val="nil"/>
                                  <w:insideV w:val="nil"/>
                                </w:tblBorders>
                                <w:tblLayout w:type="fixed"/>
                              </w:tblPr>
                              <w:tblGrid>
                                <w:gridCol w:w="1057"/>
                                <w:gridCol w:w="2238"/>
                              </w:tblGrid>
                              <w:tr>
                                <w:tblPrEx>
                                  <w:tblW w:w="3295" w:type="dxa"/>
                                  <w:tblInd w:w="267" w:type="dxa"/>
                                  <w:tblBorders>
                                    <w:top w:val="nil"/>
                                    <w:left w:val="nil"/>
                                    <w:bottom w:val="nil"/>
                                    <w:right w:val="nil"/>
                                    <w:insideH w:val="nil"/>
                                    <w:insideV w:val="nil"/>
                                  </w:tblBorders>
                                  <w:tblLayout w:type="fixed"/>
                                </w:tblPrEx>
                                <w:trPr>
                                  <w:trHeight w:val="346"/>
                                </w:trPr>
                                <w:tc>
                                  <w:tcPr>
                                    <w:tcW w:w="1057" w:type="dxa"/>
                                    <w:vAlign w:val="top"/>
                                  </w:tcPr>
                                  <w:p>
                                    <w:pPr>
                                      <w:spacing w:before="67" w:line="221" w:lineRule="auto"/>
                                      <w:rPr>
                                        <w:rFonts w:ascii="SimHei" w:eastAsia="SimHei" w:hAnsi="SimHei" w:cs="SimHei"/>
                                        <w:sz w:val="18"/>
                                        <w:szCs w:val="18"/>
                                      </w:rPr>
                                    </w:pPr>
                                    <w:r>
                                      <w:rPr>
                                        <w:rFonts w:ascii="SimHei" w:eastAsia="SimHei" w:hAnsi="SimHei" w:cs="SimHei"/>
                                        <w:color w:val="0000FF"/>
                                        <w:sz w:val="18"/>
                                        <w:szCs w:val="18"/>
                                        <w14:textOutline w14:w="3314">
                                          <w14:solidFill>
                                            <w14:srgbClr w14:val="0000FF"/>
                                          </w14:solidFill>
                                          <w14:prstDash w14:val="solid"/>
                                          <w14:round/>
                                        </w14:textOutline>
                                      </w:rPr>
                                      <w:t>杨羽明</w:t>
                                    </w:r>
                                  </w:p>
                                </w:tc>
                                <w:tc>
                                  <w:tcPr>
                                    <w:tcW w:w="2238" w:type="dxa"/>
                                    <w:vAlign w:val="top"/>
                                  </w:tcPr>
                                  <w:p>
                                    <w:pPr>
                                      <w:spacing w:before="67" w:line="218" w:lineRule="auto"/>
                                      <w:ind w:left="575"/>
                                      <w:rPr>
                                        <w:rFonts w:ascii="SimHei" w:eastAsia="SimHei" w:hAnsi="SimHei" w:cs="SimHei"/>
                                        <w:sz w:val="18"/>
                                        <w:szCs w:val="18"/>
                                      </w:rPr>
                                    </w:pPr>
                                    <w:hyperlink r:id="rId4" w:history="1">
                                      <w:r>
                                        <w:rPr>
                                          <w:rFonts w:ascii="SimHei" w:eastAsia="SimHei" w:hAnsi="SimHei" w:cs="SimHei"/>
                                          <w:color w:val="0000FF"/>
                                          <w:sz w:val="18"/>
                                          <w:szCs w:val="18"/>
                                          <w14:textOutline w14:w="3314">
                                            <w14:solidFill>
                                              <w14:srgbClr w14:val="0000FF"/>
                                            </w14:solidFill>
                                            <w14:prstDash w14:val="solid"/>
                                            <w14:round/>
                                          </w14:textOutline>
                                        </w:rPr>
                                        <w:t>ymyang</w:t>
                                      </w:r>
                                      <w:r>
                                        <w:rPr>
                                          <w:rFonts w:ascii="SimHei" w:eastAsia="SimHei" w:hAnsi="SimHei" w:cs="SimHei"/>
                                          <w:color w:val="0000FF"/>
                                          <w:spacing w:val="2"/>
                                          <w:sz w:val="18"/>
                                          <w:szCs w:val="18"/>
                                          <w14:textOutline w14:w="3314">
                                            <w14:solidFill>
                                              <w14:srgbClr w14:val="0000FF"/>
                                            </w14:solidFill>
                                            <w14:prstDash w14:val="solid"/>
                                            <w14:round/>
                                          </w14:textOutline>
                                        </w:rPr>
                                        <w:t>@</w:t>
                                      </w:r>
                                      <w:r>
                                        <w:rPr>
                                          <w:rFonts w:ascii="SimHei" w:eastAsia="SimHei" w:hAnsi="SimHei" w:cs="SimHei"/>
                                          <w:color w:val="0000FF"/>
                                          <w:sz w:val="18"/>
                                          <w:szCs w:val="18"/>
                                          <w14:textOutline w14:w="3314">
                                            <w14:solidFill>
                                              <w14:srgbClr w14:val="0000FF"/>
                                            </w14:solidFill>
                                            <w14:prstDash w14:val="solid"/>
                                            <w14:round/>
                                          </w14:textOutline>
                                        </w:rPr>
                                        <w:t>ccxi</w:t>
                                      </w:r>
                                      <w:r>
                                        <w:rPr>
                                          <w:rFonts w:ascii="SimHei" w:eastAsia="SimHei" w:hAnsi="SimHei" w:cs="SimHei"/>
                                          <w:color w:val="0000FF"/>
                                          <w:spacing w:val="2"/>
                                          <w:sz w:val="18"/>
                                          <w:szCs w:val="18"/>
                                          <w14:textOutline w14:w="3314">
                                            <w14:solidFill>
                                              <w14:srgbClr w14:val="0000FF"/>
                                            </w14:solidFill>
                                            <w14:prstDash w14:val="solid"/>
                                            <w14:round/>
                                          </w14:textOutline>
                                        </w:rPr>
                                        <w:t>.</w:t>
                                      </w:r>
                                      <w:r>
                                        <w:rPr>
                                          <w:rFonts w:ascii="SimHei" w:eastAsia="SimHei" w:hAnsi="SimHei" w:cs="SimHei"/>
                                          <w:color w:val="0000FF"/>
                                          <w:sz w:val="18"/>
                                          <w:szCs w:val="18"/>
                                          <w14:textOutline w14:w="3314">
                                            <w14:solidFill>
                                              <w14:srgbClr w14:val="0000FF"/>
                                            </w14:solidFill>
                                            <w14:prstDash w14:val="solid"/>
                                            <w14:round/>
                                          </w14:textOutline>
                                        </w:rPr>
                                        <w:t>com</w:t>
                                      </w:r>
                                      <w:r>
                                        <w:rPr>
                                          <w:rFonts w:ascii="SimHei" w:eastAsia="SimHei" w:hAnsi="SimHei" w:cs="SimHei"/>
                                          <w:color w:val="0000FF"/>
                                          <w:spacing w:val="2"/>
                                          <w:sz w:val="18"/>
                                          <w:szCs w:val="18"/>
                                          <w14:textOutline w14:w="3314">
                                            <w14:solidFill>
                                              <w14:srgbClr w14:val="0000FF"/>
                                            </w14:solidFill>
                                            <w14:prstDash w14:val="solid"/>
                                            <w14:round/>
                                          </w14:textOutline>
                                        </w:rPr>
                                        <w:t>.</w:t>
                                      </w:r>
                                      <w:r>
                                        <w:rPr>
                                          <w:rFonts w:ascii="SimHei" w:eastAsia="SimHei" w:hAnsi="SimHei" w:cs="SimHei"/>
                                          <w:color w:val="0000FF"/>
                                          <w:sz w:val="18"/>
                                          <w:szCs w:val="18"/>
                                          <w14:textOutline w14:w="3314">
                                            <w14:solidFill>
                                              <w14:srgbClr w14:val="0000FF"/>
                                            </w14:solidFill>
                                            <w14:prstDash w14:val="solid"/>
                                            <w14:round/>
                                          </w14:textOutline>
                                        </w:rPr>
                                        <w:t>cn</w:t>
                                      </w:r>
                                    </w:hyperlink>
                                  </w:p>
                                </w:tc>
                              </w:tr>
                              <w:tr>
                                <w:tblPrEx>
                                  <w:tblW w:w="3295" w:type="dxa"/>
                                  <w:tblInd w:w="267" w:type="dxa"/>
                                  <w:tblLayout w:type="fixed"/>
                                </w:tblPrEx>
                                <w:trPr>
                                  <w:trHeight w:val="216"/>
                                </w:trPr>
                                <w:tc>
                                  <w:tcPr>
                                    <w:tcW w:w="1057" w:type="dxa"/>
                                    <w:vAlign w:val="top"/>
                                  </w:tcPr>
                                  <w:p>
                                    <w:pPr>
                                      <w:spacing w:before="33" w:line="177" w:lineRule="auto"/>
                                      <w:ind w:left="4"/>
                                      <w:rPr>
                                        <w:rFonts w:ascii="SimHei" w:eastAsia="SimHei" w:hAnsi="SimHei" w:cs="SimHei"/>
                                        <w:sz w:val="18"/>
                                        <w:szCs w:val="18"/>
                                      </w:rPr>
                                    </w:pPr>
                                    <w:r>
                                      <w:rPr>
                                        <w:rFonts w:ascii="SimHei" w:eastAsia="SimHei" w:hAnsi="SimHei" w:cs="SimHei"/>
                                        <w:color w:val="0000FF"/>
                                        <w:spacing w:val="-4"/>
                                        <w:sz w:val="18"/>
                                        <w:szCs w:val="18"/>
                                        <w14:textOutline w14:w="3314">
                                          <w14:solidFill>
                                            <w14:srgbClr w14:val="0000FF"/>
                                          </w14:solidFill>
                                          <w14:prstDash w14:val="solid"/>
                                          <w14:round/>
                                        </w14:textOutline>
                                      </w:rPr>
                                      <w:t>尹</w:t>
                                    </w:r>
                                    <w:r>
                                      <w:rPr>
                                        <w:rFonts w:ascii="SimHei" w:eastAsia="SimHei" w:hAnsi="SimHei" w:cs="SimHei"/>
                                        <w:color w:val="0000FF"/>
                                        <w:spacing w:val="4"/>
                                        <w:sz w:val="18"/>
                                        <w:szCs w:val="18"/>
                                      </w:rPr>
                                      <w:t xml:space="preserve">  </w:t>
                                    </w:r>
                                    <w:r>
                                      <w:rPr>
                                        <w:rFonts w:ascii="SimHei" w:eastAsia="SimHei" w:hAnsi="SimHei" w:cs="SimHei"/>
                                        <w:color w:val="0000FF"/>
                                        <w:spacing w:val="-4"/>
                                        <w:sz w:val="18"/>
                                        <w:szCs w:val="18"/>
                                        <w14:textOutline w14:w="3314">
                                          <w14:solidFill>
                                            <w14:srgbClr w14:val="0000FF"/>
                                          </w14:solidFill>
                                          <w14:prstDash w14:val="solid"/>
                                          <w14:round/>
                                        </w14:textOutline>
                                      </w:rPr>
                                      <w:t>洁</w:t>
                                    </w:r>
                                  </w:p>
                                </w:tc>
                                <w:tc>
                                  <w:tcPr>
                                    <w:tcW w:w="2238" w:type="dxa"/>
                                    <w:vAlign w:val="top"/>
                                  </w:tcPr>
                                  <w:p>
                                    <w:pPr>
                                      <w:spacing w:before="33" w:line="177" w:lineRule="auto"/>
                                      <w:ind w:left="586"/>
                                      <w:rPr>
                                        <w:rFonts w:ascii="SimHei" w:eastAsia="SimHei" w:hAnsi="SimHei" w:cs="SimHei"/>
                                        <w:sz w:val="18"/>
                                        <w:szCs w:val="18"/>
                                      </w:rPr>
                                    </w:pPr>
                                    <w:r>
                                      <w:rPr>
                                        <w:rFonts w:ascii="SimHei" w:eastAsia="SimHei" w:hAnsi="SimHei" w:cs="SimHei"/>
                                        <w:color w:val="0000FF"/>
                                        <w:spacing w:val="-1"/>
                                        <w:sz w:val="18"/>
                                        <w:szCs w:val="18"/>
                                        <w14:textOutline w14:w="3314">
                                          <w14:solidFill>
                                            <w14:srgbClr w14:val="0000FF"/>
                                          </w14:solidFill>
                                          <w14:prstDash w14:val="solid"/>
                                          <w14:round/>
                                        </w14:textOutline>
                                      </w:rPr>
                                      <w:t>jyin@ccxi.com.cn</w:t>
                                    </w:r>
                                  </w:p>
                                </w:tc>
                              </w:tr>
                            </w:tbl>
                            <w:p>
                              <w:pPr>
                                <w:spacing w:line="195" w:lineRule="exact"/>
                                <w:rPr>
                                  <w:rFonts w:ascii="Arial"/>
                                  <w:sz w:val="17"/>
                                </w:rPr>
                              </w:pPr>
                            </w:p>
                          </w:tc>
                        </w:tr>
                      </w:tbl>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648" w:lineRule="exact"/>
                          <w:ind w:firstLine="608"/>
                        </w:pPr>
                        <w:r>
                          <w:rPr>
                            <w:position w:val="-12"/>
                          </w:rPr>
                          <w:drawing>
                            <wp:inline distT="0" distB="0" distL="0" distR="0">
                              <wp:extent cx="1435608" cy="41148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435608" cy="411480"/>
                                      </a:xfrm>
                                      <a:prstGeom prst="rect">
                                        <a:avLst/>
                                      </a:prstGeom>
                                    </pic:spPr>
                                  </pic:pic>
                                </a:graphicData>
                              </a:graphic>
                            </wp:inline>
                          </w:drawing>
                        </w:r>
                      </w:p>
                    </w:txbxContent>
                  </v:textbox>
                </v:shape>
              </w:pict>
            </w:r>
            <w:r>
              <w:rPr>
                <w:position w:val="-9"/>
              </w:rPr>
              <w:pict>
                <v:shape id="_x0000_i1031" type="#_x0000_t202" style="width:550.35pt;height:23.55pt;mso-position-horizontal-relative:char;mso-position-vertical-relative:line" filled="t" fillcolor="#898989" stroked="f">
                  <o:lock v:ext="edit" aspectratio="f"/>
                  <v:textbox inset="0,0,0,0">
                    <w:txbxContent>
                      <w:p>
                        <w:pPr>
                          <w:spacing w:before="159" w:line="230" w:lineRule="auto"/>
                          <w:ind w:left="145"/>
                          <w:rPr>
                            <w:rFonts w:ascii="Times New Roman" w:eastAsia="Times New Roman" w:hAnsi="Times New Roman" w:cs="Times New Roman"/>
                            <w:sz w:val="21"/>
                            <w:szCs w:val="21"/>
                          </w:rPr>
                        </w:pPr>
                        <w:r>
                          <w:rPr>
                            <w:rFonts w:ascii="Times New Roman" w:eastAsia="Times New Roman" w:hAnsi="Times New Roman" w:cs="Times New Roman"/>
                            <w:b/>
                            <w:bCs/>
                            <w:color w:val="FFFFFF"/>
                            <w:spacing w:val="-1"/>
                            <w:sz w:val="21"/>
                            <w:szCs w:val="21"/>
                          </w:rPr>
                          <w:t>www.ccxi.com.cn</w:t>
                        </w:r>
                      </w:p>
                    </w:txbxContent>
                  </v:textbox>
                  <w10:wrap type="none"/>
                </v:shape>
              </w:pict>
            </w:r>
          </w:p>
          <w:p>
            <w:pPr>
              <w:spacing w:line="1540" w:lineRule="exact"/>
              <w:ind w:firstLine="3979"/>
            </w:pPr>
            <w:r>
              <w:rPr>
                <w:position w:val="-32"/>
              </w:rPr>
              <w:pict>
                <v:group id="_x0000_i1032" style="width:351.15pt;height:77.9pt;mso-position-horizontal-relative:char;mso-position-vertical-relative:line" coordorigin="0,0" coordsize="7022,1558"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width:7022;height:1560;position:absolute;top:-2" filled="f" stroked="f">
                    <v:imagedata r:id="rId6" o:title=""/>
                  </v:shape>
                  <v:shape id="_x0000_s1034" type="#_x0000_t202" style="width:7062;height:1600;left:-20;position:absolute;top:-22" filled="f" stroked="f">
                    <o:lock v:ext="edit" aspectratio="f"/>
                    <v:textbox inset="0,0,0,0">
                      <w:txbxContent>
                        <w:p>
                          <w:pPr>
                            <w:spacing w:before="141" w:line="233" w:lineRule="auto"/>
                            <w:ind w:left="2481" w:right="251" w:firstLine="2572"/>
                            <w:rPr>
                              <w:rFonts w:ascii="STKaiti" w:eastAsia="STKaiti" w:hAnsi="STKaiti" w:cs="STKaiti"/>
                              <w:sz w:val="39"/>
                              <w:szCs w:val="39"/>
                            </w:rPr>
                          </w:pPr>
                          <w:r>
                            <w:rPr>
                              <w:rFonts w:ascii="SimSun" w:eastAsia="SimSun" w:hAnsi="SimSun" w:cs="SimSun"/>
                              <w:color w:val="FFFFFF"/>
                              <w:spacing w:val="-9"/>
                              <w:sz w:val="36"/>
                              <w:szCs w:val="36"/>
                              <w14:textOutline w14:w="6527">
                                <w14:solidFill>
                                  <w14:srgbClr w14:val="FFFFFF"/>
                                </w14:solidFill>
                                <w14:prstDash w14:val="solid"/>
                                <w14:round/>
                              </w14:textOutline>
                            </w:rPr>
                            <w:t>中诚信国际</w:t>
                          </w:r>
                          <w:r>
                            <w:rPr>
                              <w:rFonts w:ascii="SimSun" w:eastAsia="SimSun" w:hAnsi="SimSun" w:cs="SimSun"/>
                              <w:color w:val="FFFFFF"/>
                              <w:sz w:val="36"/>
                              <w:szCs w:val="36"/>
                            </w:rPr>
                            <w:t xml:space="preserve"> </w:t>
                          </w:r>
                          <w:r>
                            <w:rPr>
                              <w:rFonts w:ascii="STKaiti" w:eastAsia="STKaiti" w:hAnsi="STKaiti" w:cs="STKaiti"/>
                              <w:color w:val="FFFFFF"/>
                              <w:spacing w:val="3"/>
                              <w:sz w:val="39"/>
                              <w:szCs w:val="39"/>
                              <w14:textOutline w14:w="7226">
                                <w14:solidFill>
                                  <w14:srgbClr w14:val="FFFFFF"/>
                                </w14:solidFill>
                                <w14:prstDash w14:val="solid"/>
                                <w14:round/>
                              </w14:textOutline>
                            </w:rPr>
                            <w:t>东北三省债务化解再思考</w:t>
                          </w:r>
                        </w:p>
                      </w:txbxContent>
                    </v:textbox>
                  </v:shape>
                  <w10:wrap type="none"/>
                </v:group>
              </w:pict>
            </w:r>
          </w:p>
          <w:p>
            <w:pPr>
              <w:spacing w:line="205" w:lineRule="auto"/>
              <w:ind w:left="1008"/>
              <w:rPr>
                <w:rFonts w:ascii="SimSun" w:eastAsia="SimSun" w:hAnsi="SimSun" w:cs="SimSun"/>
                <w:sz w:val="22"/>
                <w:szCs w:val="22"/>
              </w:rPr>
            </w:pPr>
            <w:r>
              <w:rPr>
                <w:rFonts w:ascii="Times New Roman" w:eastAsia="Times New Roman" w:hAnsi="Times New Roman" w:cs="Times New Roman"/>
                <w:b/>
                <w:bCs/>
                <w:spacing w:val="-3"/>
                <w:sz w:val="22"/>
                <w:szCs w:val="22"/>
              </w:rPr>
              <w:t xml:space="preserve">2024 </w:t>
            </w:r>
            <w:r>
              <w:rPr>
                <w:rFonts w:ascii="SimSun" w:eastAsia="SimSun" w:hAnsi="SimSun" w:cs="SimSun"/>
                <w:spacing w:val="-3"/>
                <w:sz w:val="22"/>
                <w:szCs w:val="22"/>
                <w14:textOutline w14:w="4000">
                  <w14:solidFill>
                    <w14:srgbClr w14:val="000000"/>
                  </w14:solidFill>
                  <w14:prstDash w14:val="solid"/>
                  <w14:round/>
                </w14:textOutline>
              </w:rPr>
              <w:t>年</w:t>
            </w:r>
            <w:r>
              <w:rPr>
                <w:rFonts w:ascii="SimSun" w:eastAsia="SimSun" w:hAnsi="SimSun" w:cs="SimSun"/>
                <w:spacing w:val="-34"/>
                <w:sz w:val="22"/>
                <w:szCs w:val="22"/>
              </w:rPr>
              <w:t xml:space="preserve"> </w:t>
            </w:r>
            <w:r>
              <w:rPr>
                <w:rFonts w:ascii="Times New Roman" w:eastAsia="Times New Roman" w:hAnsi="Times New Roman" w:cs="Times New Roman"/>
                <w:b/>
                <w:bCs/>
                <w:spacing w:val="-3"/>
                <w:sz w:val="22"/>
                <w:szCs w:val="22"/>
              </w:rPr>
              <w:t>1</w:t>
            </w:r>
            <w:r>
              <w:rPr>
                <w:rFonts w:ascii="Times New Roman" w:eastAsia="Times New Roman" w:hAnsi="Times New Roman" w:cs="Times New Roman"/>
                <w:b/>
                <w:bCs/>
                <w:spacing w:val="12"/>
                <w:sz w:val="22"/>
                <w:szCs w:val="22"/>
              </w:rPr>
              <w:t xml:space="preserve"> </w:t>
            </w:r>
            <w:r>
              <w:rPr>
                <w:rFonts w:ascii="SimSun" w:eastAsia="SimSun" w:hAnsi="SimSun" w:cs="SimSun"/>
                <w:spacing w:val="-3"/>
                <w:sz w:val="22"/>
                <w:szCs w:val="22"/>
                <w14:textOutline w14:w="4000">
                  <w14:solidFill>
                    <w14:srgbClr w14:val="000000"/>
                  </w14:solidFill>
                  <w14:prstDash w14:val="solid"/>
                  <w14:round/>
                </w14:textOutline>
              </w:rPr>
              <w:t>月</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72" w:line="277" w:lineRule="auto"/>
              <w:ind w:left="4807" w:right="98" w:hanging="414"/>
            </w:pPr>
            <w:r>
              <w:rPr>
                <w:rFonts w:ascii="Wingdings" w:eastAsia="Wingdings" w:hAnsi="Wingdings" w:cs="Wingdings"/>
                <w:spacing w:val="-9"/>
              </w:rPr>
              <w:t>.</w:t>
            </w:r>
            <w:r>
              <w:rPr>
                <w:rFonts w:ascii="Wingdings" w:eastAsia="Wingdings" w:hAnsi="Wingdings" w:cs="Wingdings"/>
                <w:spacing w:val="62"/>
              </w:rPr>
              <w:t xml:space="preserve"> </w:t>
            </w:r>
            <w:r>
              <w:rPr>
                <w:spacing w:val="-9"/>
              </w:rPr>
              <w:t>东北三省系中国重要的工业基地，曾在社会建设、经济发展当中</w:t>
            </w:r>
            <w:r>
              <w:t xml:space="preserve"> </w:t>
            </w:r>
            <w:r>
              <w:rPr>
                <w:spacing w:val="-3"/>
              </w:rPr>
              <w:t>担当着重要的角色，但东北振兴战略实施</w:t>
            </w:r>
            <w:r>
              <w:rPr>
                <w:spacing w:val="-8"/>
              </w:rPr>
              <w:t xml:space="preserve"> </w:t>
            </w:r>
            <w:r>
              <w:rPr>
                <w:spacing w:val="-3"/>
              </w:rPr>
              <w:t>20</w:t>
            </w:r>
            <w:r>
              <w:rPr>
                <w:spacing w:val="-3"/>
              </w:rPr>
              <w:t xml:space="preserve"> </w:t>
            </w:r>
            <w:r>
              <w:rPr>
                <w:spacing w:val="-3"/>
              </w:rPr>
              <w:t>年来，效果不尽如</w:t>
            </w:r>
            <w:r>
              <w:t xml:space="preserve"> </w:t>
            </w:r>
            <w:r>
              <w:rPr>
                <w:spacing w:val="-12"/>
              </w:rPr>
              <w:t>人意。经济持续低迷，</w:t>
            </w:r>
            <w:r>
              <w:rPr>
                <w:spacing w:val="-12"/>
              </w:rPr>
              <w:t xml:space="preserve"> </w:t>
            </w:r>
            <w:r>
              <w:rPr>
                <w:spacing w:val="-12"/>
              </w:rPr>
              <w:t>体制机制转型滞后使得投资意愿减弱，</w:t>
            </w:r>
            <w:r>
              <w:rPr>
                <w:spacing w:val="56"/>
              </w:rPr>
              <w:t xml:space="preserve"> </w:t>
            </w:r>
            <w:r>
              <w:rPr>
                <w:spacing w:val="-12"/>
              </w:rPr>
              <w:t>老</w:t>
            </w:r>
            <w:r>
              <w:t xml:space="preserve"> </w:t>
            </w:r>
            <w:r>
              <w:rPr>
                <w:spacing w:val="-7"/>
              </w:rPr>
              <w:t>旧产能过剩导致产业转型缓慢，</w:t>
            </w:r>
            <w:r>
              <w:rPr>
                <w:spacing w:val="-7"/>
              </w:rPr>
              <w:t xml:space="preserve"> </w:t>
            </w:r>
            <w:r>
              <w:rPr>
                <w:spacing w:val="-7"/>
              </w:rPr>
              <w:t>人口流失及养老负担与经济发展</w:t>
            </w:r>
            <w:r>
              <w:rPr>
                <w:spacing w:val="17"/>
              </w:rPr>
              <w:t xml:space="preserve"> </w:t>
            </w:r>
            <w:r>
              <w:rPr>
                <w:spacing w:val="-10"/>
              </w:rPr>
              <w:t>迟缓形成恶性循环；财政运行情况不容乐观，</w:t>
            </w:r>
            <w:r>
              <w:rPr>
                <w:spacing w:val="-10"/>
              </w:rPr>
              <w:t xml:space="preserve"> </w:t>
            </w:r>
            <w:r>
              <w:rPr>
                <w:spacing w:val="-10"/>
              </w:rPr>
              <w:t>自给能力弱，</w:t>
            </w:r>
            <w:r>
              <w:rPr>
                <w:spacing w:val="-10"/>
              </w:rPr>
              <w:t xml:space="preserve"> </w:t>
            </w:r>
            <w:r>
              <w:rPr>
                <w:spacing w:val="-10"/>
              </w:rPr>
              <w:t>收支</w:t>
            </w:r>
            <w:r>
              <w:rPr>
                <w:spacing w:val="8"/>
              </w:rPr>
              <w:t xml:space="preserve"> </w:t>
            </w:r>
            <w:r>
              <w:rPr>
                <w:spacing w:val="-7"/>
              </w:rPr>
              <w:t>矛盾严峻，</w:t>
            </w:r>
            <w:r>
              <w:rPr>
                <w:spacing w:val="-7"/>
              </w:rPr>
              <w:t xml:space="preserve"> </w:t>
            </w:r>
            <w:r>
              <w:rPr>
                <w:spacing w:val="-7"/>
              </w:rPr>
              <w:t>过度依赖中央支持。同时，东北地区债务率在全国处</w:t>
            </w:r>
            <w:r>
              <w:rPr>
                <w:spacing w:val="17"/>
              </w:rPr>
              <w:t xml:space="preserve"> </w:t>
            </w:r>
            <w:r>
              <w:rPr>
                <w:spacing w:val="-2"/>
              </w:rPr>
              <w:t>于高位，债务负担沉重，因此东北三省本次均被列入</w:t>
            </w:r>
            <w:r>
              <w:rPr>
                <w:spacing w:val="-2"/>
              </w:rPr>
              <w:t xml:space="preserve"> </w:t>
            </w:r>
            <w:r>
              <w:rPr>
                <w:rFonts w:ascii="Times New Roman" w:eastAsia="Times New Roman" w:hAnsi="Times New Roman" w:cs="Times New Roman"/>
                <w:spacing w:val="-2"/>
              </w:rPr>
              <w:t>12</w:t>
            </w:r>
            <w:r>
              <w:rPr>
                <w:rFonts w:ascii="Times New Roman" w:eastAsia="Times New Roman" w:hAnsi="Times New Roman" w:cs="Times New Roman"/>
                <w:spacing w:val="37"/>
                <w:w w:val="101"/>
              </w:rPr>
              <w:t xml:space="preserve"> </w:t>
            </w:r>
            <w:r>
              <w:rPr>
                <w:spacing w:val="-3"/>
              </w:rPr>
              <w:t>个高风</w:t>
            </w:r>
            <w:r>
              <w:t xml:space="preserve"> </w:t>
            </w:r>
            <w:r>
              <w:rPr>
                <w:spacing w:val="-2"/>
              </w:rPr>
              <w:t>险重点省份名单。</w:t>
            </w:r>
          </w:p>
          <w:p>
            <w:pPr>
              <w:pStyle w:val="TableText"/>
              <w:spacing w:before="241" w:line="276" w:lineRule="auto"/>
              <w:ind w:left="4805" w:right="100" w:hanging="412"/>
            </w:pPr>
            <w:r>
              <w:rPr>
                <w:rFonts w:ascii="Wingdings" w:eastAsia="Wingdings" w:hAnsi="Wingdings" w:cs="Wingdings"/>
                <w:spacing w:val="-2"/>
              </w:rPr>
              <w:t>.</w:t>
            </w:r>
            <w:r>
              <w:rPr>
                <w:rFonts w:ascii="Wingdings" w:eastAsia="Wingdings" w:hAnsi="Wingdings" w:cs="Wingdings"/>
                <w:spacing w:val="75"/>
              </w:rPr>
              <w:t xml:space="preserve"> </w:t>
            </w:r>
            <w:r>
              <w:rPr>
                <w:spacing w:val="-2"/>
              </w:rPr>
              <w:t>中央出台的一系列化债政策大体可以分为三个阶段。第</w:t>
            </w:r>
            <w:r>
              <w:rPr>
                <w:spacing w:val="-3"/>
              </w:rPr>
              <w:t>一阶段</w:t>
            </w:r>
            <w:r>
              <w:t xml:space="preserve"> </w:t>
            </w:r>
            <w:r>
              <w:rPr>
                <w:spacing w:val="-1"/>
              </w:rPr>
              <w:t>（</w:t>
            </w:r>
            <w:r>
              <w:rPr>
                <w:rFonts w:ascii="Times New Roman" w:eastAsia="Times New Roman" w:hAnsi="Times New Roman" w:cs="Times New Roman"/>
                <w:spacing w:val="-1"/>
              </w:rPr>
              <w:t xml:space="preserve">2015~2018  </w:t>
            </w:r>
            <w:r>
              <w:rPr>
                <w:spacing w:val="-1"/>
              </w:rPr>
              <w:t>年</w:t>
            </w:r>
            <w:r>
              <w:rPr>
                <w:spacing w:val="-30"/>
              </w:rPr>
              <w:t>），</w:t>
            </w:r>
            <w:r>
              <w:rPr>
                <w:spacing w:val="-1"/>
              </w:rPr>
              <w:t>发行地方政府债券置换非政府债券形式的政</w:t>
            </w:r>
            <w:r>
              <w:t xml:space="preserve"> </w:t>
            </w:r>
            <w:r>
              <w:rPr>
                <w:spacing w:val="-5"/>
              </w:rPr>
              <w:t>府债务，</w:t>
            </w:r>
            <w:r>
              <w:rPr>
                <w:spacing w:val="-44"/>
              </w:rPr>
              <w:t xml:space="preserve"> </w:t>
            </w:r>
            <w:r>
              <w:rPr>
                <w:spacing w:val="-5"/>
              </w:rPr>
              <w:t>期间东北三省通过发行大规模置换债基本完成了举债机</w:t>
            </w:r>
            <w:r>
              <w:t xml:space="preserve"> </w:t>
            </w:r>
            <w:r>
              <w:rPr>
                <w:spacing w:val="-6"/>
              </w:rPr>
              <w:t>制规范、债务结构优化，和融资成本降低；第二阶段（</w:t>
            </w:r>
            <w:r>
              <w:rPr>
                <w:rFonts w:ascii="Times New Roman" w:eastAsia="Times New Roman" w:hAnsi="Times New Roman" w:cs="Times New Roman"/>
                <w:spacing w:val="-6"/>
              </w:rPr>
              <w:t>2019~2022</w:t>
            </w:r>
            <w:r>
              <w:rPr>
                <w:rFonts w:ascii="Times New Roman" w:eastAsia="Times New Roman" w:hAnsi="Times New Roman" w:cs="Times New Roman"/>
                <w:spacing w:val="6"/>
              </w:rPr>
              <w:t xml:space="preserve"> </w:t>
            </w:r>
            <w:r>
              <w:rPr>
                <w:spacing w:val="-1"/>
              </w:rPr>
              <w:t>年</w:t>
            </w:r>
            <w:r>
              <w:rPr>
                <w:spacing w:val="-28"/>
              </w:rPr>
              <w:t>），</w:t>
            </w:r>
            <w:r>
              <w:rPr>
                <w:spacing w:val="-1"/>
              </w:rPr>
              <w:t>建制县化债试点和特殊再融资债的发行，本轮对东北整体</w:t>
            </w:r>
            <w:r>
              <w:t xml:space="preserve"> </w:t>
            </w:r>
            <w:r>
              <w:rPr>
                <w:spacing w:val="5"/>
              </w:rPr>
              <w:t>化债效果相对有限，但对部分债务压力大的县市起到了缓释作</w:t>
            </w:r>
            <w:r>
              <w:rPr>
                <w:spacing w:val="6"/>
              </w:rPr>
              <w:t xml:space="preserve"> </w:t>
            </w:r>
            <w:r>
              <w:rPr>
                <w:spacing w:val="-7"/>
              </w:rPr>
              <w:t>用；</w:t>
            </w:r>
            <w:r>
              <w:rPr>
                <w:spacing w:val="-7"/>
              </w:rPr>
              <w:t xml:space="preserve"> </w:t>
            </w:r>
            <w:r>
              <w:rPr>
                <w:spacing w:val="-7"/>
              </w:rPr>
              <w:t>第三阶段（</w:t>
            </w:r>
            <w:r>
              <w:rPr>
                <w:rFonts w:ascii="Times New Roman" w:eastAsia="Times New Roman" w:hAnsi="Times New Roman" w:cs="Times New Roman"/>
                <w:spacing w:val="-7"/>
              </w:rPr>
              <w:t>2023</w:t>
            </w:r>
            <w:r>
              <w:rPr>
                <w:rFonts w:ascii="Times New Roman" w:eastAsia="Times New Roman" w:hAnsi="Times New Roman" w:cs="Times New Roman"/>
                <w:spacing w:val="17"/>
              </w:rPr>
              <w:t xml:space="preserve"> </w:t>
            </w:r>
            <w:r>
              <w:rPr>
                <w:spacing w:val="-7"/>
              </w:rPr>
              <w:t>年</w:t>
            </w:r>
            <w:r>
              <w:rPr>
                <w:rFonts w:ascii="Times New Roman" w:eastAsia="Times New Roman" w:hAnsi="Times New Roman" w:cs="Times New Roman"/>
                <w:spacing w:val="-7"/>
              </w:rPr>
              <w:t>~</w:t>
            </w:r>
            <w:r>
              <w:rPr>
                <w:spacing w:val="-7"/>
              </w:rPr>
              <w:t>今）</w:t>
            </w:r>
            <w:r>
              <w:rPr>
                <w:spacing w:val="-42"/>
              </w:rPr>
              <w:t xml:space="preserve"> </w:t>
            </w:r>
            <w:r>
              <w:rPr>
                <w:spacing w:val="-7"/>
              </w:rPr>
              <w:t>新一轮特殊再融资债发行</w:t>
            </w:r>
            <w:r>
              <w:rPr>
                <w:spacing w:val="-8"/>
              </w:rPr>
              <w:t>，东北区</w:t>
            </w:r>
            <w:r>
              <w:t xml:space="preserve"> </w:t>
            </w:r>
            <w:r>
              <w:rPr>
                <w:spacing w:val="-2"/>
              </w:rPr>
              <w:t>域融资短期基本面明显好转，城投平台融资成本大幅降低。</w:t>
            </w:r>
          </w:p>
          <w:p>
            <w:pPr>
              <w:pStyle w:val="TableText"/>
              <w:spacing w:before="246" w:line="274" w:lineRule="auto"/>
              <w:ind w:left="4805" w:right="97" w:hanging="412"/>
            </w:pPr>
            <w:r>
              <w:rPr>
                <w:rFonts w:ascii="Wingdings" w:eastAsia="Wingdings" w:hAnsi="Wingdings" w:cs="Wingdings"/>
              </w:rPr>
              <w:t xml:space="preserve">. </w:t>
            </w:r>
            <w:r>
              <w:t>东北三省自身也配合中央政策出台了一系列政策用于支持债务</w:t>
            </w:r>
            <w:r>
              <w:rPr>
                <w:spacing w:val="17"/>
              </w:rPr>
              <w:t xml:space="preserve"> </w:t>
            </w:r>
            <w:r>
              <w:rPr>
                <w:spacing w:val="-6"/>
              </w:rPr>
              <w:t>化解，</w:t>
            </w:r>
            <w:r>
              <w:rPr>
                <w:spacing w:val="-6"/>
              </w:rPr>
              <w:t xml:space="preserve"> </w:t>
            </w:r>
            <w:r>
              <w:rPr>
                <w:spacing w:val="-6"/>
              </w:rPr>
              <w:t>如规范健全体制机制、加强财政资金统</w:t>
            </w:r>
            <w:r>
              <w:rPr>
                <w:spacing w:val="-7"/>
              </w:rPr>
              <w:t>筹、推进国企改革</w:t>
            </w:r>
            <w:r>
              <w:t xml:space="preserve"> </w:t>
            </w:r>
            <w:r>
              <w:rPr>
                <w:spacing w:val="-8"/>
              </w:rPr>
              <w:t>重组、加强与金融机构战略合作、协调债务展期重组事宜等，</w:t>
            </w:r>
            <w:r>
              <w:rPr>
                <w:spacing w:val="45"/>
              </w:rPr>
              <w:t xml:space="preserve"> </w:t>
            </w:r>
            <w:r>
              <w:rPr>
                <w:spacing w:val="-8"/>
              </w:rPr>
              <w:t>政</w:t>
            </w:r>
            <w:r>
              <w:t xml:space="preserve"> </w:t>
            </w:r>
            <w:r>
              <w:rPr>
                <w:spacing w:val="-3"/>
              </w:rPr>
              <w:t>策效果对中央路径依赖较强。期间虽发生鹤岗市财政重整、东北</w:t>
            </w:r>
            <w:r>
              <w:rPr>
                <w:spacing w:val="11"/>
              </w:rPr>
              <w:t xml:space="preserve"> </w:t>
            </w:r>
            <w:r>
              <w:rPr>
                <w:spacing w:val="-3"/>
              </w:rPr>
              <w:t>特钢及华晨宝马破产等负面事件，但总体防范了系统性金融风险</w:t>
            </w:r>
            <w:r>
              <w:rPr>
                <w:spacing w:val="12"/>
              </w:rPr>
              <w:t xml:space="preserve"> </w:t>
            </w:r>
            <w:r>
              <w:rPr>
                <w:spacing w:val="-8"/>
              </w:rPr>
              <w:t>的发生。</w:t>
            </w:r>
          </w:p>
          <w:p>
            <w:pPr>
              <w:pStyle w:val="TableText"/>
              <w:spacing w:before="236" w:line="272" w:lineRule="auto"/>
              <w:ind w:left="4806" w:right="97" w:hanging="413"/>
            </w:pPr>
            <w:r>
              <w:rPr>
                <w:rFonts w:ascii="Wingdings" w:eastAsia="Wingdings" w:hAnsi="Wingdings" w:cs="Wingdings"/>
                <w:spacing w:val="-14"/>
              </w:rPr>
              <w:t>.</w:t>
            </w:r>
            <w:r>
              <w:rPr>
                <w:rFonts w:ascii="Wingdings" w:eastAsia="Wingdings" w:hAnsi="Wingdings" w:cs="Wingdings"/>
                <w:spacing w:val="60"/>
              </w:rPr>
              <w:t xml:space="preserve"> </w:t>
            </w:r>
            <w:r>
              <w:rPr>
                <w:spacing w:val="-14"/>
              </w:rPr>
              <w:t>从短期来看，</w:t>
            </w:r>
            <w:r>
              <w:rPr>
                <w:spacing w:val="37"/>
              </w:rPr>
              <w:t xml:space="preserve"> </w:t>
            </w:r>
            <w:r>
              <w:rPr>
                <w:spacing w:val="-14"/>
              </w:rPr>
              <w:t>本次“一揽子化债”方案推行后投资者对东北地区</w:t>
            </w:r>
            <w:r>
              <w:t xml:space="preserve"> </w:t>
            </w:r>
            <w:r>
              <w:rPr>
                <w:spacing w:val="-6"/>
              </w:rPr>
              <w:t>部分平台信心部分恢复，</w:t>
            </w:r>
            <w:r>
              <w:rPr>
                <w:spacing w:val="-16"/>
              </w:rPr>
              <w:t xml:space="preserve"> </w:t>
            </w:r>
            <w:r>
              <w:rPr>
                <w:spacing w:val="-6"/>
              </w:rPr>
              <w:t>具体体现为融资成本下降，认购倍数增</w:t>
            </w:r>
            <w:r>
              <w:t xml:space="preserve"> </w:t>
            </w:r>
            <w:r>
              <w:rPr>
                <w:spacing w:val="-12"/>
              </w:rPr>
              <w:t>多等；</w:t>
            </w:r>
            <w:r>
              <w:rPr>
                <w:spacing w:val="-12"/>
              </w:rPr>
              <w:t xml:space="preserve"> </w:t>
            </w:r>
            <w:r>
              <w:rPr>
                <w:spacing w:val="-12"/>
              </w:rPr>
              <w:t>长期来看，</w:t>
            </w:r>
            <w:r>
              <w:rPr>
                <w:spacing w:val="-33"/>
              </w:rPr>
              <w:t xml:space="preserve"> </w:t>
            </w:r>
            <w:r>
              <w:rPr>
                <w:spacing w:val="-12"/>
              </w:rPr>
              <w:t>东北三省债务问题仍未得到根本</w:t>
            </w:r>
            <w:r>
              <w:rPr>
                <w:spacing w:val="-13"/>
              </w:rPr>
              <w:t>性改善，</w:t>
            </w:r>
            <w:r>
              <w:rPr>
                <w:spacing w:val="-13"/>
              </w:rPr>
              <w:t xml:space="preserve"> </w:t>
            </w:r>
            <w:r>
              <w:rPr>
                <w:spacing w:val="-13"/>
              </w:rPr>
              <w:t>远期</w:t>
            </w:r>
            <w:r>
              <w:t xml:space="preserve"> </w:t>
            </w:r>
            <w:r>
              <w:rPr>
                <w:spacing w:val="-3"/>
              </w:rPr>
              <w:t>基本面未发生变化，债务化解仍需要依托东北振兴战略的执行和</w:t>
            </w:r>
            <w:r>
              <w:rPr>
                <w:spacing w:val="11"/>
              </w:rPr>
              <w:t xml:space="preserve"> </w:t>
            </w:r>
            <w:r>
              <w:rPr>
                <w:spacing w:val="-5"/>
              </w:rPr>
              <w:t>落实。</w:t>
            </w:r>
          </w:p>
        </w:tc>
      </w:tr>
    </w:tbl>
    <w:p>
      <w:pPr>
        <w:rPr>
          <w:rFonts w:ascii="Arial"/>
          <w:sz w:val="21"/>
        </w:rPr>
      </w:pPr>
    </w:p>
    <w:p>
      <w:pPr>
        <w:rPr>
          <w:rFonts w:ascii="Arial" w:eastAsia="Arial" w:hAnsi="Arial" w:cs="Arial"/>
          <w:sz w:val="21"/>
          <w:szCs w:val="21"/>
        </w:rPr>
        <w:sectPr>
          <w:headerReference w:type="default" r:id="rId7"/>
          <w:pgSz w:w="11905" w:h="16839"/>
          <w:pgMar w:top="400" w:right="500" w:bottom="0" w:left="393" w:header="0" w:footer="0" w:gutter="0"/>
          <w:cols w:space="708"/>
        </w:sectPr>
      </w:pPr>
    </w:p>
    <w:tbl>
      <w:tblPr>
        <w:tblStyle w:val="TableNormal0"/>
        <w:tblW w:w="11001" w:type="dxa"/>
        <w:tblInd w:w="2" w:type="dxa"/>
        <w:tblBorders>
          <w:top w:val="single" w:sz="2" w:space="0" w:color="808080"/>
          <w:left w:val="single" w:sz="2" w:space="0" w:color="808080"/>
          <w:bottom w:val="single" w:sz="2" w:space="0" w:color="808080"/>
          <w:right w:val="single" w:sz="2" w:space="0" w:color="808080"/>
        </w:tblBorders>
        <w:tblLayout w:type="fixed"/>
      </w:tblPr>
      <w:tblGrid>
        <w:gridCol w:w="11001"/>
      </w:tblGrid>
      <w:tr>
        <w:tblPrEx>
          <w:tblW w:w="11001" w:type="dxa"/>
          <w:tblInd w:w="2" w:type="dxa"/>
          <w:tblBorders>
            <w:top w:val="single" w:sz="2" w:space="0" w:color="808080"/>
            <w:left w:val="single" w:sz="2" w:space="0" w:color="808080"/>
            <w:bottom w:val="single" w:sz="2" w:space="0" w:color="808080"/>
            <w:right w:val="single" w:sz="2" w:space="0" w:color="808080"/>
          </w:tblBorders>
          <w:tblLayout w:type="fixed"/>
        </w:tblPrEx>
        <w:trPr>
          <w:trHeight w:val="15048"/>
        </w:trPr>
        <w:tc>
          <w:tcPr>
            <w:tcW w:w="11001" w:type="dxa"/>
            <w:vAlign w:val="top"/>
          </w:tcPr>
          <w:p>
            <w:pPr>
              <w:spacing w:line="77" w:lineRule="exact"/>
              <w:ind w:firstLine="6681"/>
            </w:pPr>
            <w:r>
              <w:pict>
                <v:shape id="_x0000_s1035" style="width:550.45pt;height:0.25pt;margin-top:794.88pt;margin-left:19.8pt;mso-position-horizontal-relative:page;mso-position-vertical-relative:page;position:absolute;z-index:-251649024" coordorigin="0,0" coordsize="11009,5" o:allowincell="f" path="m,2l11008,2e" filled="f" strokecolor="black" strokeweight="0.24pt"/>
              </w:pict>
            </w:r>
            <w:r>
              <w:pict>
                <v:shape id="_x0000_s1036" type="#_x0000_t202" style="width:127.35pt;height:13.25pt;margin-top:798.83pt;margin-left:20.11pt;mso-position-horizontal-relative:page;mso-position-vertical-relative:page;position:absolute;z-index:251668480" o:allowincell="f" filled="f" stroked="f">
                  <o:lock v:ext="edit" aspectratio="f"/>
                  <v:textbox inset="0,0,0,0">
                    <w:txbxContent>
                      <w:p>
                        <w:pPr>
                          <w:spacing w:before="19" w:line="219" w:lineRule="auto"/>
                          <w:ind w:left="20"/>
                          <w:rPr>
                            <w:rFonts w:ascii="FangSong" w:eastAsia="FangSong" w:hAnsi="FangSong" w:cs="FangSong"/>
                            <w:sz w:val="19"/>
                            <w:szCs w:val="19"/>
                          </w:rPr>
                        </w:pPr>
                        <w:r>
                          <w:rPr>
                            <w:rFonts w:ascii="Arial" w:eastAsia="Arial" w:hAnsi="Arial" w:cs="Arial"/>
                            <w:b/>
                            <w:bCs/>
                            <w:color w:val="FFFFFF"/>
                            <w:spacing w:val="-2"/>
                            <w:position w:val="2"/>
                            <w:sz w:val="18"/>
                            <w:szCs w:val="18"/>
                          </w:rPr>
                          <w:t>2</w:t>
                        </w:r>
                        <w:r>
                          <w:rPr>
                            <w:rFonts w:ascii="Arial" w:eastAsia="Arial" w:hAnsi="Arial" w:cs="Arial"/>
                            <w:b/>
                            <w:bCs/>
                            <w:color w:val="FFFFFF"/>
                            <w:spacing w:val="6"/>
                            <w:position w:val="2"/>
                            <w:sz w:val="18"/>
                            <w:szCs w:val="18"/>
                          </w:rPr>
                          <w:t xml:space="preserve">      </w:t>
                        </w:r>
                        <w:r>
                          <w:rPr>
                            <w:rFonts w:ascii="FangSong" w:eastAsia="FangSong" w:hAnsi="FangSong" w:cs="FangSong"/>
                            <w:spacing w:val="-2"/>
                            <w:sz w:val="19"/>
                            <w:szCs w:val="19"/>
                          </w:rPr>
                          <w:t>东北三省债务化解再思考</w:t>
                        </w:r>
                      </w:p>
                    </w:txbxContent>
                  </v:textbox>
                </v:shape>
              </w:pict>
            </w:r>
            <w:r>
              <w:pict>
                <v:rect id="_x0000_s1037" style="width:144.1pt;height:0.5pt;margin-top:711.14pt;margin-left:-532.75pt;mso-position-horizontal-relative:right-margin-area;mso-position-vertical-relative:top-margin-area;position:absolute;z-index:251669504" filled="t" fillcolor="black" stroked="f"/>
              </w:pict>
            </w:r>
            <w:r>
              <mc:AlternateContent>
                <mc:Choice Requires="wps">
                  <w:drawing>
                    <wp:anchor distT="0" distB="0" distL="0" distR="0" simplePos="0" relativeHeight="251666432" behindDoc="1" locked="0" layoutInCell="1" allowOverlap="1">
                      <wp:simplePos x="0" y="0"/>
                      <wp:positionH relativeFrom="rightMargin">
                        <wp:posOffset>-6985634</wp:posOffset>
                      </wp:positionH>
                      <wp:positionV relativeFrom="topMargin">
                        <wp:posOffset>9351492</wp:posOffset>
                      </wp:positionV>
                      <wp:extent cx="219709" cy="198754"/>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6985634" y="9351492"/>
                                <a:ext cx="219709" cy="198754"/>
                              </a:xfrm>
                              <a:prstGeom prst="rect">
                                <a:avLst/>
                              </a:prstGeom>
                              <a:solidFill>
                                <a:srgbClr val="8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38" style="width:17.3pt;height:15.65pt;margin-top:736.34pt;margin-left:-550.05pt;mso-position-horizontal-relative:right-margin-area;mso-position-vertical-relative:top-margin-area;mso-wrap-distance-bottom:0;mso-wrap-distance-left:0;mso-wrap-distance-right:0;mso-wrap-distance-top:0;position:absolute;v-text-anchor:top;z-index:-251651072" fillcolor="maroon" stroked="f"/>
                  </w:pict>
                </mc:Fallback>
              </mc:AlternateContent>
            </w:r>
            <w:r>
              <w:rPr>
                <w:position w:val="-1"/>
              </w:rPr>
              <w:drawing>
                <wp:inline distT="0" distB="0" distL="0" distR="0">
                  <wp:extent cx="2739770" cy="4899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2739770" cy="48996"/>
                          </a:xfrm>
                          <a:prstGeom prst="rect">
                            <a:avLst/>
                          </a:prstGeom>
                        </pic:spPr>
                      </pic:pic>
                    </a:graphicData>
                  </a:graphic>
                </wp:inline>
              </w:drawing>
            </w:r>
          </w:p>
          <w:p>
            <w:pPr>
              <w:spacing w:line="309" w:lineRule="auto"/>
              <w:rPr>
                <w:rFonts w:ascii="Arial"/>
                <w:sz w:val="21"/>
              </w:rPr>
            </w:pPr>
          </w:p>
          <w:p>
            <w:pPr>
              <w:pStyle w:val="TableText"/>
              <w:spacing w:before="88" w:line="224" w:lineRule="auto"/>
              <w:ind w:left="369"/>
              <w:rPr>
                <w:sz w:val="27"/>
                <w:szCs w:val="27"/>
              </w:rPr>
            </w:pPr>
            <w:r>
              <w:rPr>
                <w:color w:val="000080"/>
                <w:spacing w:val="-2"/>
                <w:sz w:val="27"/>
                <w:szCs w:val="27"/>
                <w14:textOutline w14:w="5050">
                  <w14:solidFill>
                    <w14:srgbClr w14:val="000080"/>
                  </w14:solidFill>
                  <w14:prstDash w14:val="solid"/>
                  <w14:round/>
                </w14:textOutline>
              </w:rPr>
              <w:t>引言</w:t>
            </w:r>
          </w:p>
          <w:p>
            <w:pPr>
              <w:spacing w:line="292" w:lineRule="auto"/>
              <w:rPr>
                <w:rFonts w:ascii="Arial"/>
                <w:sz w:val="21"/>
              </w:rPr>
            </w:pPr>
          </w:p>
          <w:p>
            <w:pPr>
              <w:pStyle w:val="TableText"/>
              <w:spacing w:before="72" w:line="327" w:lineRule="auto"/>
              <w:ind w:left="356" w:right="638" w:firstLine="430"/>
              <w:jc w:val="both"/>
            </w:pPr>
            <w:r>
              <w:rPr>
                <w:rFonts w:ascii="Times New Roman" w:eastAsia="Times New Roman" w:hAnsi="Times New Roman" w:cs="Times New Roman"/>
                <w:spacing w:val="-1"/>
              </w:rPr>
              <w:t>2023</w:t>
            </w:r>
            <w:r>
              <w:rPr>
                <w:rFonts w:ascii="Times New Roman" w:eastAsia="Times New Roman" w:hAnsi="Times New Roman" w:cs="Times New Roman"/>
                <w:spacing w:val="36"/>
                <w:w w:val="101"/>
              </w:rPr>
              <w:t xml:space="preserve"> </w:t>
            </w:r>
            <w:r>
              <w:rPr>
                <w:spacing w:val="-1"/>
              </w:rPr>
              <w:t>年</w:t>
            </w:r>
            <w:r>
              <w:rPr>
                <w:spacing w:val="-30"/>
              </w:rPr>
              <w:t xml:space="preserve"> </w:t>
            </w:r>
            <w:r>
              <w:rPr>
                <w:rFonts w:ascii="Times New Roman" w:eastAsia="Times New Roman" w:hAnsi="Times New Roman" w:cs="Times New Roman"/>
                <w:spacing w:val="-1"/>
              </w:rPr>
              <w:t>7</w:t>
            </w:r>
            <w:r>
              <w:rPr>
                <w:rFonts w:ascii="Times New Roman" w:eastAsia="Times New Roman" w:hAnsi="Times New Roman" w:cs="Times New Roman"/>
                <w:spacing w:val="42"/>
                <w:w w:val="101"/>
              </w:rPr>
              <w:t xml:space="preserve"> </w:t>
            </w:r>
            <w:r>
              <w:rPr>
                <w:spacing w:val="-1"/>
              </w:rPr>
              <w:t>月以来，随中央政治局会议提出“要有效防范化解地方债务风险，制定实</w:t>
            </w:r>
            <w:r>
              <w:rPr>
                <w:spacing w:val="-2"/>
              </w:rPr>
              <w:t>施一揽子化债方</w:t>
            </w:r>
            <w:r>
              <w:t xml:space="preserve"> </w:t>
            </w:r>
            <w:r>
              <w:rPr>
                <w:spacing w:val="-6"/>
              </w:rPr>
              <w:t>案”，中国人民银行、国家外汇管理局、</w:t>
            </w:r>
            <w:r>
              <w:rPr>
                <w:spacing w:val="40"/>
              </w:rPr>
              <w:t xml:space="preserve"> </w:t>
            </w:r>
            <w:r>
              <w:rPr>
                <w:spacing w:val="-6"/>
              </w:rPr>
              <w:t>中国证券监督管理委员会、国家金融监督管理总局、国务院等在</w:t>
            </w:r>
            <w:r>
              <w:t xml:space="preserve"> </w:t>
            </w:r>
            <w:r>
              <w:rPr>
                <w:spacing w:val="-4"/>
              </w:rPr>
              <w:t>相关会议及文件中亦提出了一系列防范化解地方债务风险的相关要求及政策。此外，</w:t>
            </w:r>
            <w:r>
              <w:rPr>
                <w:spacing w:val="-48"/>
              </w:rPr>
              <w:t xml:space="preserve"> </w:t>
            </w:r>
            <w:r>
              <w:rPr>
                <w:spacing w:val="-4"/>
              </w:rPr>
              <w:t>根据网传消</w:t>
            </w:r>
            <w:r>
              <w:rPr>
                <w:spacing w:val="-5"/>
              </w:rPr>
              <w:t>息国务院</w:t>
            </w:r>
            <w:r>
              <w:t xml:space="preserve"> </w:t>
            </w:r>
            <w:r>
              <w:rPr>
                <w:spacing w:val="-2"/>
              </w:rPr>
              <w:t>办公厅已发布</w:t>
            </w:r>
            <w:r>
              <w:rPr>
                <w:spacing w:val="-31"/>
              </w:rPr>
              <w:t xml:space="preserve"> </w:t>
            </w:r>
            <w:r>
              <w:rPr>
                <w:rFonts w:ascii="Times New Roman" w:eastAsia="Times New Roman" w:hAnsi="Times New Roman" w:cs="Times New Roman"/>
                <w:spacing w:val="-2"/>
              </w:rPr>
              <w:t>2023</w:t>
            </w:r>
            <w:r>
              <w:rPr>
                <w:rFonts w:ascii="Times New Roman" w:eastAsia="Times New Roman" w:hAnsi="Times New Roman" w:cs="Times New Roman"/>
                <w:spacing w:val="26"/>
                <w:w w:val="101"/>
              </w:rPr>
              <w:t xml:space="preserve"> </w:t>
            </w:r>
            <w:r>
              <w:rPr>
                <w:spacing w:val="-2"/>
              </w:rPr>
              <w:t>年</w:t>
            </w:r>
            <w:r>
              <w:rPr>
                <w:spacing w:val="-34"/>
              </w:rPr>
              <w:t xml:space="preserve"> </w:t>
            </w:r>
            <w:r>
              <w:rPr>
                <w:rFonts w:ascii="Times New Roman" w:eastAsia="Times New Roman" w:hAnsi="Times New Roman" w:cs="Times New Roman"/>
                <w:spacing w:val="-2"/>
              </w:rPr>
              <w:t>35</w:t>
            </w:r>
            <w:r>
              <w:rPr>
                <w:rFonts w:ascii="Times New Roman" w:eastAsia="Times New Roman" w:hAnsi="Times New Roman" w:cs="Times New Roman"/>
                <w:spacing w:val="28"/>
              </w:rPr>
              <w:t xml:space="preserve"> </w:t>
            </w:r>
            <w:r>
              <w:rPr>
                <w:spacing w:val="-2"/>
              </w:rPr>
              <w:t>号文以推动地方政府债务化解，针对重点省份</w:t>
            </w:r>
            <w:r>
              <w:rPr>
                <w:rFonts w:ascii="Times New Roman" w:eastAsia="Times New Roman" w:hAnsi="Times New Roman" w:cs="Times New Roman"/>
                <w:spacing w:val="-2"/>
                <w:position w:val="9"/>
                <w:sz w:val="13"/>
                <w:szCs w:val="13"/>
              </w:rPr>
              <w:t>1</w:t>
            </w:r>
            <w:r>
              <w:rPr>
                <w:rFonts w:ascii="Times New Roman" w:eastAsia="Times New Roman" w:hAnsi="Times New Roman" w:cs="Times New Roman"/>
                <w:spacing w:val="-8"/>
                <w:position w:val="9"/>
                <w:sz w:val="13"/>
                <w:szCs w:val="13"/>
              </w:rPr>
              <w:t xml:space="preserve"> </w:t>
            </w:r>
            <w:r>
              <w:rPr>
                <w:spacing w:val="-2"/>
              </w:rPr>
              <w:t>的银行贷款、债券和非标等不同</w:t>
            </w:r>
            <w:r>
              <w:t xml:space="preserve"> </w:t>
            </w:r>
            <w:r>
              <w:rPr>
                <w:spacing w:val="-9"/>
              </w:rPr>
              <w:t>融资渠道债务进行差异化化解，</w:t>
            </w:r>
            <w:r>
              <w:rPr>
                <w:spacing w:val="28"/>
              </w:rPr>
              <w:t xml:space="preserve"> </w:t>
            </w:r>
            <w:r>
              <w:rPr>
                <w:spacing w:val="-9"/>
              </w:rPr>
              <w:t>如银行贷款方面，</w:t>
            </w:r>
            <w:r>
              <w:rPr>
                <w:spacing w:val="-9"/>
              </w:rPr>
              <w:t xml:space="preserve"> </w:t>
            </w:r>
            <w:r>
              <w:rPr>
                <w:spacing w:val="-9"/>
              </w:rPr>
              <w:t>确需重组的重点省份融资平台债务，</w:t>
            </w:r>
            <w:r>
              <w:rPr>
                <w:spacing w:val="-57"/>
              </w:rPr>
              <w:t xml:space="preserve"> </w:t>
            </w:r>
            <w:r>
              <w:rPr>
                <w:spacing w:val="-9"/>
              </w:rPr>
              <w:t>优先由现债权人承</w:t>
            </w:r>
            <w:r>
              <w:t xml:space="preserve"> </w:t>
            </w:r>
            <w:r>
              <w:rPr>
                <w:spacing w:val="-10"/>
              </w:rPr>
              <w:t>接；债券融资方面，</w:t>
            </w:r>
            <w:r>
              <w:rPr>
                <w:spacing w:val="39"/>
              </w:rPr>
              <w:t xml:space="preserve"> </w:t>
            </w:r>
            <w:r>
              <w:rPr>
                <w:spacing w:val="-10"/>
              </w:rPr>
              <w:t>重点省份的参照平台管理的地方国</w:t>
            </w:r>
            <w:r>
              <w:rPr>
                <w:spacing w:val="-11"/>
              </w:rPr>
              <w:t>企只能借新还旧；</w:t>
            </w:r>
            <w:r>
              <w:rPr>
                <w:spacing w:val="-39"/>
              </w:rPr>
              <w:t xml:space="preserve"> </w:t>
            </w:r>
            <w:r>
              <w:rPr>
                <w:spacing w:val="-11"/>
              </w:rPr>
              <w:t>非标融资方面，</w:t>
            </w:r>
            <w:r>
              <w:rPr>
                <w:spacing w:val="31"/>
              </w:rPr>
              <w:t xml:space="preserve"> </w:t>
            </w:r>
            <w:r>
              <w:rPr>
                <w:spacing w:val="-11"/>
              </w:rPr>
              <w:t>针对重点省份各</w:t>
            </w:r>
          </w:p>
          <w:p>
            <w:pPr>
              <w:pStyle w:val="TableText"/>
              <w:spacing w:line="218" w:lineRule="auto"/>
              <w:ind w:left="358"/>
            </w:pPr>
            <w:r>
              <w:rPr>
                <w:spacing w:val="-1"/>
              </w:rPr>
              <w:t>类国企，要求金融机构配合展期降息。</w:t>
            </w:r>
          </w:p>
          <w:p>
            <w:pPr>
              <w:pStyle w:val="TableText"/>
              <w:spacing w:before="290" w:line="325" w:lineRule="auto"/>
              <w:ind w:left="358" w:right="638" w:firstLine="444"/>
            </w:pPr>
            <w:r>
              <w:rPr>
                <w:spacing w:val="-1"/>
              </w:rPr>
              <w:t>东北三省本次均被列入</w:t>
            </w:r>
            <w:r>
              <w:rPr>
                <w:spacing w:val="-26"/>
              </w:rPr>
              <w:t xml:space="preserve"> </w:t>
            </w:r>
            <w:r>
              <w:rPr>
                <w:rFonts w:ascii="Times New Roman" w:eastAsia="Times New Roman" w:hAnsi="Times New Roman" w:cs="Times New Roman"/>
                <w:spacing w:val="-1"/>
              </w:rPr>
              <w:t>12</w:t>
            </w:r>
            <w:r>
              <w:rPr>
                <w:rFonts w:ascii="Times New Roman" w:eastAsia="Times New Roman" w:hAnsi="Times New Roman" w:cs="Times New Roman"/>
                <w:spacing w:val="18"/>
                <w:w w:val="101"/>
              </w:rPr>
              <w:t xml:space="preserve"> </w:t>
            </w:r>
            <w:r>
              <w:rPr>
                <w:spacing w:val="-1"/>
              </w:rPr>
              <w:t>个高风险重点省份名单，本</w:t>
            </w:r>
            <w:r>
              <w:rPr>
                <w:spacing w:val="-2"/>
              </w:rPr>
              <w:t>文先推演东北三省列入高风险重点省份原因，</w:t>
            </w:r>
            <w:r>
              <w:t xml:space="preserve"> </w:t>
            </w:r>
            <w:r>
              <w:rPr>
                <w:spacing w:val="-3"/>
              </w:rPr>
              <w:t>再分别从中央及省级两个层面分析债务化解措施，最后探讨本次“一揽子化债”方案推行对东北三省的影</w:t>
            </w:r>
          </w:p>
          <w:p>
            <w:pPr>
              <w:pStyle w:val="TableText"/>
              <w:spacing w:line="219" w:lineRule="auto"/>
              <w:ind w:left="362"/>
            </w:pPr>
            <w:r>
              <w:rPr>
                <w:spacing w:val="-11"/>
              </w:rPr>
              <w:t>响。</w:t>
            </w:r>
          </w:p>
          <w:p>
            <w:pPr>
              <w:pStyle w:val="TableText"/>
              <w:spacing w:before="221" w:line="204" w:lineRule="auto"/>
              <w:ind w:left="2026"/>
              <w:rPr>
                <w:sz w:val="20"/>
                <w:szCs w:val="20"/>
              </w:rPr>
            </w:pPr>
            <w:r>
              <w:rPr>
                <w:color w:val="003366"/>
                <w:spacing w:val="-4"/>
                <w:sz w:val="20"/>
                <w:szCs w:val="20"/>
                <w14:textOutline w14:w="3657">
                  <w14:solidFill>
                    <w14:srgbClr w14:val="003366"/>
                  </w14:solidFill>
                  <w14:prstDash w14:val="solid"/>
                  <w14:round/>
                </w14:textOutline>
              </w:rPr>
              <w:t>表</w:t>
            </w:r>
            <w:r>
              <w:rPr>
                <w:rFonts w:ascii="Times New Roman" w:eastAsia="Times New Roman" w:hAnsi="Times New Roman" w:cs="Times New Roman"/>
                <w:b/>
                <w:bCs/>
                <w:color w:val="003366"/>
                <w:spacing w:val="-4"/>
                <w:sz w:val="20"/>
                <w:szCs w:val="20"/>
              </w:rPr>
              <w:t>1</w:t>
            </w:r>
            <w:r>
              <w:rPr>
                <w:color w:val="003366"/>
                <w:spacing w:val="-4"/>
                <w:sz w:val="20"/>
                <w:szCs w:val="20"/>
                <w14:textOutline w14:w="3657">
                  <w14:solidFill>
                    <w14:srgbClr w14:val="003366"/>
                  </w14:solidFill>
                  <w14:prstDash w14:val="solid"/>
                  <w14:round/>
                </w14:textOutline>
              </w:rPr>
              <w:t>：截至</w:t>
            </w:r>
            <w:r>
              <w:rPr>
                <w:rFonts w:ascii="Times New Roman" w:eastAsia="Times New Roman" w:hAnsi="Times New Roman" w:cs="Times New Roman"/>
                <w:b/>
                <w:bCs/>
                <w:color w:val="003366"/>
                <w:spacing w:val="-4"/>
                <w:sz w:val="20"/>
                <w:szCs w:val="20"/>
              </w:rPr>
              <w:t>2022</w:t>
            </w:r>
            <w:r>
              <w:rPr>
                <w:color w:val="003366"/>
                <w:spacing w:val="-4"/>
                <w:sz w:val="20"/>
                <w:szCs w:val="20"/>
                <w14:textOutline w14:w="3657">
                  <w14:solidFill>
                    <w14:srgbClr w14:val="003366"/>
                  </w14:solidFill>
                  <w14:prstDash w14:val="solid"/>
                  <w14:round/>
                </w14:textOutline>
              </w:rPr>
              <w:t>年末</w:t>
            </w:r>
            <w:r>
              <w:rPr>
                <w:rFonts w:ascii="Times New Roman" w:eastAsia="Times New Roman" w:hAnsi="Times New Roman" w:cs="Times New Roman"/>
                <w:b/>
                <w:bCs/>
                <w:color w:val="003366"/>
                <w:spacing w:val="-4"/>
                <w:sz w:val="20"/>
                <w:szCs w:val="20"/>
              </w:rPr>
              <w:t>12</w:t>
            </w:r>
            <w:r>
              <w:rPr>
                <w:color w:val="003366"/>
                <w:spacing w:val="-4"/>
                <w:sz w:val="20"/>
                <w:szCs w:val="20"/>
                <w14:textOutline w14:w="3657">
                  <w14:solidFill>
                    <w14:srgbClr w14:val="003366"/>
                  </w14:solidFill>
                  <w14:prstDash w14:val="solid"/>
                  <w14:round/>
                </w14:textOutline>
              </w:rPr>
              <w:t>个高风险重点省份经济、财政、债务情况（亿元、</w:t>
            </w:r>
            <w:r>
              <w:rPr>
                <w:color w:val="003366"/>
                <w:spacing w:val="57"/>
                <w:sz w:val="20"/>
                <w:szCs w:val="20"/>
              </w:rPr>
              <w:t xml:space="preserve"> </w:t>
            </w:r>
            <w:r>
              <w:rPr>
                <w:rFonts w:ascii="Times New Roman" w:eastAsia="Times New Roman" w:hAnsi="Times New Roman" w:cs="Times New Roman"/>
                <w:b/>
                <w:bCs/>
                <w:color w:val="003366"/>
                <w:spacing w:val="-4"/>
                <w:sz w:val="20"/>
                <w:szCs w:val="20"/>
              </w:rPr>
              <w:t>%</w:t>
            </w:r>
            <w:r>
              <w:rPr>
                <w:color w:val="003366"/>
                <w:spacing w:val="-4"/>
                <w:sz w:val="20"/>
                <w:szCs w:val="20"/>
                <w14:textOutline w14:w="3657">
                  <w14:solidFill>
                    <w14:srgbClr w14:val="003366"/>
                  </w14:solidFill>
                  <w14:prstDash w14:val="solid"/>
                  <w14:round/>
                </w14:textOutline>
              </w:rPr>
              <w:t>）</w:t>
            </w:r>
          </w:p>
          <w:tbl>
            <w:tblPr>
              <w:tblStyle w:val="TableNormal0"/>
              <w:tblW w:w="9805" w:type="dxa"/>
              <w:tblInd w:w="326" w:type="dxa"/>
              <w:tblBorders>
                <w:top w:val="nil"/>
                <w:left w:val="nil"/>
                <w:bottom w:val="nil"/>
                <w:right w:val="nil"/>
                <w:insideH w:val="nil"/>
                <w:insideV w:val="nil"/>
              </w:tblBorders>
              <w:tblLayout w:type="fixed"/>
            </w:tblPr>
            <w:tblGrid>
              <w:gridCol w:w="811"/>
              <w:gridCol w:w="1215"/>
              <w:gridCol w:w="1368"/>
              <w:gridCol w:w="1638"/>
              <w:gridCol w:w="1498"/>
              <w:gridCol w:w="1776"/>
              <w:gridCol w:w="1499"/>
            </w:tblGrid>
            <w:tr>
              <w:tblPrEx>
                <w:tblW w:w="9805" w:type="dxa"/>
                <w:tblInd w:w="326" w:type="dxa"/>
                <w:tblBorders>
                  <w:top w:val="nil"/>
                  <w:left w:val="nil"/>
                  <w:bottom w:val="nil"/>
                  <w:right w:val="nil"/>
                  <w:insideH w:val="nil"/>
                  <w:insideV w:val="nil"/>
                </w:tblBorders>
                <w:tblLayout w:type="fixed"/>
              </w:tblPrEx>
              <w:trPr>
                <w:trHeight w:val="628"/>
              </w:trPr>
              <w:tc>
                <w:tcPr>
                  <w:tcW w:w="811" w:type="dxa"/>
                  <w:tcBorders>
                    <w:top w:val="single" w:sz="2" w:space="0" w:color="000000"/>
                  </w:tcBorders>
                  <w:shd w:val="clear" w:color="auto" w:fill="003366"/>
                  <w:vAlign w:val="top"/>
                </w:tcPr>
                <w:p>
                  <w:pPr>
                    <w:pStyle w:val="TableText"/>
                    <w:spacing w:before="226" w:line="221" w:lineRule="auto"/>
                    <w:ind w:left="242"/>
                    <w:rPr>
                      <w:sz w:val="18"/>
                      <w:szCs w:val="18"/>
                    </w:rPr>
                  </w:pPr>
                  <w:r>
                    <w:rPr>
                      <w:color w:val="FFFFFF"/>
                      <w:spacing w:val="-2"/>
                      <w:sz w:val="18"/>
                      <w:szCs w:val="18"/>
                      <w14:textOutline w14:w="3309">
                        <w14:solidFill>
                          <w14:srgbClr w14:val="FFFFFF"/>
                        </w14:solidFill>
                        <w14:prstDash w14:val="solid"/>
                        <w14:round/>
                      </w14:textOutline>
                    </w:rPr>
                    <w:t>序号</w:t>
                  </w:r>
                </w:p>
              </w:tc>
              <w:tc>
                <w:tcPr>
                  <w:tcW w:w="1215" w:type="dxa"/>
                  <w:tcBorders>
                    <w:top w:val="single" w:sz="2" w:space="0" w:color="000000"/>
                  </w:tcBorders>
                  <w:shd w:val="clear" w:color="auto" w:fill="003366"/>
                  <w:vAlign w:val="top"/>
                </w:tcPr>
                <w:p>
                  <w:pPr>
                    <w:pStyle w:val="TableText"/>
                    <w:spacing w:before="226" w:line="221" w:lineRule="auto"/>
                    <w:ind w:left="436"/>
                    <w:rPr>
                      <w:sz w:val="18"/>
                      <w:szCs w:val="18"/>
                    </w:rPr>
                  </w:pPr>
                  <w:r>
                    <w:rPr>
                      <w:color w:val="FFFFFF"/>
                      <w:spacing w:val="-3"/>
                      <w:sz w:val="18"/>
                      <w:szCs w:val="18"/>
                      <w14:textOutline w14:w="3309">
                        <w14:solidFill>
                          <w14:srgbClr w14:val="FFFFFF"/>
                        </w14:solidFill>
                        <w14:prstDash w14:val="solid"/>
                        <w14:round/>
                      </w14:textOutline>
                    </w:rPr>
                    <w:t>省份</w:t>
                  </w:r>
                </w:p>
              </w:tc>
              <w:tc>
                <w:tcPr>
                  <w:tcW w:w="1368" w:type="dxa"/>
                  <w:tcBorders>
                    <w:top w:val="single" w:sz="2" w:space="0" w:color="000000"/>
                  </w:tcBorders>
                  <w:shd w:val="clear" w:color="auto" w:fill="003366"/>
                  <w:vAlign w:val="top"/>
                </w:tcPr>
                <w:p>
                  <w:pPr>
                    <w:spacing w:before="265" w:line="188" w:lineRule="auto"/>
                    <w:ind w:left="502"/>
                    <w:rPr>
                      <w:rFonts w:ascii="Times New Roman" w:eastAsia="Times New Roman" w:hAnsi="Times New Roman" w:cs="Times New Roman"/>
                      <w:sz w:val="18"/>
                      <w:szCs w:val="18"/>
                    </w:rPr>
                  </w:pPr>
                  <w:r>
                    <w:rPr>
                      <w:rFonts w:ascii="Times New Roman" w:eastAsia="Times New Roman" w:hAnsi="Times New Roman" w:cs="Times New Roman"/>
                      <w:b/>
                      <w:bCs/>
                      <w:color w:val="FFFFFF"/>
                      <w:spacing w:val="-1"/>
                      <w:sz w:val="18"/>
                      <w:szCs w:val="18"/>
                    </w:rPr>
                    <w:t>GDP</w:t>
                  </w:r>
                </w:p>
              </w:tc>
              <w:tc>
                <w:tcPr>
                  <w:tcW w:w="1638" w:type="dxa"/>
                  <w:tcBorders>
                    <w:top w:val="single" w:sz="2" w:space="0" w:color="000000"/>
                  </w:tcBorders>
                  <w:shd w:val="clear" w:color="auto" w:fill="003366"/>
                  <w:vAlign w:val="top"/>
                </w:tcPr>
                <w:p>
                  <w:pPr>
                    <w:pStyle w:val="TableText"/>
                    <w:spacing w:before="69" w:line="277" w:lineRule="auto"/>
                    <w:ind w:left="737" w:right="187" w:hanging="539"/>
                    <w:rPr>
                      <w:sz w:val="18"/>
                      <w:szCs w:val="18"/>
                    </w:rPr>
                  </w:pPr>
                  <w:r>
                    <w:rPr>
                      <w:color w:val="FFFFFF"/>
                      <w:spacing w:val="-2"/>
                      <w:sz w:val="18"/>
                      <w:szCs w:val="18"/>
                      <w14:textOutline w14:w="3309">
                        <w14:solidFill>
                          <w14:srgbClr w14:val="FFFFFF"/>
                        </w14:solidFill>
                        <w14:prstDash w14:val="solid"/>
                        <w14:round/>
                      </w14:textOutline>
                    </w:rPr>
                    <w:t>一般公共预算收</w:t>
                  </w:r>
                  <w:r>
                    <w:rPr>
                      <w:color w:val="FFFFFF"/>
                      <w:spacing w:val="5"/>
                      <w:sz w:val="18"/>
                      <w:szCs w:val="18"/>
                    </w:rPr>
                    <w:t xml:space="preserve"> </w:t>
                  </w:r>
                  <w:r>
                    <w:rPr>
                      <w:color w:val="FFFFFF"/>
                      <w:sz w:val="18"/>
                      <w:szCs w:val="18"/>
                      <w14:textOutline w14:w="3309">
                        <w14:solidFill>
                          <w14:srgbClr w14:val="FFFFFF"/>
                        </w14:solidFill>
                        <w14:prstDash w14:val="solid"/>
                        <w14:round/>
                      </w14:textOutline>
                    </w:rPr>
                    <w:t>入</w:t>
                  </w:r>
                </w:p>
              </w:tc>
              <w:tc>
                <w:tcPr>
                  <w:tcW w:w="1498" w:type="dxa"/>
                  <w:tcBorders>
                    <w:top w:val="single" w:sz="2" w:space="0" w:color="000000"/>
                  </w:tcBorders>
                  <w:shd w:val="clear" w:color="auto" w:fill="003366"/>
                  <w:vAlign w:val="top"/>
                </w:tcPr>
                <w:p>
                  <w:pPr>
                    <w:pStyle w:val="TableText"/>
                    <w:spacing w:before="227" w:line="218" w:lineRule="auto"/>
                    <w:ind w:left="128"/>
                    <w:rPr>
                      <w:sz w:val="18"/>
                      <w:szCs w:val="18"/>
                    </w:rPr>
                  </w:pPr>
                  <w:r>
                    <w:rPr>
                      <w:color w:val="FFFFFF"/>
                      <w:spacing w:val="-1"/>
                      <w:sz w:val="18"/>
                      <w:szCs w:val="18"/>
                      <w14:textOutline w14:w="3309">
                        <w14:solidFill>
                          <w14:srgbClr w14:val="FFFFFF"/>
                        </w14:solidFill>
                        <w14:prstDash w14:val="solid"/>
                        <w14:round/>
                      </w14:textOutline>
                    </w:rPr>
                    <w:t>政府性基金收入</w:t>
                  </w:r>
                </w:p>
              </w:tc>
              <w:tc>
                <w:tcPr>
                  <w:tcW w:w="1776" w:type="dxa"/>
                  <w:tcBorders>
                    <w:top w:val="single" w:sz="2" w:space="0" w:color="000000"/>
                  </w:tcBorders>
                  <w:shd w:val="clear" w:color="auto" w:fill="003366"/>
                  <w:vAlign w:val="top"/>
                </w:tcPr>
                <w:p>
                  <w:pPr>
                    <w:pStyle w:val="TableText"/>
                    <w:spacing w:before="227" w:line="219" w:lineRule="auto"/>
                    <w:ind w:left="181"/>
                    <w:rPr>
                      <w:sz w:val="18"/>
                      <w:szCs w:val="18"/>
                    </w:rPr>
                  </w:pPr>
                  <w:r>
                    <w:rPr>
                      <w:color w:val="FFFFFF"/>
                      <w:spacing w:val="-1"/>
                      <w:sz w:val="18"/>
                      <w:szCs w:val="18"/>
                      <w14:textOutline w14:w="3309">
                        <w14:solidFill>
                          <w14:srgbClr w14:val="FFFFFF"/>
                        </w14:solidFill>
                        <w14:prstDash w14:val="solid"/>
                        <w14:round/>
                      </w14:textOutline>
                    </w:rPr>
                    <w:t>地方政府债务余额</w:t>
                  </w:r>
                </w:p>
              </w:tc>
              <w:tc>
                <w:tcPr>
                  <w:tcW w:w="1499" w:type="dxa"/>
                  <w:tcBorders>
                    <w:top w:val="single" w:sz="2" w:space="0" w:color="000000"/>
                  </w:tcBorders>
                  <w:shd w:val="clear" w:color="auto" w:fill="003366"/>
                  <w:vAlign w:val="top"/>
                </w:tcPr>
                <w:p>
                  <w:pPr>
                    <w:pStyle w:val="TableText"/>
                    <w:spacing w:before="227" w:line="219" w:lineRule="auto"/>
                    <w:ind w:left="485"/>
                    <w:rPr>
                      <w:sz w:val="18"/>
                      <w:szCs w:val="18"/>
                    </w:rPr>
                  </w:pPr>
                  <w:r>
                    <w:rPr>
                      <w:color w:val="FFFFFF"/>
                      <w:spacing w:val="-2"/>
                      <w:sz w:val="18"/>
                      <w:szCs w:val="18"/>
                      <w14:textOutline w14:w="3309">
                        <w14:solidFill>
                          <w14:srgbClr w14:val="FFFFFF"/>
                        </w14:solidFill>
                        <w14:prstDash w14:val="solid"/>
                        <w14:round/>
                      </w14:textOutline>
                    </w:rPr>
                    <w:t>债务率</w:t>
                  </w:r>
                </w:p>
              </w:tc>
            </w:tr>
            <w:tr>
              <w:tblPrEx>
                <w:tblW w:w="9805" w:type="dxa"/>
                <w:tblInd w:w="326" w:type="dxa"/>
                <w:tblLayout w:type="fixed"/>
              </w:tblPrEx>
              <w:trPr>
                <w:trHeight w:val="311"/>
              </w:trPr>
              <w:tc>
                <w:tcPr>
                  <w:tcW w:w="811" w:type="dxa"/>
                  <w:vAlign w:val="top"/>
                </w:tcPr>
                <w:p>
                  <w:pPr>
                    <w:spacing w:before="98" w:line="188" w:lineRule="auto"/>
                    <w:ind w:left="386"/>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tc>
              <w:tc>
                <w:tcPr>
                  <w:tcW w:w="1215" w:type="dxa"/>
                  <w:vAlign w:val="top"/>
                </w:tcPr>
                <w:p>
                  <w:pPr>
                    <w:pStyle w:val="TableText"/>
                    <w:spacing w:before="64" w:line="221" w:lineRule="auto"/>
                    <w:ind w:left="349"/>
                    <w:rPr>
                      <w:sz w:val="18"/>
                      <w:szCs w:val="18"/>
                    </w:rPr>
                  </w:pPr>
                  <w:r>
                    <w:rPr>
                      <w:spacing w:val="-6"/>
                      <w:sz w:val="18"/>
                      <w:szCs w:val="18"/>
                    </w:rPr>
                    <w:t>天</w:t>
                  </w:r>
                  <w:r>
                    <w:rPr>
                      <w:spacing w:val="5"/>
                      <w:sz w:val="18"/>
                      <w:szCs w:val="18"/>
                    </w:rPr>
                    <w:t xml:space="preserve">  </w:t>
                  </w:r>
                  <w:r>
                    <w:rPr>
                      <w:spacing w:val="-6"/>
                      <w:sz w:val="18"/>
                      <w:szCs w:val="18"/>
                    </w:rPr>
                    <w:t>津</w:t>
                  </w:r>
                </w:p>
              </w:tc>
              <w:tc>
                <w:tcPr>
                  <w:tcW w:w="1368" w:type="dxa"/>
                  <w:vAlign w:val="top"/>
                </w:tcPr>
                <w:p>
                  <w:pPr>
                    <w:spacing w:before="95" w:line="203" w:lineRule="auto"/>
                    <w:ind w:left="56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16,311.34</w:t>
                  </w:r>
                </w:p>
              </w:tc>
              <w:tc>
                <w:tcPr>
                  <w:tcW w:w="1638" w:type="dxa"/>
                  <w:vAlign w:val="top"/>
                </w:tcPr>
                <w:p>
                  <w:pPr>
                    <w:spacing w:before="95" w:line="203" w:lineRule="auto"/>
                    <w:ind w:left="9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1,846.69</w:t>
                  </w:r>
                </w:p>
              </w:tc>
              <w:tc>
                <w:tcPr>
                  <w:tcW w:w="1498" w:type="dxa"/>
                  <w:vAlign w:val="top"/>
                </w:tcPr>
                <w:p>
                  <w:pPr>
                    <w:spacing w:before="98" w:line="188" w:lineRule="auto"/>
                    <w:ind w:left="896"/>
                    <w:rPr>
                      <w:rFonts w:ascii="Times New Roman" w:eastAsia="Times New Roman" w:hAnsi="Times New Roman" w:cs="Times New Roman"/>
                      <w:sz w:val="18"/>
                      <w:szCs w:val="18"/>
                    </w:rPr>
                  </w:pPr>
                  <w:r>
                    <w:rPr>
                      <w:rFonts w:ascii="Times New Roman" w:eastAsia="Times New Roman" w:hAnsi="Times New Roman" w:cs="Times New Roman"/>
                      <w:sz w:val="18"/>
                      <w:szCs w:val="18"/>
                    </w:rPr>
                    <w:t>423.66</w:t>
                  </w:r>
                </w:p>
              </w:tc>
              <w:tc>
                <w:tcPr>
                  <w:tcW w:w="1776" w:type="dxa"/>
                  <w:vAlign w:val="top"/>
                </w:tcPr>
                <w:p>
                  <w:pPr>
                    <w:spacing w:before="95" w:line="203" w:lineRule="auto"/>
                    <w:ind w:left="1053"/>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8,645.55</w:t>
                  </w:r>
                </w:p>
              </w:tc>
              <w:tc>
                <w:tcPr>
                  <w:tcW w:w="1499" w:type="dxa"/>
                  <w:vAlign w:val="top"/>
                </w:tcPr>
                <w:p>
                  <w:pPr>
                    <w:spacing w:before="98" w:line="188" w:lineRule="auto"/>
                    <w:ind w:left="893"/>
                    <w:rPr>
                      <w:rFonts w:ascii="Times New Roman" w:eastAsia="Times New Roman" w:hAnsi="Times New Roman" w:cs="Times New Roman"/>
                      <w:sz w:val="18"/>
                      <w:szCs w:val="18"/>
                    </w:rPr>
                  </w:pPr>
                  <w:r>
                    <w:rPr>
                      <w:rFonts w:ascii="Times New Roman" w:eastAsia="Times New Roman" w:hAnsi="Times New Roman" w:cs="Times New Roman"/>
                      <w:sz w:val="18"/>
                      <w:szCs w:val="18"/>
                    </w:rPr>
                    <w:t>278.65</w:t>
                  </w:r>
                </w:p>
              </w:tc>
            </w:tr>
            <w:tr>
              <w:tblPrEx>
                <w:tblW w:w="9805" w:type="dxa"/>
                <w:tblInd w:w="326" w:type="dxa"/>
                <w:tblLayout w:type="fixed"/>
              </w:tblPrEx>
              <w:trPr>
                <w:trHeight w:val="311"/>
              </w:trPr>
              <w:tc>
                <w:tcPr>
                  <w:tcW w:w="811" w:type="dxa"/>
                  <w:shd w:val="clear" w:color="auto" w:fill="CCECFF"/>
                  <w:vAlign w:val="top"/>
                </w:tcPr>
                <w:p>
                  <w:pPr>
                    <w:spacing w:before="99" w:line="188" w:lineRule="auto"/>
                    <w:ind w:left="368"/>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tc>
              <w:tc>
                <w:tcPr>
                  <w:tcW w:w="1215" w:type="dxa"/>
                  <w:shd w:val="clear" w:color="auto" w:fill="CCECFF"/>
                  <w:vAlign w:val="top"/>
                </w:tcPr>
                <w:p>
                  <w:pPr>
                    <w:pStyle w:val="TableText"/>
                    <w:spacing w:before="65" w:line="221" w:lineRule="auto"/>
                    <w:ind w:left="353"/>
                    <w:rPr>
                      <w:sz w:val="18"/>
                      <w:szCs w:val="18"/>
                    </w:rPr>
                  </w:pPr>
                  <w:r>
                    <w:rPr>
                      <w:spacing w:val="-8"/>
                      <w:sz w:val="18"/>
                      <w:szCs w:val="18"/>
                    </w:rPr>
                    <w:t>青</w:t>
                  </w:r>
                  <w:r>
                    <w:rPr>
                      <w:spacing w:val="5"/>
                      <w:sz w:val="18"/>
                      <w:szCs w:val="18"/>
                    </w:rPr>
                    <w:t xml:space="preserve">  </w:t>
                  </w:r>
                  <w:r>
                    <w:rPr>
                      <w:spacing w:val="-8"/>
                      <w:sz w:val="18"/>
                      <w:szCs w:val="18"/>
                    </w:rPr>
                    <w:t>海</w:t>
                  </w:r>
                </w:p>
              </w:tc>
              <w:tc>
                <w:tcPr>
                  <w:tcW w:w="1368" w:type="dxa"/>
                  <w:shd w:val="clear" w:color="auto" w:fill="CCECFF"/>
                  <w:vAlign w:val="top"/>
                </w:tcPr>
                <w:p>
                  <w:pPr>
                    <w:spacing w:before="96" w:line="203" w:lineRule="auto"/>
                    <w:ind w:left="64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3,610.07</w:t>
                  </w:r>
                </w:p>
              </w:tc>
              <w:tc>
                <w:tcPr>
                  <w:tcW w:w="1638" w:type="dxa"/>
                  <w:shd w:val="clear" w:color="auto" w:fill="CCECFF"/>
                  <w:vAlign w:val="top"/>
                </w:tcPr>
                <w:p>
                  <w:pPr>
                    <w:spacing w:before="99" w:line="188" w:lineRule="auto"/>
                    <w:ind w:left="104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329.10</w:t>
                  </w:r>
                </w:p>
              </w:tc>
              <w:tc>
                <w:tcPr>
                  <w:tcW w:w="1498" w:type="dxa"/>
                  <w:shd w:val="clear" w:color="auto" w:fill="CCECFF"/>
                  <w:vAlign w:val="top"/>
                </w:tcPr>
                <w:p>
                  <w:pPr>
                    <w:spacing w:before="99" w:line="188" w:lineRule="auto"/>
                    <w:ind w:left="99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92.58</w:t>
                  </w:r>
                </w:p>
              </w:tc>
              <w:tc>
                <w:tcPr>
                  <w:tcW w:w="1776" w:type="dxa"/>
                  <w:shd w:val="clear" w:color="auto" w:fill="CCECFF"/>
                  <w:vAlign w:val="top"/>
                </w:tcPr>
                <w:p>
                  <w:pPr>
                    <w:spacing w:before="96" w:line="203" w:lineRule="auto"/>
                    <w:ind w:left="10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3,044.28</w:t>
                  </w:r>
                </w:p>
              </w:tc>
              <w:tc>
                <w:tcPr>
                  <w:tcW w:w="1499" w:type="dxa"/>
                  <w:shd w:val="clear" w:color="auto" w:fill="CCECFF"/>
                  <w:vAlign w:val="top"/>
                </w:tcPr>
                <w:p>
                  <w:pPr>
                    <w:spacing w:before="99"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175.71</w:t>
                  </w:r>
                </w:p>
              </w:tc>
            </w:tr>
            <w:tr>
              <w:tblPrEx>
                <w:tblW w:w="9805" w:type="dxa"/>
                <w:tblInd w:w="326" w:type="dxa"/>
                <w:tblLayout w:type="fixed"/>
              </w:tblPrEx>
              <w:trPr>
                <w:trHeight w:val="312"/>
              </w:trPr>
              <w:tc>
                <w:tcPr>
                  <w:tcW w:w="811" w:type="dxa"/>
                  <w:vAlign w:val="top"/>
                </w:tcPr>
                <w:p>
                  <w:pPr>
                    <w:spacing w:before="100" w:line="188" w:lineRule="auto"/>
                    <w:ind w:left="372"/>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tc>
              <w:tc>
                <w:tcPr>
                  <w:tcW w:w="1215" w:type="dxa"/>
                  <w:vAlign w:val="top"/>
                </w:tcPr>
                <w:p>
                  <w:pPr>
                    <w:pStyle w:val="TableText"/>
                    <w:spacing w:before="66" w:line="221" w:lineRule="auto"/>
                    <w:ind w:left="350"/>
                    <w:rPr>
                      <w:sz w:val="18"/>
                      <w:szCs w:val="18"/>
                    </w:rPr>
                  </w:pPr>
                  <w:r>
                    <w:rPr>
                      <w:spacing w:val="-6"/>
                      <w:sz w:val="18"/>
                      <w:szCs w:val="18"/>
                    </w:rPr>
                    <w:t>甘</w:t>
                  </w:r>
                  <w:r>
                    <w:rPr>
                      <w:spacing w:val="6"/>
                      <w:sz w:val="18"/>
                      <w:szCs w:val="18"/>
                    </w:rPr>
                    <w:t xml:space="preserve">  </w:t>
                  </w:r>
                  <w:r>
                    <w:rPr>
                      <w:spacing w:val="-6"/>
                      <w:sz w:val="18"/>
                      <w:szCs w:val="18"/>
                    </w:rPr>
                    <w:t>肃</w:t>
                  </w:r>
                </w:p>
              </w:tc>
              <w:tc>
                <w:tcPr>
                  <w:tcW w:w="1368" w:type="dxa"/>
                  <w:vAlign w:val="top"/>
                </w:tcPr>
                <w:p>
                  <w:pPr>
                    <w:spacing w:before="97" w:line="203" w:lineRule="auto"/>
                    <w:ind w:left="56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11,201.60</w:t>
                  </w:r>
                </w:p>
              </w:tc>
              <w:tc>
                <w:tcPr>
                  <w:tcW w:w="1638" w:type="dxa"/>
                  <w:vAlign w:val="top"/>
                </w:tcPr>
                <w:p>
                  <w:pPr>
                    <w:spacing w:before="100" w:line="188" w:lineRule="auto"/>
                    <w:ind w:left="104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907.65</w:t>
                  </w:r>
                </w:p>
              </w:tc>
              <w:tc>
                <w:tcPr>
                  <w:tcW w:w="1498" w:type="dxa"/>
                  <w:vAlign w:val="top"/>
                </w:tcPr>
                <w:p>
                  <w:pPr>
                    <w:spacing w:before="100" w:line="188" w:lineRule="auto"/>
                    <w:ind w:left="90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370.95</w:t>
                  </w:r>
                </w:p>
              </w:tc>
              <w:tc>
                <w:tcPr>
                  <w:tcW w:w="1776" w:type="dxa"/>
                  <w:vAlign w:val="top"/>
                </w:tcPr>
                <w:p>
                  <w:pPr>
                    <w:spacing w:before="97" w:line="203" w:lineRule="auto"/>
                    <w:ind w:left="105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6,086.90</w:t>
                  </w:r>
                </w:p>
              </w:tc>
              <w:tc>
                <w:tcPr>
                  <w:tcW w:w="1499" w:type="dxa"/>
                  <w:vAlign w:val="top"/>
                </w:tcPr>
                <w:p>
                  <w:pPr>
                    <w:spacing w:before="100"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165.65</w:t>
                  </w:r>
                </w:p>
              </w:tc>
            </w:tr>
            <w:tr>
              <w:tblPrEx>
                <w:tblW w:w="9805" w:type="dxa"/>
                <w:tblInd w:w="326" w:type="dxa"/>
                <w:tblLayout w:type="fixed"/>
              </w:tblPrEx>
              <w:trPr>
                <w:trHeight w:val="312"/>
              </w:trPr>
              <w:tc>
                <w:tcPr>
                  <w:tcW w:w="811" w:type="dxa"/>
                  <w:shd w:val="clear" w:color="auto" w:fill="CCECFF"/>
                  <w:vAlign w:val="top"/>
                </w:tcPr>
                <w:p>
                  <w:pPr>
                    <w:spacing w:before="100" w:line="188" w:lineRule="auto"/>
                    <w:ind w:left="367"/>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tc>
              <w:tc>
                <w:tcPr>
                  <w:tcW w:w="1215" w:type="dxa"/>
                  <w:shd w:val="clear" w:color="auto" w:fill="CCECFF"/>
                  <w:vAlign w:val="top"/>
                </w:tcPr>
                <w:p>
                  <w:pPr>
                    <w:pStyle w:val="TableText"/>
                    <w:spacing w:before="66" w:line="221" w:lineRule="auto"/>
                    <w:ind w:left="348"/>
                    <w:rPr>
                      <w:sz w:val="18"/>
                      <w:szCs w:val="18"/>
                    </w:rPr>
                  </w:pPr>
                  <w:r>
                    <w:rPr>
                      <w:spacing w:val="-5"/>
                      <w:sz w:val="18"/>
                      <w:szCs w:val="18"/>
                    </w:rPr>
                    <w:t>贵</w:t>
                  </w:r>
                  <w:r>
                    <w:rPr>
                      <w:spacing w:val="7"/>
                      <w:sz w:val="18"/>
                      <w:szCs w:val="18"/>
                    </w:rPr>
                    <w:t xml:space="preserve">  </w:t>
                  </w:r>
                  <w:r>
                    <w:rPr>
                      <w:spacing w:val="-5"/>
                      <w:sz w:val="18"/>
                      <w:szCs w:val="18"/>
                    </w:rPr>
                    <w:t>州</w:t>
                  </w:r>
                </w:p>
              </w:tc>
              <w:tc>
                <w:tcPr>
                  <w:tcW w:w="1368" w:type="dxa"/>
                  <w:shd w:val="clear" w:color="auto" w:fill="CCECFF"/>
                  <w:vAlign w:val="top"/>
                </w:tcPr>
                <w:p>
                  <w:pPr>
                    <w:spacing w:before="97" w:line="203" w:lineRule="auto"/>
                    <w:ind w:left="546"/>
                    <w:rPr>
                      <w:rFonts w:ascii="Times New Roman" w:eastAsia="Times New Roman" w:hAnsi="Times New Roman" w:cs="Times New Roman"/>
                      <w:sz w:val="18"/>
                      <w:szCs w:val="18"/>
                    </w:rPr>
                  </w:pPr>
                  <w:r>
                    <w:rPr>
                      <w:rFonts w:ascii="Times New Roman" w:eastAsia="Times New Roman" w:hAnsi="Times New Roman" w:cs="Times New Roman"/>
                      <w:sz w:val="18"/>
                      <w:szCs w:val="18"/>
                    </w:rPr>
                    <w:t>20,164.58</w:t>
                  </w:r>
                </w:p>
              </w:tc>
              <w:tc>
                <w:tcPr>
                  <w:tcW w:w="1638" w:type="dxa"/>
                  <w:shd w:val="clear" w:color="auto" w:fill="CCECFF"/>
                  <w:vAlign w:val="top"/>
                </w:tcPr>
                <w:p>
                  <w:pPr>
                    <w:spacing w:before="97" w:line="203" w:lineRule="auto"/>
                    <w:ind w:left="9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1,886.41</w:t>
                  </w:r>
                </w:p>
              </w:tc>
              <w:tc>
                <w:tcPr>
                  <w:tcW w:w="1498" w:type="dxa"/>
                  <w:shd w:val="clear" w:color="auto" w:fill="CCECFF"/>
                  <w:vAlign w:val="top"/>
                </w:tcPr>
                <w:p>
                  <w:pPr>
                    <w:spacing w:before="97" w:line="203" w:lineRule="auto"/>
                    <w:ind w:left="76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2,041.26</w:t>
                  </w:r>
                </w:p>
              </w:tc>
              <w:tc>
                <w:tcPr>
                  <w:tcW w:w="1776" w:type="dxa"/>
                  <w:shd w:val="clear" w:color="auto" w:fill="CCECFF"/>
                  <w:vAlign w:val="top"/>
                </w:tcPr>
                <w:p>
                  <w:pPr>
                    <w:spacing w:before="97" w:line="203" w:lineRule="auto"/>
                    <w:ind w:left="9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12,472.85</w:t>
                  </w:r>
                </w:p>
              </w:tc>
              <w:tc>
                <w:tcPr>
                  <w:tcW w:w="1499" w:type="dxa"/>
                  <w:shd w:val="clear" w:color="auto" w:fill="CCECFF"/>
                  <w:vAlign w:val="top"/>
                </w:tcPr>
                <w:p>
                  <w:pPr>
                    <w:spacing w:before="100"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161.23</w:t>
                  </w:r>
                </w:p>
              </w:tc>
            </w:tr>
            <w:tr>
              <w:tblPrEx>
                <w:tblW w:w="9805" w:type="dxa"/>
                <w:tblInd w:w="326" w:type="dxa"/>
                <w:tblLayout w:type="fixed"/>
              </w:tblPrEx>
              <w:trPr>
                <w:trHeight w:val="312"/>
              </w:trPr>
              <w:tc>
                <w:tcPr>
                  <w:tcW w:w="811" w:type="dxa"/>
                  <w:vAlign w:val="top"/>
                </w:tcPr>
                <w:p>
                  <w:pPr>
                    <w:spacing w:before="103" w:line="185" w:lineRule="auto"/>
                    <w:ind w:left="373"/>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tc>
              <w:tc>
                <w:tcPr>
                  <w:tcW w:w="1215" w:type="dxa"/>
                  <w:vAlign w:val="top"/>
                </w:tcPr>
                <w:p>
                  <w:pPr>
                    <w:pStyle w:val="TableText"/>
                    <w:spacing w:before="67" w:line="224" w:lineRule="auto"/>
                    <w:ind w:left="349"/>
                    <w:rPr>
                      <w:sz w:val="18"/>
                      <w:szCs w:val="18"/>
                    </w:rPr>
                  </w:pPr>
                  <w:r>
                    <w:rPr>
                      <w:spacing w:val="-6"/>
                      <w:sz w:val="18"/>
                      <w:szCs w:val="18"/>
                    </w:rPr>
                    <w:t>云</w:t>
                  </w:r>
                  <w:r>
                    <w:rPr>
                      <w:spacing w:val="9"/>
                      <w:sz w:val="18"/>
                      <w:szCs w:val="18"/>
                    </w:rPr>
                    <w:t xml:space="preserve">  </w:t>
                  </w:r>
                  <w:r>
                    <w:rPr>
                      <w:spacing w:val="-6"/>
                      <w:sz w:val="18"/>
                      <w:szCs w:val="18"/>
                    </w:rPr>
                    <w:t>南</w:t>
                  </w:r>
                </w:p>
              </w:tc>
              <w:tc>
                <w:tcPr>
                  <w:tcW w:w="1368" w:type="dxa"/>
                  <w:vAlign w:val="top"/>
                </w:tcPr>
                <w:p>
                  <w:pPr>
                    <w:spacing w:before="97" w:line="203" w:lineRule="auto"/>
                    <w:ind w:left="546"/>
                    <w:rPr>
                      <w:rFonts w:ascii="Times New Roman" w:eastAsia="Times New Roman" w:hAnsi="Times New Roman" w:cs="Times New Roman"/>
                      <w:sz w:val="18"/>
                      <w:szCs w:val="18"/>
                    </w:rPr>
                  </w:pPr>
                  <w:r>
                    <w:rPr>
                      <w:rFonts w:ascii="Times New Roman" w:eastAsia="Times New Roman" w:hAnsi="Times New Roman" w:cs="Times New Roman"/>
                      <w:sz w:val="18"/>
                      <w:szCs w:val="18"/>
                    </w:rPr>
                    <w:t>28,954.20</w:t>
                  </w:r>
                </w:p>
              </w:tc>
              <w:tc>
                <w:tcPr>
                  <w:tcW w:w="1638" w:type="dxa"/>
                  <w:vAlign w:val="top"/>
                </w:tcPr>
                <w:p>
                  <w:pPr>
                    <w:spacing w:before="97" w:line="203" w:lineRule="auto"/>
                    <w:ind w:left="9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1,949.46</w:t>
                  </w:r>
                </w:p>
              </w:tc>
              <w:tc>
                <w:tcPr>
                  <w:tcW w:w="1498" w:type="dxa"/>
                  <w:vAlign w:val="top"/>
                </w:tcPr>
                <w:p>
                  <w:pPr>
                    <w:spacing w:before="100" w:line="188" w:lineRule="auto"/>
                    <w:ind w:left="90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620.82</w:t>
                  </w:r>
                </w:p>
              </w:tc>
              <w:tc>
                <w:tcPr>
                  <w:tcW w:w="1776" w:type="dxa"/>
                  <w:vAlign w:val="top"/>
                </w:tcPr>
                <w:p>
                  <w:pPr>
                    <w:spacing w:before="97" w:line="203" w:lineRule="auto"/>
                    <w:ind w:left="9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12,098.32</w:t>
                  </w:r>
                </w:p>
              </w:tc>
              <w:tc>
                <w:tcPr>
                  <w:tcW w:w="1499" w:type="dxa"/>
                  <w:vAlign w:val="top"/>
                </w:tcPr>
                <w:p>
                  <w:pPr>
                    <w:spacing w:before="100"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149.45</w:t>
                  </w:r>
                </w:p>
              </w:tc>
            </w:tr>
            <w:tr>
              <w:tblPrEx>
                <w:tblW w:w="9805" w:type="dxa"/>
                <w:tblInd w:w="326" w:type="dxa"/>
                <w:tblLayout w:type="fixed"/>
              </w:tblPrEx>
              <w:trPr>
                <w:trHeight w:val="311"/>
              </w:trPr>
              <w:tc>
                <w:tcPr>
                  <w:tcW w:w="811" w:type="dxa"/>
                  <w:shd w:val="clear" w:color="auto" w:fill="CCECFF"/>
                  <w:vAlign w:val="top"/>
                </w:tcPr>
                <w:p>
                  <w:pPr>
                    <w:spacing w:before="100" w:line="188" w:lineRule="auto"/>
                    <w:ind w:left="372"/>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tc>
              <w:tc>
                <w:tcPr>
                  <w:tcW w:w="1215" w:type="dxa"/>
                  <w:shd w:val="clear" w:color="auto" w:fill="CCECFF"/>
                  <w:vAlign w:val="top"/>
                </w:tcPr>
                <w:p>
                  <w:pPr>
                    <w:pStyle w:val="TableText"/>
                    <w:spacing w:before="67" w:line="219" w:lineRule="auto"/>
                    <w:ind w:left="370"/>
                    <w:rPr>
                      <w:sz w:val="18"/>
                      <w:szCs w:val="18"/>
                    </w:rPr>
                  </w:pPr>
                  <w:r>
                    <w:rPr>
                      <w:spacing w:val="-10"/>
                      <w:sz w:val="18"/>
                      <w:szCs w:val="18"/>
                    </w:rPr>
                    <w:t>内蒙古</w:t>
                  </w:r>
                </w:p>
              </w:tc>
              <w:tc>
                <w:tcPr>
                  <w:tcW w:w="1368" w:type="dxa"/>
                  <w:shd w:val="clear" w:color="auto" w:fill="CCECFF"/>
                  <w:vAlign w:val="top"/>
                </w:tcPr>
                <w:p>
                  <w:pPr>
                    <w:spacing w:before="97" w:line="203" w:lineRule="auto"/>
                    <w:ind w:left="546"/>
                    <w:rPr>
                      <w:rFonts w:ascii="Times New Roman" w:eastAsia="Times New Roman" w:hAnsi="Times New Roman" w:cs="Times New Roman"/>
                      <w:sz w:val="18"/>
                      <w:szCs w:val="18"/>
                    </w:rPr>
                  </w:pPr>
                  <w:r>
                    <w:rPr>
                      <w:rFonts w:ascii="Times New Roman" w:eastAsia="Times New Roman" w:hAnsi="Times New Roman" w:cs="Times New Roman"/>
                      <w:sz w:val="18"/>
                      <w:szCs w:val="18"/>
                    </w:rPr>
                    <w:t>23,158.65</w:t>
                  </w:r>
                </w:p>
              </w:tc>
              <w:tc>
                <w:tcPr>
                  <w:tcW w:w="1638" w:type="dxa"/>
                  <w:shd w:val="clear" w:color="auto" w:fill="CCECFF"/>
                  <w:vAlign w:val="top"/>
                </w:tcPr>
                <w:p>
                  <w:pPr>
                    <w:spacing w:before="97" w:line="203" w:lineRule="auto"/>
                    <w:ind w:left="9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2,824.39</w:t>
                  </w:r>
                </w:p>
              </w:tc>
              <w:tc>
                <w:tcPr>
                  <w:tcW w:w="1498" w:type="dxa"/>
                  <w:shd w:val="clear" w:color="auto" w:fill="CCECFF"/>
                  <w:vAlign w:val="top"/>
                </w:tcPr>
                <w:p>
                  <w:pPr>
                    <w:spacing w:before="100" w:line="188" w:lineRule="auto"/>
                    <w:ind w:left="896"/>
                    <w:rPr>
                      <w:rFonts w:ascii="Times New Roman" w:eastAsia="Times New Roman" w:hAnsi="Times New Roman" w:cs="Times New Roman"/>
                      <w:sz w:val="18"/>
                      <w:szCs w:val="18"/>
                    </w:rPr>
                  </w:pPr>
                  <w:r>
                    <w:rPr>
                      <w:rFonts w:ascii="Times New Roman" w:eastAsia="Times New Roman" w:hAnsi="Times New Roman" w:cs="Times New Roman"/>
                      <w:sz w:val="18"/>
                      <w:szCs w:val="18"/>
                    </w:rPr>
                    <w:t>407.68</w:t>
                  </w:r>
                </w:p>
              </w:tc>
              <w:tc>
                <w:tcPr>
                  <w:tcW w:w="1776" w:type="dxa"/>
                  <w:shd w:val="clear" w:color="auto" w:fill="CCECFF"/>
                  <w:vAlign w:val="top"/>
                </w:tcPr>
                <w:p>
                  <w:pPr>
                    <w:spacing w:before="97" w:line="203" w:lineRule="auto"/>
                    <w:ind w:left="10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9,339.80</w:t>
                  </w:r>
                </w:p>
              </w:tc>
              <w:tc>
                <w:tcPr>
                  <w:tcW w:w="1499" w:type="dxa"/>
                  <w:shd w:val="clear" w:color="auto" w:fill="CCECFF"/>
                  <w:vAlign w:val="top"/>
                </w:tcPr>
                <w:p>
                  <w:pPr>
                    <w:spacing w:before="100"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142.37</w:t>
                  </w:r>
                </w:p>
              </w:tc>
            </w:tr>
            <w:tr>
              <w:tblPrEx>
                <w:tblW w:w="9805" w:type="dxa"/>
                <w:tblInd w:w="326" w:type="dxa"/>
                <w:tblLayout w:type="fixed"/>
              </w:tblPrEx>
              <w:trPr>
                <w:trHeight w:val="312"/>
              </w:trPr>
              <w:tc>
                <w:tcPr>
                  <w:tcW w:w="811" w:type="dxa"/>
                  <w:vAlign w:val="top"/>
                </w:tcPr>
                <w:p>
                  <w:pPr>
                    <w:spacing w:before="104" w:line="185" w:lineRule="auto"/>
                    <w:ind w:left="371"/>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tc>
              <w:tc>
                <w:tcPr>
                  <w:tcW w:w="1215" w:type="dxa"/>
                  <w:vAlign w:val="top"/>
                </w:tcPr>
                <w:p>
                  <w:pPr>
                    <w:pStyle w:val="TableText"/>
                    <w:spacing w:before="68" w:line="221" w:lineRule="auto"/>
                    <w:ind w:left="355"/>
                    <w:rPr>
                      <w:sz w:val="18"/>
                      <w:szCs w:val="18"/>
                    </w:rPr>
                  </w:pPr>
                  <w:r>
                    <w:rPr>
                      <w:spacing w:val="-9"/>
                      <w:sz w:val="18"/>
                      <w:szCs w:val="18"/>
                    </w:rPr>
                    <w:t>吉</w:t>
                  </w:r>
                  <w:r>
                    <w:rPr>
                      <w:spacing w:val="4"/>
                      <w:sz w:val="18"/>
                      <w:szCs w:val="18"/>
                    </w:rPr>
                    <w:t xml:space="preserve">  </w:t>
                  </w:r>
                  <w:r>
                    <w:rPr>
                      <w:spacing w:val="-9"/>
                      <w:sz w:val="18"/>
                      <w:szCs w:val="18"/>
                    </w:rPr>
                    <w:t>林</w:t>
                  </w:r>
                </w:p>
              </w:tc>
              <w:tc>
                <w:tcPr>
                  <w:tcW w:w="1368" w:type="dxa"/>
                  <w:vAlign w:val="top"/>
                </w:tcPr>
                <w:p>
                  <w:pPr>
                    <w:spacing w:before="98" w:line="203" w:lineRule="auto"/>
                    <w:ind w:left="56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13,070.24</w:t>
                  </w:r>
                </w:p>
              </w:tc>
              <w:tc>
                <w:tcPr>
                  <w:tcW w:w="1638" w:type="dxa"/>
                  <w:vAlign w:val="top"/>
                </w:tcPr>
                <w:p>
                  <w:pPr>
                    <w:spacing w:before="101" w:line="188" w:lineRule="auto"/>
                    <w:ind w:left="104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851.00</w:t>
                  </w:r>
                </w:p>
              </w:tc>
              <w:tc>
                <w:tcPr>
                  <w:tcW w:w="1498" w:type="dxa"/>
                  <w:vAlign w:val="top"/>
                </w:tcPr>
                <w:p>
                  <w:pPr>
                    <w:spacing w:before="101" w:line="188" w:lineRule="auto"/>
                    <w:ind w:left="900"/>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365.70</w:t>
                  </w:r>
                </w:p>
              </w:tc>
              <w:tc>
                <w:tcPr>
                  <w:tcW w:w="1776" w:type="dxa"/>
                  <w:vAlign w:val="top"/>
                </w:tcPr>
                <w:p>
                  <w:pPr>
                    <w:spacing w:before="98" w:line="203" w:lineRule="auto"/>
                    <w:ind w:left="10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7,167.60</w:t>
                  </w:r>
                </w:p>
              </w:tc>
              <w:tc>
                <w:tcPr>
                  <w:tcW w:w="1499" w:type="dxa"/>
                  <w:vAlign w:val="top"/>
                </w:tcPr>
                <w:p>
                  <w:pPr>
                    <w:spacing w:before="101"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133.67</w:t>
                  </w:r>
                </w:p>
              </w:tc>
            </w:tr>
            <w:tr>
              <w:tblPrEx>
                <w:tblW w:w="9805" w:type="dxa"/>
                <w:tblInd w:w="326" w:type="dxa"/>
                <w:tblLayout w:type="fixed"/>
              </w:tblPrEx>
              <w:trPr>
                <w:trHeight w:val="312"/>
              </w:trPr>
              <w:tc>
                <w:tcPr>
                  <w:tcW w:w="811" w:type="dxa"/>
                  <w:shd w:val="clear" w:color="auto" w:fill="CCECFF"/>
                  <w:vAlign w:val="top"/>
                </w:tcPr>
                <w:p>
                  <w:pPr>
                    <w:spacing w:before="101" w:line="188" w:lineRule="auto"/>
                    <w:ind w:left="375"/>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tc>
              <w:tc>
                <w:tcPr>
                  <w:tcW w:w="1215" w:type="dxa"/>
                  <w:shd w:val="clear" w:color="auto" w:fill="CCECFF"/>
                  <w:vAlign w:val="top"/>
                </w:tcPr>
                <w:p>
                  <w:pPr>
                    <w:pStyle w:val="TableText"/>
                    <w:spacing w:before="68" w:line="221" w:lineRule="auto"/>
                    <w:ind w:left="351"/>
                    <w:rPr>
                      <w:sz w:val="18"/>
                      <w:szCs w:val="18"/>
                    </w:rPr>
                  </w:pPr>
                  <w:r>
                    <w:rPr>
                      <w:spacing w:val="-7"/>
                      <w:sz w:val="18"/>
                      <w:szCs w:val="18"/>
                    </w:rPr>
                    <w:t>辽</w:t>
                  </w:r>
                  <w:r>
                    <w:rPr>
                      <w:spacing w:val="9"/>
                      <w:sz w:val="18"/>
                      <w:szCs w:val="18"/>
                    </w:rPr>
                    <w:t xml:space="preserve">  </w:t>
                  </w:r>
                  <w:r>
                    <w:rPr>
                      <w:spacing w:val="-7"/>
                      <w:sz w:val="18"/>
                      <w:szCs w:val="18"/>
                    </w:rPr>
                    <w:t>宁</w:t>
                  </w:r>
                </w:p>
              </w:tc>
              <w:tc>
                <w:tcPr>
                  <w:tcW w:w="1368" w:type="dxa"/>
                  <w:shd w:val="clear" w:color="auto" w:fill="CCECFF"/>
                  <w:vAlign w:val="top"/>
                </w:tcPr>
                <w:p>
                  <w:pPr>
                    <w:spacing w:before="98" w:line="203" w:lineRule="auto"/>
                    <w:ind w:left="546"/>
                    <w:rPr>
                      <w:rFonts w:ascii="Times New Roman" w:eastAsia="Times New Roman" w:hAnsi="Times New Roman" w:cs="Times New Roman"/>
                      <w:sz w:val="18"/>
                      <w:szCs w:val="18"/>
                    </w:rPr>
                  </w:pPr>
                  <w:r>
                    <w:rPr>
                      <w:rFonts w:ascii="Times New Roman" w:eastAsia="Times New Roman" w:hAnsi="Times New Roman" w:cs="Times New Roman"/>
                      <w:sz w:val="18"/>
                      <w:szCs w:val="18"/>
                    </w:rPr>
                    <w:t>28,975.10</w:t>
                  </w:r>
                </w:p>
              </w:tc>
              <w:tc>
                <w:tcPr>
                  <w:tcW w:w="1638" w:type="dxa"/>
                  <w:shd w:val="clear" w:color="auto" w:fill="CCECFF"/>
                  <w:vAlign w:val="top"/>
                </w:tcPr>
                <w:p>
                  <w:pPr>
                    <w:spacing w:before="98" w:line="203" w:lineRule="auto"/>
                    <w:ind w:left="9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2,525.07</w:t>
                  </w:r>
                </w:p>
              </w:tc>
              <w:tc>
                <w:tcPr>
                  <w:tcW w:w="1498" w:type="dxa"/>
                  <w:shd w:val="clear" w:color="auto" w:fill="CCECFF"/>
                  <w:vAlign w:val="top"/>
                </w:tcPr>
                <w:p>
                  <w:pPr>
                    <w:spacing w:before="101" w:line="188" w:lineRule="auto"/>
                    <w:ind w:left="901"/>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524.44</w:t>
                  </w:r>
                </w:p>
              </w:tc>
              <w:tc>
                <w:tcPr>
                  <w:tcW w:w="1776" w:type="dxa"/>
                  <w:shd w:val="clear" w:color="auto" w:fill="CCECFF"/>
                  <w:vAlign w:val="top"/>
                </w:tcPr>
                <w:p>
                  <w:pPr>
                    <w:spacing w:before="98" w:line="203" w:lineRule="auto"/>
                    <w:ind w:left="9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10,975.20</w:t>
                  </w:r>
                </w:p>
              </w:tc>
              <w:tc>
                <w:tcPr>
                  <w:tcW w:w="1499" w:type="dxa"/>
                  <w:shd w:val="clear" w:color="auto" w:fill="CCECFF"/>
                  <w:vAlign w:val="top"/>
                </w:tcPr>
                <w:p>
                  <w:pPr>
                    <w:spacing w:before="101"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128.39</w:t>
                  </w:r>
                </w:p>
              </w:tc>
            </w:tr>
            <w:tr>
              <w:tblPrEx>
                <w:tblW w:w="9805" w:type="dxa"/>
                <w:tblInd w:w="326" w:type="dxa"/>
                <w:tblLayout w:type="fixed"/>
              </w:tblPrEx>
              <w:trPr>
                <w:trHeight w:val="312"/>
              </w:trPr>
              <w:tc>
                <w:tcPr>
                  <w:tcW w:w="811" w:type="dxa"/>
                  <w:vAlign w:val="top"/>
                </w:tcPr>
                <w:p>
                  <w:pPr>
                    <w:spacing w:before="101" w:line="188" w:lineRule="auto"/>
                    <w:ind w:left="372"/>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tc>
              <w:tc>
                <w:tcPr>
                  <w:tcW w:w="1215" w:type="dxa"/>
                  <w:vAlign w:val="top"/>
                </w:tcPr>
                <w:p>
                  <w:pPr>
                    <w:pStyle w:val="TableText"/>
                    <w:spacing w:before="68" w:line="223" w:lineRule="auto"/>
                    <w:ind w:left="355"/>
                    <w:rPr>
                      <w:sz w:val="18"/>
                      <w:szCs w:val="18"/>
                    </w:rPr>
                  </w:pPr>
                  <w:r>
                    <w:rPr>
                      <w:spacing w:val="-5"/>
                      <w:sz w:val="18"/>
                      <w:szCs w:val="18"/>
                    </w:rPr>
                    <w:t>黑龙江</w:t>
                  </w:r>
                </w:p>
              </w:tc>
              <w:tc>
                <w:tcPr>
                  <w:tcW w:w="1368" w:type="dxa"/>
                  <w:vAlign w:val="top"/>
                </w:tcPr>
                <w:p>
                  <w:pPr>
                    <w:spacing w:before="98" w:line="203" w:lineRule="auto"/>
                    <w:ind w:left="564"/>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15,901.00</w:t>
                  </w:r>
                </w:p>
              </w:tc>
              <w:tc>
                <w:tcPr>
                  <w:tcW w:w="1638" w:type="dxa"/>
                  <w:vAlign w:val="top"/>
                </w:tcPr>
                <w:p>
                  <w:pPr>
                    <w:spacing w:before="98" w:line="203" w:lineRule="auto"/>
                    <w:ind w:left="9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1,290.66</w:t>
                  </w:r>
                </w:p>
              </w:tc>
              <w:tc>
                <w:tcPr>
                  <w:tcW w:w="1498" w:type="dxa"/>
                  <w:vAlign w:val="top"/>
                </w:tcPr>
                <w:p>
                  <w:pPr>
                    <w:spacing w:before="101" w:line="188" w:lineRule="auto"/>
                    <w:ind w:left="91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152.92</w:t>
                  </w:r>
                </w:p>
              </w:tc>
              <w:tc>
                <w:tcPr>
                  <w:tcW w:w="1776" w:type="dxa"/>
                  <w:vAlign w:val="top"/>
                </w:tcPr>
                <w:p>
                  <w:pPr>
                    <w:spacing w:before="98" w:line="203" w:lineRule="auto"/>
                    <w:ind w:left="10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7,290.93</w:t>
                  </w:r>
                </w:p>
              </w:tc>
              <w:tc>
                <w:tcPr>
                  <w:tcW w:w="1499" w:type="dxa"/>
                  <w:vAlign w:val="top"/>
                </w:tcPr>
                <w:p>
                  <w:pPr>
                    <w:spacing w:before="101"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128.39</w:t>
                  </w:r>
                </w:p>
              </w:tc>
            </w:tr>
            <w:tr>
              <w:tblPrEx>
                <w:tblW w:w="9805" w:type="dxa"/>
                <w:tblInd w:w="326" w:type="dxa"/>
                <w:tblLayout w:type="fixed"/>
              </w:tblPrEx>
              <w:trPr>
                <w:trHeight w:val="312"/>
              </w:trPr>
              <w:tc>
                <w:tcPr>
                  <w:tcW w:w="811" w:type="dxa"/>
                  <w:shd w:val="clear" w:color="auto" w:fill="CCECFF"/>
                  <w:vAlign w:val="top"/>
                </w:tcPr>
                <w:p>
                  <w:pPr>
                    <w:spacing w:before="101" w:line="188" w:lineRule="auto"/>
                    <w:ind w:left="3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10</w:t>
                  </w:r>
                </w:p>
              </w:tc>
              <w:tc>
                <w:tcPr>
                  <w:tcW w:w="1215" w:type="dxa"/>
                  <w:shd w:val="clear" w:color="auto" w:fill="CCECFF"/>
                  <w:vAlign w:val="top"/>
                </w:tcPr>
                <w:p>
                  <w:pPr>
                    <w:pStyle w:val="TableText"/>
                    <w:spacing w:before="68" w:line="222" w:lineRule="auto"/>
                    <w:ind w:left="354"/>
                    <w:rPr>
                      <w:sz w:val="18"/>
                      <w:szCs w:val="18"/>
                    </w:rPr>
                  </w:pPr>
                  <w:r>
                    <w:rPr>
                      <w:spacing w:val="-8"/>
                      <w:sz w:val="18"/>
                      <w:szCs w:val="18"/>
                    </w:rPr>
                    <w:t>重</w:t>
                  </w:r>
                  <w:r>
                    <w:rPr>
                      <w:spacing w:val="5"/>
                      <w:sz w:val="18"/>
                      <w:szCs w:val="18"/>
                    </w:rPr>
                    <w:t xml:space="preserve">  </w:t>
                  </w:r>
                  <w:r>
                    <w:rPr>
                      <w:spacing w:val="-8"/>
                      <w:sz w:val="18"/>
                      <w:szCs w:val="18"/>
                    </w:rPr>
                    <w:t>庆</w:t>
                  </w:r>
                </w:p>
              </w:tc>
              <w:tc>
                <w:tcPr>
                  <w:tcW w:w="1368" w:type="dxa"/>
                  <w:shd w:val="clear" w:color="auto" w:fill="CCECFF"/>
                  <w:vAlign w:val="top"/>
                </w:tcPr>
                <w:p>
                  <w:pPr>
                    <w:spacing w:before="98" w:line="203" w:lineRule="auto"/>
                    <w:ind w:left="546"/>
                    <w:rPr>
                      <w:rFonts w:ascii="Times New Roman" w:eastAsia="Times New Roman" w:hAnsi="Times New Roman" w:cs="Times New Roman"/>
                      <w:sz w:val="18"/>
                      <w:szCs w:val="18"/>
                    </w:rPr>
                  </w:pPr>
                  <w:r>
                    <w:rPr>
                      <w:rFonts w:ascii="Times New Roman" w:eastAsia="Times New Roman" w:hAnsi="Times New Roman" w:cs="Times New Roman"/>
                      <w:sz w:val="18"/>
                      <w:szCs w:val="18"/>
                    </w:rPr>
                    <w:t>29,129.03</w:t>
                  </w:r>
                </w:p>
              </w:tc>
              <w:tc>
                <w:tcPr>
                  <w:tcW w:w="1638" w:type="dxa"/>
                  <w:shd w:val="clear" w:color="auto" w:fill="CCECFF"/>
                  <w:vAlign w:val="top"/>
                </w:tcPr>
                <w:p>
                  <w:pPr>
                    <w:spacing w:before="98" w:line="203" w:lineRule="auto"/>
                    <w:ind w:left="90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2,103.42</w:t>
                  </w:r>
                </w:p>
              </w:tc>
              <w:tc>
                <w:tcPr>
                  <w:tcW w:w="1498" w:type="dxa"/>
                  <w:shd w:val="clear" w:color="auto" w:fill="CCECFF"/>
                  <w:vAlign w:val="top"/>
                </w:tcPr>
                <w:p>
                  <w:pPr>
                    <w:spacing w:before="98" w:line="203"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1,753.95</w:t>
                  </w:r>
                </w:p>
              </w:tc>
              <w:tc>
                <w:tcPr>
                  <w:tcW w:w="1776" w:type="dxa"/>
                  <w:shd w:val="clear" w:color="auto" w:fill="CCECFF"/>
                  <w:vAlign w:val="top"/>
                </w:tcPr>
                <w:p>
                  <w:pPr>
                    <w:spacing w:before="98" w:line="203" w:lineRule="auto"/>
                    <w:ind w:left="972"/>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10,071.00</w:t>
                  </w:r>
                </w:p>
              </w:tc>
              <w:tc>
                <w:tcPr>
                  <w:tcW w:w="1499" w:type="dxa"/>
                  <w:shd w:val="clear" w:color="auto" w:fill="CCECFF"/>
                  <w:vAlign w:val="top"/>
                </w:tcPr>
                <w:p>
                  <w:pPr>
                    <w:spacing w:before="101"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125.03</w:t>
                  </w:r>
                </w:p>
              </w:tc>
            </w:tr>
            <w:tr>
              <w:tblPrEx>
                <w:tblW w:w="9805" w:type="dxa"/>
                <w:tblInd w:w="326" w:type="dxa"/>
                <w:tblLayout w:type="fixed"/>
              </w:tblPrEx>
              <w:trPr>
                <w:trHeight w:val="312"/>
              </w:trPr>
              <w:tc>
                <w:tcPr>
                  <w:tcW w:w="811" w:type="dxa"/>
                  <w:vAlign w:val="top"/>
                </w:tcPr>
                <w:p>
                  <w:pPr>
                    <w:spacing w:before="102" w:line="188" w:lineRule="auto"/>
                    <w:ind w:left="3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11</w:t>
                  </w:r>
                </w:p>
              </w:tc>
              <w:tc>
                <w:tcPr>
                  <w:tcW w:w="1215" w:type="dxa"/>
                  <w:vAlign w:val="top"/>
                </w:tcPr>
                <w:p>
                  <w:pPr>
                    <w:pStyle w:val="TableText"/>
                    <w:spacing w:before="69" w:line="223" w:lineRule="auto"/>
                    <w:ind w:left="348"/>
                    <w:rPr>
                      <w:sz w:val="18"/>
                      <w:szCs w:val="18"/>
                    </w:rPr>
                  </w:pPr>
                  <w:r>
                    <w:rPr>
                      <w:spacing w:val="-5"/>
                      <w:sz w:val="18"/>
                      <w:szCs w:val="18"/>
                    </w:rPr>
                    <w:t>广</w:t>
                  </w:r>
                  <w:r>
                    <w:rPr>
                      <w:spacing w:val="5"/>
                      <w:sz w:val="18"/>
                      <w:szCs w:val="18"/>
                    </w:rPr>
                    <w:t xml:space="preserve">  </w:t>
                  </w:r>
                  <w:r>
                    <w:rPr>
                      <w:spacing w:val="-5"/>
                      <w:sz w:val="18"/>
                      <w:szCs w:val="18"/>
                    </w:rPr>
                    <w:t>西</w:t>
                  </w:r>
                </w:p>
              </w:tc>
              <w:tc>
                <w:tcPr>
                  <w:tcW w:w="1368" w:type="dxa"/>
                  <w:vAlign w:val="top"/>
                </w:tcPr>
                <w:p>
                  <w:pPr>
                    <w:spacing w:before="99" w:line="203" w:lineRule="auto"/>
                    <w:ind w:left="546"/>
                    <w:rPr>
                      <w:rFonts w:ascii="Times New Roman" w:eastAsia="Times New Roman" w:hAnsi="Times New Roman" w:cs="Times New Roman"/>
                      <w:sz w:val="18"/>
                      <w:szCs w:val="18"/>
                    </w:rPr>
                  </w:pPr>
                  <w:r>
                    <w:rPr>
                      <w:rFonts w:ascii="Times New Roman" w:eastAsia="Times New Roman" w:hAnsi="Times New Roman" w:cs="Times New Roman"/>
                      <w:sz w:val="18"/>
                      <w:szCs w:val="18"/>
                    </w:rPr>
                    <w:t>26,300.87</w:t>
                  </w:r>
                </w:p>
              </w:tc>
              <w:tc>
                <w:tcPr>
                  <w:tcW w:w="1638" w:type="dxa"/>
                  <w:vAlign w:val="top"/>
                </w:tcPr>
                <w:p>
                  <w:pPr>
                    <w:spacing w:before="99" w:line="203" w:lineRule="auto"/>
                    <w:ind w:left="92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1,687.72</w:t>
                  </w:r>
                </w:p>
              </w:tc>
              <w:tc>
                <w:tcPr>
                  <w:tcW w:w="1498" w:type="dxa"/>
                  <w:vAlign w:val="top"/>
                </w:tcPr>
                <w:p>
                  <w:pPr>
                    <w:spacing w:before="99" w:line="203" w:lineRule="auto"/>
                    <w:ind w:left="78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1,111.34</w:t>
                  </w:r>
                </w:p>
              </w:tc>
              <w:tc>
                <w:tcPr>
                  <w:tcW w:w="1776" w:type="dxa"/>
                  <w:vAlign w:val="top"/>
                </w:tcPr>
                <w:p>
                  <w:pPr>
                    <w:spacing w:before="99" w:line="203" w:lineRule="auto"/>
                    <w:ind w:left="1049"/>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9,722.11</w:t>
                  </w:r>
                </w:p>
              </w:tc>
              <w:tc>
                <w:tcPr>
                  <w:tcW w:w="1499" w:type="dxa"/>
                  <w:vAlign w:val="top"/>
                </w:tcPr>
                <w:p>
                  <w:pPr>
                    <w:spacing w:before="102"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117.33</w:t>
                  </w:r>
                </w:p>
              </w:tc>
            </w:tr>
            <w:tr>
              <w:tblPrEx>
                <w:tblW w:w="9805" w:type="dxa"/>
                <w:tblInd w:w="326" w:type="dxa"/>
                <w:tblLayout w:type="fixed"/>
              </w:tblPrEx>
              <w:trPr>
                <w:trHeight w:val="321"/>
              </w:trPr>
              <w:tc>
                <w:tcPr>
                  <w:tcW w:w="811" w:type="dxa"/>
                  <w:tcBorders>
                    <w:bottom w:val="single" w:sz="2" w:space="0" w:color="5B9BD5"/>
                  </w:tcBorders>
                  <w:shd w:val="clear" w:color="auto" w:fill="CCECFF"/>
                  <w:vAlign w:val="top"/>
                </w:tcPr>
                <w:p>
                  <w:pPr>
                    <w:spacing w:before="102" w:line="188" w:lineRule="auto"/>
                    <w:ind w:left="342"/>
                    <w:rPr>
                      <w:rFonts w:ascii="Times New Roman" w:eastAsia="Times New Roman" w:hAnsi="Times New Roman" w:cs="Times New Roman"/>
                      <w:sz w:val="18"/>
                      <w:szCs w:val="18"/>
                    </w:rPr>
                  </w:pPr>
                  <w:r>
                    <w:rPr>
                      <w:rFonts w:ascii="Times New Roman" w:eastAsia="Times New Roman" w:hAnsi="Times New Roman" w:cs="Times New Roman"/>
                      <w:spacing w:val="-5"/>
                      <w:sz w:val="18"/>
                      <w:szCs w:val="18"/>
                    </w:rPr>
                    <w:t>12</w:t>
                  </w:r>
                </w:p>
              </w:tc>
              <w:tc>
                <w:tcPr>
                  <w:tcW w:w="1215" w:type="dxa"/>
                  <w:tcBorders>
                    <w:bottom w:val="single" w:sz="2" w:space="0" w:color="5B9BD5"/>
                  </w:tcBorders>
                  <w:shd w:val="clear" w:color="auto" w:fill="CCECFF"/>
                  <w:vAlign w:val="top"/>
                </w:tcPr>
                <w:p>
                  <w:pPr>
                    <w:pStyle w:val="TableText"/>
                    <w:spacing w:before="68" w:line="221" w:lineRule="auto"/>
                    <w:ind w:left="357"/>
                    <w:rPr>
                      <w:sz w:val="18"/>
                      <w:szCs w:val="18"/>
                    </w:rPr>
                  </w:pPr>
                  <w:r>
                    <w:rPr>
                      <w:spacing w:val="-10"/>
                      <w:sz w:val="18"/>
                      <w:szCs w:val="18"/>
                    </w:rPr>
                    <w:t>宁</w:t>
                  </w:r>
                  <w:r>
                    <w:rPr>
                      <w:spacing w:val="7"/>
                      <w:sz w:val="18"/>
                      <w:szCs w:val="18"/>
                    </w:rPr>
                    <w:t xml:space="preserve">  </w:t>
                  </w:r>
                  <w:r>
                    <w:rPr>
                      <w:spacing w:val="-10"/>
                      <w:sz w:val="18"/>
                      <w:szCs w:val="18"/>
                    </w:rPr>
                    <w:t>夏</w:t>
                  </w:r>
                </w:p>
              </w:tc>
              <w:tc>
                <w:tcPr>
                  <w:tcW w:w="1368" w:type="dxa"/>
                  <w:tcBorders>
                    <w:bottom w:val="single" w:sz="2" w:space="0" w:color="5B9BD5"/>
                  </w:tcBorders>
                  <w:shd w:val="clear" w:color="auto" w:fill="CCECFF"/>
                  <w:vAlign w:val="top"/>
                </w:tcPr>
                <w:p>
                  <w:pPr>
                    <w:spacing w:before="99" w:line="203" w:lineRule="auto"/>
                    <w:ind w:left="64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5,069.57</w:t>
                  </w:r>
                </w:p>
              </w:tc>
              <w:tc>
                <w:tcPr>
                  <w:tcW w:w="1638" w:type="dxa"/>
                  <w:tcBorders>
                    <w:bottom w:val="single" w:sz="2" w:space="0" w:color="5B9BD5"/>
                  </w:tcBorders>
                  <w:shd w:val="clear" w:color="auto" w:fill="CCECFF"/>
                  <w:vAlign w:val="top"/>
                </w:tcPr>
                <w:p>
                  <w:pPr>
                    <w:spacing w:before="102" w:line="188" w:lineRule="auto"/>
                    <w:ind w:left="1036"/>
                    <w:rPr>
                      <w:rFonts w:ascii="Times New Roman" w:eastAsia="Times New Roman" w:hAnsi="Times New Roman" w:cs="Times New Roman"/>
                      <w:sz w:val="18"/>
                      <w:szCs w:val="18"/>
                    </w:rPr>
                  </w:pPr>
                  <w:r>
                    <w:rPr>
                      <w:rFonts w:ascii="Times New Roman" w:eastAsia="Times New Roman" w:hAnsi="Times New Roman" w:cs="Times New Roman"/>
                      <w:sz w:val="18"/>
                      <w:szCs w:val="18"/>
                    </w:rPr>
                    <w:t>460.15</w:t>
                  </w:r>
                </w:p>
              </w:tc>
              <w:tc>
                <w:tcPr>
                  <w:tcW w:w="1498" w:type="dxa"/>
                  <w:tcBorders>
                    <w:bottom w:val="single" w:sz="2" w:space="0" w:color="5B9BD5"/>
                  </w:tcBorders>
                  <w:shd w:val="clear" w:color="auto" w:fill="CCECFF"/>
                  <w:vAlign w:val="top"/>
                </w:tcPr>
                <w:p>
                  <w:pPr>
                    <w:spacing w:before="102" w:line="188" w:lineRule="auto"/>
                    <w:ind w:left="914"/>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129.24</w:t>
                  </w:r>
                </w:p>
              </w:tc>
              <w:tc>
                <w:tcPr>
                  <w:tcW w:w="1776" w:type="dxa"/>
                  <w:tcBorders>
                    <w:bottom w:val="single" w:sz="2" w:space="0" w:color="5B9BD5"/>
                  </w:tcBorders>
                  <w:shd w:val="clear" w:color="auto" w:fill="CCECFF"/>
                  <w:vAlign w:val="top"/>
                </w:tcPr>
                <w:p>
                  <w:pPr>
                    <w:spacing w:before="99" w:line="203" w:lineRule="auto"/>
                    <w:ind w:left="1063"/>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1,996.80</w:t>
                  </w:r>
                </w:p>
              </w:tc>
              <w:tc>
                <w:tcPr>
                  <w:tcW w:w="1499" w:type="dxa"/>
                  <w:tcBorders>
                    <w:bottom w:val="single" w:sz="2" w:space="0" w:color="5B9BD5"/>
                  </w:tcBorders>
                  <w:shd w:val="clear" w:color="auto" w:fill="CCECFF"/>
                  <w:vAlign w:val="top"/>
                </w:tcPr>
                <w:p>
                  <w:pPr>
                    <w:spacing w:before="102" w:line="188" w:lineRule="auto"/>
                    <w:ind w:left="910"/>
                    <w:rPr>
                      <w:rFonts w:ascii="Times New Roman" w:eastAsia="Times New Roman" w:hAnsi="Times New Roman" w:cs="Times New Roman"/>
                      <w:sz w:val="18"/>
                      <w:szCs w:val="18"/>
                    </w:rPr>
                  </w:pPr>
                  <w:r>
                    <w:rPr>
                      <w:rFonts w:ascii="Times New Roman" w:eastAsia="Times New Roman" w:hAnsi="Times New Roman" w:cs="Times New Roman"/>
                      <w:spacing w:val="-3"/>
                      <w:sz w:val="18"/>
                      <w:szCs w:val="18"/>
                    </w:rPr>
                    <w:t>112.27</w:t>
                  </w:r>
                </w:p>
              </w:tc>
            </w:tr>
          </w:tbl>
          <w:p>
            <w:pPr>
              <w:spacing w:before="108" w:line="230" w:lineRule="auto"/>
              <w:ind w:left="348"/>
              <w:rPr>
                <w:rFonts w:ascii="SimSun" w:eastAsia="SimSun" w:hAnsi="SimSun" w:cs="SimSun"/>
                <w:sz w:val="15"/>
                <w:szCs w:val="15"/>
              </w:rPr>
            </w:pPr>
            <w:r>
              <w:rPr>
                <w:rFonts w:ascii="SimSun" w:eastAsia="SimSun" w:hAnsi="SimSun" w:cs="SimSun"/>
                <w:spacing w:val="8"/>
                <w:sz w:val="15"/>
                <w:szCs w:val="15"/>
              </w:rPr>
              <w:t>数据来源：企业预警通</w:t>
            </w:r>
          </w:p>
          <w:p>
            <w:pPr>
              <w:spacing w:line="402" w:lineRule="auto"/>
              <w:rPr>
                <w:rFonts w:ascii="Arial"/>
                <w:sz w:val="21"/>
              </w:rPr>
            </w:pPr>
          </w:p>
          <w:p>
            <w:pPr>
              <w:pStyle w:val="TableText"/>
              <w:spacing w:before="79" w:line="218" w:lineRule="auto"/>
              <w:ind w:left="360"/>
              <w:outlineLvl w:val="0"/>
              <w:rPr>
                <w:sz w:val="24"/>
                <w:szCs w:val="24"/>
              </w:rPr>
            </w:pPr>
            <w:r>
              <w:rPr>
                <w:color w:val="000099"/>
                <w:spacing w:val="-1"/>
                <w:sz w:val="24"/>
                <w:szCs w:val="24"/>
                <w14:textOutline w14:w="4354">
                  <w14:solidFill>
                    <w14:srgbClr w14:val="000099"/>
                  </w14:solidFill>
                  <w14:prstDash w14:val="solid"/>
                  <w14:round/>
                </w14:textOutline>
              </w:rPr>
              <w:t>一、东北三省均被列入</w:t>
            </w:r>
            <w:r>
              <w:rPr>
                <w:color w:val="000099"/>
                <w:spacing w:val="-35"/>
                <w:sz w:val="24"/>
                <w:szCs w:val="24"/>
              </w:rPr>
              <w:t xml:space="preserve"> </w:t>
            </w:r>
            <w:r>
              <w:rPr>
                <w:rFonts w:ascii="Times New Roman" w:eastAsia="Times New Roman" w:hAnsi="Times New Roman" w:cs="Times New Roman"/>
                <w:b/>
                <w:bCs/>
                <w:color w:val="000099"/>
                <w:spacing w:val="-1"/>
                <w:sz w:val="24"/>
                <w:szCs w:val="24"/>
              </w:rPr>
              <w:t xml:space="preserve">12 </w:t>
            </w:r>
            <w:r>
              <w:rPr>
                <w:color w:val="000099"/>
                <w:spacing w:val="-1"/>
                <w:sz w:val="24"/>
                <w:szCs w:val="24"/>
                <w14:textOutline w14:w="4354">
                  <w14:solidFill>
                    <w14:srgbClr w14:val="000099"/>
                  </w14:solidFill>
                  <w14:prstDash w14:val="solid"/>
                  <w14:round/>
                </w14:textOutline>
              </w:rPr>
              <w:t>个高风险重点省份原因推演</w:t>
            </w:r>
          </w:p>
          <w:p>
            <w:pPr>
              <w:pStyle w:val="TableText"/>
              <w:spacing w:before="261" w:after="0" w:line="283" w:lineRule="auto"/>
              <w:ind w:left="357" w:right="643" w:firstLine="4"/>
              <w:jc w:val="both"/>
              <w:rPr>
                <w:sz w:val="24"/>
                <w:szCs w:val="24"/>
              </w:rPr>
            </w:pPr>
            <w:r>
              <w:rPr>
                <w:color w:val="000099"/>
                <w:spacing w:val="-5"/>
                <w:sz w:val="24"/>
                <w:szCs w:val="24"/>
                <w14:textOutline w14:w="4354">
                  <w14:solidFill>
                    <w14:srgbClr w14:val="000099"/>
                  </w14:solidFill>
                  <w14:prstDash w14:val="solid"/>
                  <w14:round/>
                </w14:textOutline>
              </w:rPr>
              <w:t>东北三省系中国重要的工业基地，</w:t>
            </w:r>
            <w:r>
              <w:rPr>
                <w:color w:val="000099"/>
                <w:spacing w:val="-5"/>
                <w:sz w:val="24"/>
                <w:szCs w:val="24"/>
              </w:rPr>
              <w:t xml:space="preserve"> </w:t>
            </w:r>
            <w:r>
              <w:rPr>
                <w:color w:val="000099"/>
                <w:spacing w:val="-5"/>
                <w:sz w:val="24"/>
                <w:szCs w:val="24"/>
                <w14:textOutline w14:w="4354">
                  <w14:solidFill>
                    <w14:srgbClr w14:val="000099"/>
                  </w14:solidFill>
                  <w14:prstDash w14:val="solid"/>
                  <w14:round/>
                </w14:textOutline>
              </w:rPr>
              <w:t>曾在社会建设、经济发展当中担当着重要的角色，但东北振兴</w:t>
            </w:r>
            <w:r>
              <w:rPr>
                <w:color w:val="000099"/>
                <w:spacing w:val="3"/>
                <w:sz w:val="24"/>
                <w:szCs w:val="24"/>
              </w:rPr>
              <w:t xml:space="preserve"> </w:t>
            </w:r>
            <w:r>
              <w:rPr>
                <w:color w:val="000099"/>
                <w:spacing w:val="-3"/>
                <w:sz w:val="24"/>
                <w:szCs w:val="24"/>
                <w14:textOutline w14:w="4354">
                  <w14:solidFill>
                    <w14:srgbClr w14:val="000099"/>
                  </w14:solidFill>
                  <w14:prstDash w14:val="solid"/>
                  <w14:round/>
                </w14:textOutline>
              </w:rPr>
              <w:t>战略实施</w:t>
            </w:r>
            <w:r>
              <w:rPr>
                <w:color w:val="000099"/>
                <w:spacing w:val="-42"/>
                <w:sz w:val="24"/>
                <w:szCs w:val="24"/>
              </w:rPr>
              <w:t xml:space="preserve"> </w:t>
            </w:r>
            <w:r>
              <w:rPr>
                <w:rFonts w:ascii="Times New Roman" w:eastAsia="Times New Roman" w:hAnsi="Times New Roman" w:cs="Times New Roman"/>
                <w:b/>
                <w:bCs/>
                <w:color w:val="000099"/>
                <w:spacing w:val="-3"/>
                <w:sz w:val="24"/>
                <w:szCs w:val="24"/>
              </w:rPr>
              <w:t>20</w:t>
            </w:r>
            <w:r>
              <w:rPr>
                <w:rFonts w:ascii="Times New Roman" w:eastAsia="Times New Roman" w:hAnsi="Times New Roman" w:cs="Times New Roman"/>
                <w:b/>
                <w:bCs/>
                <w:color w:val="000099"/>
                <w:spacing w:val="23"/>
                <w:w w:val="101"/>
                <w:sz w:val="24"/>
                <w:szCs w:val="24"/>
              </w:rPr>
              <w:t xml:space="preserve"> </w:t>
            </w:r>
            <w:r>
              <w:rPr>
                <w:color w:val="000099"/>
                <w:spacing w:val="-3"/>
                <w:sz w:val="24"/>
                <w:szCs w:val="24"/>
                <w14:textOutline w14:w="4354">
                  <w14:solidFill>
                    <w14:srgbClr w14:val="000099"/>
                  </w14:solidFill>
                  <w14:prstDash w14:val="solid"/>
                  <w14:round/>
                </w14:textOutline>
              </w:rPr>
              <w:t>年来，效果不尽如人意。经济持续低迷，</w:t>
            </w:r>
            <w:r>
              <w:rPr>
                <w:color w:val="000099"/>
                <w:spacing w:val="-3"/>
                <w:sz w:val="24"/>
                <w:szCs w:val="24"/>
              </w:rPr>
              <w:t xml:space="preserve"> </w:t>
            </w:r>
            <w:r>
              <w:rPr>
                <w:color w:val="000099"/>
                <w:spacing w:val="-3"/>
                <w:sz w:val="24"/>
                <w:szCs w:val="24"/>
                <w14:textOutline w14:w="4354">
                  <w14:solidFill>
                    <w14:srgbClr w14:val="000099"/>
                  </w14:solidFill>
                  <w14:prstDash w14:val="solid"/>
                  <w14:round/>
                </w14:textOutline>
              </w:rPr>
              <w:t>体制机制</w:t>
            </w:r>
            <w:r>
              <w:rPr>
                <w:color w:val="000099"/>
                <w:spacing w:val="-4"/>
                <w:sz w:val="24"/>
                <w:szCs w:val="24"/>
                <w14:textOutline w14:w="4354">
                  <w14:solidFill>
                    <w14:srgbClr w14:val="000099"/>
                  </w14:solidFill>
                  <w14:prstDash w14:val="solid"/>
                  <w14:round/>
                </w14:textOutline>
              </w:rPr>
              <w:t>转型滞后使得投资意愿减弱，老</w:t>
            </w:r>
            <w:r>
              <w:rPr>
                <w:color w:val="000099"/>
                <w:sz w:val="24"/>
                <w:szCs w:val="24"/>
              </w:rPr>
              <w:t xml:space="preserve"> </w:t>
            </w:r>
            <w:r>
              <w:rPr>
                <w:color w:val="000099"/>
                <w:spacing w:val="-7"/>
                <w:sz w:val="24"/>
                <w:szCs w:val="24"/>
                <w14:textOutline w14:w="4354">
                  <w14:solidFill>
                    <w14:srgbClr w14:val="000099"/>
                  </w14:solidFill>
                  <w14:prstDash w14:val="solid"/>
                  <w14:round/>
                </w14:textOutline>
              </w:rPr>
              <w:t>旧产能过剩导致产业转型缓慢，</w:t>
            </w:r>
            <w:r>
              <w:rPr>
                <w:color w:val="000099"/>
                <w:spacing w:val="-7"/>
                <w:sz w:val="24"/>
                <w:szCs w:val="24"/>
              </w:rPr>
              <w:t xml:space="preserve"> </w:t>
            </w:r>
            <w:r>
              <w:rPr>
                <w:color w:val="000099"/>
                <w:spacing w:val="-7"/>
                <w:sz w:val="24"/>
                <w:szCs w:val="24"/>
                <w14:textOutline w14:w="4354">
                  <w14:solidFill>
                    <w14:srgbClr w14:val="000099"/>
                  </w14:solidFill>
                  <w14:prstDash w14:val="solid"/>
                  <w14:round/>
                </w14:textOutline>
              </w:rPr>
              <w:t>人口流失及养老负担与</w:t>
            </w:r>
            <w:r>
              <w:rPr>
                <w:color w:val="000099"/>
                <w:spacing w:val="-8"/>
                <w:sz w:val="24"/>
                <w:szCs w:val="24"/>
                <w14:textOutline w14:w="4354">
                  <w14:solidFill>
                    <w14:srgbClr w14:val="000099"/>
                  </w14:solidFill>
                  <w14:prstDash w14:val="solid"/>
                  <w14:round/>
                </w14:textOutline>
              </w:rPr>
              <w:t>经济发展迟缓形成恶性循环；</w:t>
            </w:r>
            <w:r>
              <w:rPr>
                <w:color w:val="000099"/>
                <w:spacing w:val="-8"/>
                <w:sz w:val="24"/>
                <w:szCs w:val="24"/>
              </w:rPr>
              <w:t xml:space="preserve"> </w:t>
            </w:r>
            <w:r>
              <w:rPr>
                <w:color w:val="000099"/>
                <w:spacing w:val="-8"/>
                <w:sz w:val="24"/>
                <w:szCs w:val="24"/>
                <w14:textOutline w14:w="4354">
                  <w14:solidFill>
                    <w14:srgbClr w14:val="000099"/>
                  </w14:solidFill>
                  <w14:prstDash w14:val="solid"/>
                  <w14:round/>
                </w14:textOutline>
              </w:rPr>
              <w:t>财政运行情</w:t>
            </w:r>
            <w:r>
              <w:rPr>
                <w:color w:val="000099"/>
                <w:sz w:val="24"/>
                <w:szCs w:val="24"/>
              </w:rPr>
              <w:t xml:space="preserve"> </w:t>
            </w:r>
          </w:p>
        </w:tc>
      </w:tr>
    </w:tbl>
    <w:p>
      <w:pPr>
        <w:sectPr>
          <w:headerReference w:type="default" r:id="rId9"/>
          <w:pgSz w:w="11905" w:h="16839"/>
          <w:pgMar w:top="1165" w:right="500" w:bottom="0" w:left="393" w:header="633" w:footer="0" w:gutter="0"/>
          <w:pgNumType w:start="2"/>
          <w:cols w:space="708"/>
        </w:sectPr>
      </w:pPr>
    </w:p>
    <w:tbl>
      <w:tblPr>
        <w:tblStyle w:val="TableNormal1"/>
        <w:tblW w:w="11001" w:type="dxa"/>
        <w:tblInd w:w="2" w:type="dxa"/>
        <w:tblBorders>
          <w:top w:val="single" w:sz="2" w:space="0" w:color="808080"/>
          <w:left w:val="single" w:sz="2" w:space="0" w:color="808080"/>
          <w:bottom w:val="single" w:sz="2" w:space="0" w:color="808080"/>
          <w:right w:val="single" w:sz="2" w:space="0" w:color="808080"/>
        </w:tblBorders>
        <w:tblLayout w:type="fixed"/>
      </w:tblPr>
      <w:tblGrid>
        <w:gridCol w:w="11001"/>
      </w:tblGrid>
      <w:tr>
        <w:tblPrEx>
          <w:tblW w:w="11001" w:type="dxa"/>
          <w:tblInd w:w="2" w:type="dxa"/>
          <w:tblBorders>
            <w:top w:val="single" w:sz="2" w:space="0" w:color="808080"/>
            <w:left w:val="single" w:sz="2" w:space="0" w:color="808080"/>
            <w:bottom w:val="single" w:sz="2" w:space="0" w:color="808080"/>
            <w:right w:val="single" w:sz="2" w:space="0" w:color="808080"/>
          </w:tblBorders>
          <w:tblLayout w:type="fixed"/>
        </w:tblPrEx>
        <w:trPr>
          <w:trHeight w:val="15048"/>
        </w:trPr>
        <w:tc>
          <w:tcPr>
            <w:tcW w:w="11001" w:type="dxa"/>
            <w:vAlign w:val="top"/>
          </w:tcPr>
          <w:p>
            <w:pPr>
              <w:pStyle w:val="TableText"/>
              <w:spacing w:before="0" w:line="283" w:lineRule="auto"/>
              <w:ind w:left="357" w:right="643" w:firstLine="4"/>
              <w:jc w:val="both"/>
              <w:rPr>
                <w:sz w:val="24"/>
                <w:szCs w:val="24"/>
              </w:rPr>
            </w:pPr>
            <w:r>
              <w:rPr>
                <w:color w:val="000099"/>
                <w:spacing w:val="-4"/>
                <w:sz w:val="24"/>
                <w:szCs w:val="24"/>
                <w14:textOutline w14:w="4354">
                  <w14:solidFill>
                    <w14:srgbClr w14:val="000099"/>
                  </w14:solidFill>
                  <w14:prstDash w14:val="solid"/>
                  <w14:round/>
                </w14:textOutline>
              </w:rPr>
              <w:t>况不容乐观，自给能力弱，</w:t>
            </w:r>
            <w:r>
              <w:rPr>
                <w:color w:val="000099"/>
                <w:spacing w:val="-28"/>
                <w:sz w:val="24"/>
                <w:szCs w:val="24"/>
              </w:rPr>
              <w:t xml:space="preserve"> </w:t>
            </w:r>
            <w:r>
              <w:rPr>
                <w:color w:val="000099"/>
                <w:spacing w:val="-4"/>
                <w:sz w:val="24"/>
                <w:szCs w:val="24"/>
                <w14:textOutline w14:w="4354">
                  <w14:solidFill>
                    <w14:srgbClr w14:val="000099"/>
                  </w14:solidFill>
                  <w14:prstDash w14:val="solid"/>
                  <w14:round/>
                </w14:textOutline>
              </w:rPr>
              <w:t>收支矛盾严峻，过度依赖中央支持。同时</w:t>
            </w:r>
            <w:r>
              <w:rPr>
                <w:color w:val="000099"/>
                <w:spacing w:val="-5"/>
                <w:sz w:val="24"/>
                <w:szCs w:val="24"/>
                <w14:textOutline w14:w="4354">
                  <w14:solidFill>
                    <w14:srgbClr w14:val="000099"/>
                  </w14:solidFill>
                  <w14:prstDash w14:val="solid"/>
                  <w14:round/>
                </w14:textOutline>
              </w:rPr>
              <w:t>，东北地区债务率在全国处</w:t>
            </w:r>
            <w:r>
              <w:rPr>
                <w:color w:val="000099"/>
                <w:sz w:val="24"/>
                <w:szCs w:val="24"/>
              </w:rPr>
              <w:t xml:space="preserve"> </w:t>
            </w:r>
            <w:r>
              <w:rPr>
                <w:color w:val="000099"/>
                <w:spacing w:val="-1"/>
                <w:sz w:val="24"/>
                <w:szCs w:val="24"/>
                <w14:textOutline w14:w="4354">
                  <w14:solidFill>
                    <w14:srgbClr w14:val="000099"/>
                  </w14:solidFill>
                  <w14:prstDash w14:val="solid"/>
                  <w14:round/>
                </w14:textOutline>
              </w:rPr>
              <w:t>于高位，债务负担沉重。</w:t>
            </w:r>
          </w:p>
          <w:p>
            <w:pPr>
              <w:pStyle w:val="TableText"/>
              <w:spacing w:before="266" w:line="218" w:lineRule="auto"/>
              <w:ind w:left="836"/>
              <w:rPr>
                <w:sz w:val="24"/>
                <w:szCs w:val="24"/>
              </w:rPr>
            </w:pPr>
            <w:r>
              <w:rPr>
                <w:color w:val="000099"/>
                <w:spacing w:val="-4"/>
                <w:sz w:val="24"/>
                <w:szCs w:val="24"/>
                <w14:textOutline w14:w="4354">
                  <w14:solidFill>
                    <w14:srgbClr w14:val="000099"/>
                  </w14:solidFill>
                  <w14:prstDash w14:val="solid"/>
                  <w14:round/>
                </w14:textOutline>
              </w:rPr>
              <w:t>（一）东北三省衰落成因</w:t>
            </w:r>
          </w:p>
          <w:p>
            <w:pPr>
              <w:spacing w:line="330" w:lineRule="auto"/>
              <w:rPr>
                <w:rFonts w:ascii="Arial"/>
                <w:sz w:val="21"/>
              </w:rPr>
            </w:pPr>
          </w:p>
          <w:p>
            <w:pPr>
              <w:spacing w:line="330" w:lineRule="auto"/>
              <w:rPr>
                <w:rFonts w:ascii="Arial"/>
                <w:sz w:val="21"/>
              </w:rPr>
            </w:pPr>
          </w:p>
          <w:p>
            <w:pPr>
              <w:pStyle w:val="TableText"/>
              <w:spacing w:before="49" w:line="227" w:lineRule="auto"/>
              <w:ind w:left="352"/>
              <w:rPr>
                <w:sz w:val="15"/>
                <w:szCs w:val="15"/>
              </w:rPr>
            </w:pPr>
            <w:r>
              <w:rPr>
                <w:rFonts w:ascii="Times New Roman" w:eastAsia="Times New Roman" w:hAnsi="Times New Roman" w:cs="Times New Roman"/>
                <w:spacing w:val="8"/>
                <w:position w:val="4"/>
                <w:sz w:val="10"/>
                <w:szCs w:val="10"/>
              </w:rPr>
              <w:t xml:space="preserve">1    </w:t>
            </w:r>
            <w:r>
              <w:rPr>
                <w:spacing w:val="8"/>
                <w:sz w:val="15"/>
                <w:szCs w:val="15"/>
              </w:rPr>
              <w:t>网传</w:t>
            </w:r>
            <w:r>
              <w:rPr>
                <w:spacing w:val="-13"/>
                <w:sz w:val="15"/>
                <w:szCs w:val="15"/>
              </w:rPr>
              <w:t xml:space="preserve"> </w:t>
            </w:r>
            <w:r>
              <w:rPr>
                <w:rFonts w:ascii="Times New Roman" w:eastAsia="Times New Roman" w:hAnsi="Times New Roman" w:cs="Times New Roman"/>
                <w:spacing w:val="8"/>
                <w:sz w:val="15"/>
                <w:szCs w:val="15"/>
              </w:rPr>
              <w:t>12</w:t>
            </w:r>
            <w:r>
              <w:rPr>
                <w:rFonts w:ascii="Times New Roman" w:eastAsia="Times New Roman" w:hAnsi="Times New Roman" w:cs="Times New Roman"/>
                <w:spacing w:val="14"/>
                <w:w w:val="101"/>
                <w:sz w:val="15"/>
                <w:szCs w:val="15"/>
              </w:rPr>
              <w:t xml:space="preserve"> </w:t>
            </w:r>
            <w:r>
              <w:rPr>
                <w:spacing w:val="8"/>
                <w:sz w:val="15"/>
                <w:szCs w:val="15"/>
              </w:rPr>
              <w:t>个为高风险重点省份为：天津、</w:t>
            </w:r>
            <w:r>
              <w:rPr>
                <w:spacing w:val="7"/>
                <w:sz w:val="15"/>
                <w:szCs w:val="15"/>
              </w:rPr>
              <w:t>内蒙古、辽宁、吉林、黑龙江、广西、重庆、贵州、云南、甘肃、青海、宁夏。</w:t>
            </w:r>
          </w:p>
        </w:tc>
      </w:tr>
    </w:tbl>
    <w:p>
      <w:pPr>
        <w:rPr>
          <w:rFonts w:ascii="Arial"/>
          <w:sz w:val="21"/>
        </w:rPr>
      </w:pPr>
    </w:p>
    <w:p>
      <w:pPr>
        <w:rPr>
          <w:rFonts w:ascii="Arial" w:eastAsia="Arial" w:hAnsi="Arial" w:cs="Arial"/>
          <w:sz w:val="21"/>
          <w:szCs w:val="21"/>
        </w:rPr>
        <w:sectPr>
          <w:headerReference w:type="default" r:id="rId10"/>
          <w:type w:val="nextPage"/>
          <w:pgSz w:w="11905" w:h="16839"/>
          <w:pgMar w:top="1165" w:right="500" w:bottom="0" w:left="393" w:header="633" w:footer="0" w:gutter="0"/>
          <w:pgNumType w:start="3"/>
          <w:cols w:space="708"/>
          <w:titlePg w:val="0"/>
        </w:sectPr>
      </w:pPr>
    </w:p>
    <w:tbl>
      <w:tblPr>
        <w:tblStyle w:val="TableNormal2"/>
        <w:tblW w:w="11001" w:type="dxa"/>
        <w:tblInd w:w="2" w:type="dxa"/>
        <w:tblBorders>
          <w:top w:val="single" w:sz="2" w:space="0" w:color="808080"/>
          <w:left w:val="single" w:sz="2" w:space="0" w:color="808080"/>
          <w:bottom w:val="single" w:sz="2" w:space="0" w:color="808080"/>
          <w:right w:val="single" w:sz="2" w:space="0" w:color="808080"/>
        </w:tblBorders>
        <w:tblLayout w:type="fixed"/>
      </w:tblPr>
      <w:tblGrid>
        <w:gridCol w:w="11001"/>
      </w:tblGrid>
      <w:tr>
        <w:tblPrEx>
          <w:tblW w:w="11001" w:type="dxa"/>
          <w:tblInd w:w="2" w:type="dxa"/>
          <w:tblBorders>
            <w:top w:val="single" w:sz="2" w:space="0" w:color="808080"/>
            <w:left w:val="single" w:sz="2" w:space="0" w:color="808080"/>
            <w:bottom w:val="single" w:sz="2" w:space="0" w:color="808080"/>
            <w:right w:val="single" w:sz="2" w:space="0" w:color="808080"/>
          </w:tblBorders>
          <w:tblLayout w:type="fixed"/>
        </w:tblPrEx>
        <w:trPr>
          <w:trHeight w:val="15048"/>
        </w:trPr>
        <w:tc>
          <w:tcPr>
            <w:tcW w:w="11001" w:type="dxa"/>
            <w:vAlign w:val="top"/>
          </w:tcPr>
          <w:p>
            <w:pPr>
              <w:spacing w:line="77" w:lineRule="exact"/>
              <w:ind w:firstLine="6681"/>
            </w:pPr>
            <w:r>
              <w:pict>
                <v:shape id="_x0000_s1039" style="width:550.45pt;height:0.25pt;margin-top:794.88pt;margin-left:19.8pt;mso-position-horizontal-relative:page;mso-position-vertical-relative:page;position:absolute;z-index:-251643904" coordorigin="0,0" coordsize="11009,5" o:allowincell="f" path="m,2l11008,2e" filled="f" strokecolor="black" strokeweight="0.24pt"/>
              </w:pict>
            </w:r>
            <w:r>
              <w:pict>
                <v:shape id="_x0000_s1040" type="#_x0000_t202" style="width:127.2pt;height:13.25pt;margin-top:798.83pt;margin-left:20.23pt;mso-position-horizontal-relative:page;mso-position-vertical-relative:page;position:absolute;z-index:251673600" o:allowincell="f" filled="f" stroked="f">
                  <o:lock v:ext="edit" aspectratio="f"/>
                  <v:textbox inset="0,0,0,0">
                    <w:txbxContent>
                      <w:p>
                        <w:pPr>
                          <w:spacing w:before="19" w:line="219" w:lineRule="auto"/>
                          <w:ind w:left="20"/>
                          <w:rPr>
                            <w:rFonts w:ascii="FangSong" w:eastAsia="FangSong" w:hAnsi="FangSong" w:cs="FangSong"/>
                            <w:sz w:val="19"/>
                            <w:szCs w:val="19"/>
                          </w:rPr>
                        </w:pPr>
                        <w:r>
                          <w:rPr>
                            <w:rFonts w:ascii="Arial" w:eastAsia="Arial" w:hAnsi="Arial" w:cs="Arial"/>
                            <w:b/>
                            <w:bCs/>
                            <w:color w:val="FFFFFF"/>
                            <w:spacing w:val="-2"/>
                            <w:position w:val="2"/>
                            <w:sz w:val="18"/>
                            <w:szCs w:val="18"/>
                          </w:rPr>
                          <w:t>3</w:t>
                        </w:r>
                        <w:r>
                          <w:rPr>
                            <w:rFonts w:ascii="Arial" w:eastAsia="Arial" w:hAnsi="Arial" w:cs="Arial"/>
                            <w:b/>
                            <w:bCs/>
                            <w:color w:val="FFFFFF"/>
                            <w:spacing w:val="6"/>
                            <w:position w:val="2"/>
                            <w:sz w:val="18"/>
                            <w:szCs w:val="18"/>
                          </w:rPr>
                          <w:t xml:space="preserve">      </w:t>
                        </w:r>
                        <w:r>
                          <w:rPr>
                            <w:rFonts w:ascii="FangSong" w:eastAsia="FangSong" w:hAnsi="FangSong" w:cs="FangSong"/>
                            <w:spacing w:val="-2"/>
                            <w:sz w:val="19"/>
                            <w:szCs w:val="19"/>
                          </w:rPr>
                          <w:t>东北三省债务化解再思考</w:t>
                        </w:r>
                      </w:p>
                    </w:txbxContent>
                  </v:textbox>
                </v:shape>
              </w:pict>
            </w:r>
            <w:r>
              <w:pict>
                <v:rect id="_x0000_s1041" style="width:497.75pt;height:0.4pt;margin-top:627.96pt;margin-left:-532.77pt;mso-position-horizontal-relative:right-margin-area;mso-position-vertical-relative:top-margin-area;position:absolute;z-index:251674624" filled="t" fillcolor="#5b9bd5" stroked="f">
                  <v:fill opacity="63737f"/>
                </v:rect>
              </w:pict>
            </w:r>
            <w:r>
              <mc:AlternateContent>
                <mc:Choice Requires="wps">
                  <w:drawing>
                    <wp:anchor distT="0" distB="0" distL="0" distR="0" simplePos="0" relativeHeight="251671552" behindDoc="1" locked="0" layoutInCell="1" allowOverlap="1">
                      <wp:simplePos x="0" y="0"/>
                      <wp:positionH relativeFrom="rightMargin">
                        <wp:posOffset>-6985634</wp:posOffset>
                      </wp:positionH>
                      <wp:positionV relativeFrom="topMargin">
                        <wp:posOffset>9351492</wp:posOffset>
                      </wp:positionV>
                      <wp:extent cx="219709" cy="198754"/>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6985634" y="9351492"/>
                                <a:ext cx="219709" cy="198754"/>
                              </a:xfrm>
                              <a:prstGeom prst="rect">
                                <a:avLst/>
                              </a:prstGeom>
                              <a:solidFill>
                                <a:srgbClr val="8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1042" style="width:17.3pt;height:15.65pt;margin-top:736.34pt;margin-left:-550.05pt;mso-position-horizontal-relative:right-margin-area;mso-position-vertical-relative:top-margin-area;mso-wrap-distance-bottom:0;mso-wrap-distance-left:0;mso-wrap-distance-right:0;mso-wrap-distance-top:0;position:absolute;v-text-anchor:top;z-index:-251645952" fillcolor="maroon" stroked="f"/>
                  </w:pict>
                </mc:Fallback>
              </mc:AlternateContent>
            </w:r>
            <w:r>
              <w:rPr>
                <w:position w:val="-1"/>
              </w:rPr>
              <w:drawing>
                <wp:inline distT="0" distB="0" distL="0" distR="0">
                  <wp:extent cx="2739770" cy="48996"/>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2739770" cy="48996"/>
                          </a:xfrm>
                          <a:prstGeom prst="rect">
                            <a:avLst/>
                          </a:prstGeom>
                        </pic:spPr>
                      </pic:pic>
                    </a:graphicData>
                  </a:graphic>
                </wp:inline>
              </w:drawing>
            </w:r>
          </w:p>
          <w:p>
            <w:pPr>
              <w:spacing w:line="243" w:lineRule="auto"/>
              <w:rPr>
                <w:rFonts w:ascii="Arial"/>
                <w:sz w:val="21"/>
              </w:rPr>
            </w:pPr>
          </w:p>
          <w:p>
            <w:pPr>
              <w:pStyle w:val="TableText"/>
              <w:spacing w:before="72" w:line="326" w:lineRule="auto"/>
              <w:ind w:left="354" w:right="643" w:firstLine="447"/>
            </w:pPr>
            <w:r>
              <w:rPr>
                <w:spacing w:val="-8"/>
              </w:rPr>
              <w:t>东北三省系黑龙江省、吉林省、辽宁省的统称，作为全国重要</w:t>
            </w:r>
            <w:r>
              <w:rPr>
                <w:spacing w:val="-9"/>
              </w:rPr>
              <w:t>的老工业基地，东北三省曾在社会建设、</w:t>
            </w:r>
            <w:r>
              <w:t xml:space="preserve"> </w:t>
            </w:r>
            <w:r>
              <w:rPr>
                <w:spacing w:val="-11"/>
              </w:rPr>
              <w:t>经济发展当中担当着重要的角色，</w:t>
            </w:r>
            <w:r>
              <w:rPr>
                <w:spacing w:val="43"/>
              </w:rPr>
              <w:t xml:space="preserve"> </w:t>
            </w:r>
            <w:r>
              <w:rPr>
                <w:spacing w:val="-11"/>
              </w:rPr>
              <w:t>但近年来东北逐步走向衰落，</w:t>
            </w:r>
            <w:r>
              <w:rPr>
                <w:spacing w:val="38"/>
              </w:rPr>
              <w:t xml:space="preserve"> </w:t>
            </w:r>
            <w:r>
              <w:rPr>
                <w:rFonts w:ascii="Times New Roman" w:eastAsia="Times New Roman" w:hAnsi="Times New Roman" w:cs="Times New Roman"/>
                <w:spacing w:val="-11"/>
              </w:rPr>
              <w:t>2003</w:t>
            </w:r>
            <w:r>
              <w:rPr>
                <w:rFonts w:ascii="Times New Roman" w:eastAsia="Times New Roman" w:hAnsi="Times New Roman" w:cs="Times New Roman"/>
                <w:spacing w:val="17"/>
              </w:rPr>
              <w:t xml:space="preserve"> </w:t>
            </w:r>
            <w:r>
              <w:rPr>
                <w:spacing w:val="-11"/>
              </w:rPr>
              <w:t>年</w:t>
            </w:r>
            <w:r>
              <w:rPr>
                <w:spacing w:val="-32"/>
              </w:rPr>
              <w:t xml:space="preserve"> </w:t>
            </w:r>
            <w:r>
              <w:rPr>
                <w:rFonts w:ascii="Times New Roman" w:eastAsia="Times New Roman" w:hAnsi="Times New Roman" w:cs="Times New Roman"/>
                <w:spacing w:val="-11"/>
              </w:rPr>
              <w:t>10</w:t>
            </w:r>
            <w:r>
              <w:rPr>
                <w:rFonts w:ascii="Times New Roman" w:eastAsia="Times New Roman" w:hAnsi="Times New Roman" w:cs="Times New Roman"/>
                <w:spacing w:val="23"/>
                <w:w w:val="101"/>
              </w:rPr>
              <w:t xml:space="preserve"> </w:t>
            </w:r>
            <w:r>
              <w:rPr>
                <w:spacing w:val="-11"/>
              </w:rPr>
              <w:t>月，</w:t>
            </w:r>
            <w:r>
              <w:rPr>
                <w:spacing w:val="-11"/>
              </w:rPr>
              <w:t xml:space="preserve"> </w:t>
            </w:r>
            <w:r>
              <w:rPr>
                <w:spacing w:val="-11"/>
              </w:rPr>
              <w:t>中共中央、国</w:t>
            </w:r>
            <w:r>
              <w:rPr>
                <w:spacing w:val="-12"/>
              </w:rPr>
              <w:t>务院正式印</w:t>
            </w:r>
            <w:r>
              <w:t xml:space="preserve"> </w:t>
            </w:r>
            <w:r>
              <w:rPr>
                <w:spacing w:val="-7"/>
              </w:rPr>
              <w:t>发《关于实施东北地区等老工业基地振兴战略的若干意见》，制定了振兴战略的各项方针政策，</w:t>
            </w:r>
            <w:r>
              <w:rPr>
                <w:spacing w:val="88"/>
              </w:rPr>
              <w:t xml:space="preserve"> </w:t>
            </w:r>
            <w:r>
              <w:rPr>
                <w:spacing w:val="-7"/>
              </w:rPr>
              <w:t>首次提出</w:t>
            </w:r>
            <w:r>
              <w:t xml:space="preserve"> </w:t>
            </w:r>
            <w:r>
              <w:rPr>
                <w:spacing w:val="-3"/>
              </w:rPr>
              <w:t>振兴东北老工业基地，但东北振兴战略实施</w:t>
            </w:r>
            <w:r>
              <w:rPr>
                <w:spacing w:val="-38"/>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17"/>
              </w:rPr>
              <w:t xml:space="preserve"> </w:t>
            </w:r>
            <w:r>
              <w:rPr>
                <w:spacing w:val="-3"/>
              </w:rPr>
              <w:t>年来，效果却不尽如人意，自身经济发展能力疲弱，</w:t>
            </w:r>
            <w:r>
              <w:rPr>
                <w:spacing w:val="-22"/>
              </w:rPr>
              <w:t xml:space="preserve"> </w:t>
            </w:r>
            <w:r>
              <w:rPr>
                <w:spacing w:val="-3"/>
              </w:rPr>
              <w:t>对中</w:t>
            </w:r>
          </w:p>
          <w:p>
            <w:pPr>
              <w:pStyle w:val="TableText"/>
              <w:spacing w:line="217" w:lineRule="auto"/>
              <w:ind w:left="362"/>
            </w:pPr>
            <w:r>
              <w:rPr>
                <w:spacing w:val="-2"/>
              </w:rPr>
              <w:t>央的支持愈发依赖。</w:t>
            </w:r>
          </w:p>
          <w:p>
            <w:pPr>
              <w:pStyle w:val="TableText"/>
              <w:spacing w:before="294" w:line="326" w:lineRule="auto"/>
              <w:ind w:left="355" w:right="638" w:firstLine="441"/>
              <w:jc w:val="both"/>
            </w:pPr>
            <w:r>
              <w:rPr>
                <w:spacing w:val="-10"/>
                <w14:textOutline w14:w="4005">
                  <w14:solidFill>
                    <w14:srgbClr w14:val="000000"/>
                  </w14:solidFill>
                  <w14:prstDash w14:val="solid"/>
                  <w14:round/>
                </w14:textOutline>
              </w:rPr>
              <w:t>经济持续低迷，经济增长乏力，</w:t>
            </w:r>
            <w:r>
              <w:rPr>
                <w:spacing w:val="62"/>
              </w:rPr>
              <w:t xml:space="preserve"> </w:t>
            </w:r>
            <w:r>
              <w:rPr>
                <w:rFonts w:ascii="Times New Roman" w:eastAsia="Times New Roman" w:hAnsi="Times New Roman" w:cs="Times New Roman"/>
                <w:b/>
                <w:bCs/>
                <w:spacing w:val="-10"/>
              </w:rPr>
              <w:t xml:space="preserve">GDP  </w:t>
            </w:r>
            <w:r>
              <w:rPr>
                <w:spacing w:val="-10"/>
                <w14:textOutline w14:w="4005">
                  <w14:solidFill>
                    <w14:srgbClr w14:val="000000"/>
                  </w14:solidFill>
                  <w14:prstDash w14:val="solid"/>
                  <w14:round/>
                </w14:textOutline>
              </w:rPr>
              <w:t>占比下滑。</w:t>
            </w:r>
            <w:r>
              <w:rPr>
                <w:spacing w:val="-10"/>
              </w:rPr>
              <w:t xml:space="preserve"> </w:t>
            </w:r>
            <w:r>
              <w:rPr>
                <w:spacing w:val="-10"/>
              </w:rPr>
              <w:t>近年来东北三</w:t>
            </w:r>
            <w:r>
              <w:rPr>
                <w:spacing w:val="-11"/>
              </w:rPr>
              <w:t>省经济持续低迷，</w:t>
            </w:r>
            <w:r>
              <w:rPr>
                <w:spacing w:val="58"/>
              </w:rPr>
              <w:t xml:space="preserve"> </w:t>
            </w:r>
            <w:r>
              <w:rPr>
                <w:spacing w:val="-11"/>
              </w:rPr>
              <w:t>且随着改革开放的</w:t>
            </w:r>
            <w:r>
              <w:t xml:space="preserve"> </w:t>
            </w:r>
            <w:r>
              <w:rPr>
                <w:spacing w:val="-7"/>
              </w:rPr>
              <w:t>不断深入，</w:t>
            </w:r>
            <w:r>
              <w:rPr>
                <w:spacing w:val="-7"/>
              </w:rPr>
              <w:t xml:space="preserve"> </w:t>
            </w:r>
            <w:r>
              <w:rPr>
                <w:spacing w:val="-7"/>
              </w:rPr>
              <w:t>东北三省发展速度逐步与东南沿海等发达省份脱节，</w:t>
            </w:r>
            <w:r>
              <w:rPr>
                <w:spacing w:val="-7"/>
              </w:rPr>
              <w:t xml:space="preserve"> </w:t>
            </w:r>
            <w:r>
              <w:rPr>
                <w:spacing w:val="-7"/>
              </w:rPr>
              <w:t>经济体量及地位重要性在</w:t>
            </w:r>
            <w:r>
              <w:rPr>
                <w:spacing w:val="-8"/>
              </w:rPr>
              <w:t>全国比重不断降</w:t>
            </w:r>
            <w:r>
              <w:t xml:space="preserve"> </w:t>
            </w:r>
            <w:r>
              <w:rPr>
                <w:spacing w:val="-3"/>
              </w:rPr>
              <w:t>低，从数据来看体现为东北三省</w:t>
            </w:r>
            <w:r>
              <w:rPr>
                <w:spacing w:val="-47"/>
              </w:rPr>
              <w:t xml:space="preserve"> </w:t>
            </w:r>
            <w:r>
              <w:rPr>
                <w:rFonts w:ascii="Times New Roman" w:eastAsia="Times New Roman" w:hAnsi="Times New Roman" w:cs="Times New Roman"/>
                <w:spacing w:val="-3"/>
              </w:rPr>
              <w:t>GDP</w:t>
            </w:r>
            <w:r>
              <w:rPr>
                <w:rFonts w:ascii="Times New Roman" w:eastAsia="Times New Roman" w:hAnsi="Times New Roman" w:cs="Times New Roman"/>
                <w:spacing w:val="53"/>
              </w:rPr>
              <w:t xml:space="preserve"> </w:t>
            </w:r>
            <w:r>
              <w:rPr>
                <w:spacing w:val="-3"/>
              </w:rPr>
              <w:t>占全国比重逐年下降、</w:t>
            </w:r>
            <w:r>
              <w:rPr>
                <w:rFonts w:ascii="Times New Roman" w:eastAsia="Times New Roman" w:hAnsi="Times New Roman" w:cs="Times New Roman"/>
                <w:spacing w:val="-3"/>
              </w:rPr>
              <w:t>2013</w:t>
            </w:r>
            <w:r>
              <w:rPr>
                <w:rFonts w:ascii="Times New Roman" w:eastAsia="Times New Roman" w:hAnsi="Times New Roman" w:cs="Times New Roman"/>
                <w:spacing w:val="17"/>
              </w:rPr>
              <w:t xml:space="preserve"> </w:t>
            </w:r>
            <w:r>
              <w:rPr>
                <w:spacing w:val="-3"/>
              </w:rPr>
              <w:t>年之后东北三省经济增速全面低于全国</w:t>
            </w:r>
            <w:r>
              <w:t xml:space="preserve"> </w:t>
            </w:r>
            <w:r>
              <w:rPr>
                <w:spacing w:val="-9"/>
              </w:rPr>
              <w:t>平均水平，</w:t>
            </w:r>
            <w:r>
              <w:rPr>
                <w:spacing w:val="-9"/>
              </w:rPr>
              <w:t xml:space="preserve"> </w:t>
            </w:r>
            <w:r>
              <w:rPr>
                <w:spacing w:val="-9"/>
              </w:rPr>
              <w:t>东北地区已成为我国经济增长的“洼地”，经济增长势头甚至已落后于西部地区，</w:t>
            </w:r>
            <w:r>
              <w:rPr>
                <w:spacing w:val="-31"/>
              </w:rPr>
              <w:t xml:space="preserve"> </w:t>
            </w:r>
            <w:r>
              <w:rPr>
                <w:spacing w:val="-9"/>
              </w:rPr>
              <w:t>其中</w:t>
            </w:r>
            <w:r>
              <w:rPr>
                <w:spacing w:val="-50"/>
              </w:rPr>
              <w:t xml:space="preserve"> </w:t>
            </w:r>
            <w:r>
              <w:rPr>
                <w:rFonts w:ascii="Times New Roman" w:eastAsia="Times New Roman" w:hAnsi="Times New Roman" w:cs="Times New Roman"/>
                <w:spacing w:val="-9"/>
              </w:rPr>
              <w:t>2022</w:t>
            </w:r>
            <w:r>
              <w:rPr>
                <w:rFonts w:ascii="Times New Roman" w:eastAsia="Times New Roman" w:hAnsi="Times New Roman" w:cs="Times New Roman"/>
                <w:spacing w:val="18"/>
              </w:rPr>
              <w:t xml:space="preserve"> </w:t>
            </w:r>
            <w:r>
              <w:rPr>
                <w:spacing w:val="-9"/>
              </w:rPr>
              <w:t>年</w:t>
            </w:r>
          </w:p>
          <w:p>
            <w:pPr>
              <w:pStyle w:val="TableText"/>
              <w:spacing w:line="217" w:lineRule="auto"/>
              <w:ind w:left="366"/>
            </w:pPr>
            <w:r>
              <w:rPr>
                <w:spacing w:val="-7"/>
              </w:rPr>
              <w:t>受疫情影响吉林省更是一度陷入经济负增长中</w:t>
            </w:r>
            <w:r>
              <w:rPr>
                <w:spacing w:val="-8"/>
              </w:rPr>
              <w:t>，东北三省经济增长压力加大，究其原因，主要有以下几点：</w:t>
            </w:r>
          </w:p>
          <w:p>
            <w:pPr>
              <w:pStyle w:val="TableText"/>
              <w:spacing w:before="295" w:line="326" w:lineRule="auto"/>
              <w:ind w:left="355" w:right="574" w:firstLine="441"/>
              <w:jc w:val="both"/>
            </w:pPr>
            <w:r>
              <w:rPr>
                <w:spacing w:val="-11"/>
              </w:rPr>
              <w:t>（</w:t>
            </w:r>
            <w:r>
              <w:rPr>
                <w:rFonts w:ascii="Times New Roman" w:eastAsia="Times New Roman" w:hAnsi="Times New Roman" w:cs="Times New Roman"/>
                <w:spacing w:val="-11"/>
              </w:rPr>
              <w:t>1</w:t>
            </w:r>
            <w:r>
              <w:rPr>
                <w:spacing w:val="-11"/>
              </w:rPr>
              <w:t>）体制机制转型滞后，</w:t>
            </w:r>
            <w:r>
              <w:rPr>
                <w:spacing w:val="43"/>
              </w:rPr>
              <w:t xml:space="preserve"> </w:t>
            </w:r>
            <w:r>
              <w:rPr>
                <w:spacing w:val="-11"/>
              </w:rPr>
              <w:t>民营企业活力不足，</w:t>
            </w:r>
            <w:r>
              <w:rPr>
                <w:spacing w:val="59"/>
              </w:rPr>
              <w:t xml:space="preserve"> </w:t>
            </w:r>
            <w:r>
              <w:rPr>
                <w:spacing w:val="-11"/>
              </w:rPr>
              <w:t>外部投资意愿减弱。</w:t>
            </w:r>
            <w:r>
              <w:rPr>
                <w:spacing w:val="39"/>
              </w:rPr>
              <w:t xml:space="preserve"> </w:t>
            </w:r>
            <w:r>
              <w:rPr>
                <w:spacing w:val="-11"/>
              </w:rPr>
              <w:t>新中国成立后，东北地区因其良</w:t>
            </w:r>
            <w:r>
              <w:t xml:space="preserve"> </w:t>
            </w:r>
            <w:r>
              <w:rPr>
                <w:spacing w:val="-5"/>
              </w:rPr>
              <w:t>好的工业基础得到了中央计划经济的倾斜，受计划经济体制影响最深，</w:t>
            </w:r>
            <w:r>
              <w:rPr>
                <w:spacing w:val="-5"/>
              </w:rPr>
              <w:t xml:space="preserve"> </w:t>
            </w:r>
            <w:r>
              <w:rPr>
                <w:spacing w:val="-5"/>
              </w:rPr>
              <w:t>企业主要以国有企业为主，民营企</w:t>
            </w:r>
            <w:r>
              <w:rPr>
                <w:spacing w:val="5"/>
              </w:rPr>
              <w:t xml:space="preserve"> </w:t>
            </w:r>
            <w:r>
              <w:rPr>
                <w:spacing w:val="-8"/>
              </w:rPr>
              <w:t>业参与相对较少，</w:t>
            </w:r>
            <w:r>
              <w:rPr>
                <w:spacing w:val="27"/>
              </w:rPr>
              <w:t xml:space="preserve"> </w:t>
            </w:r>
            <w:r>
              <w:rPr>
                <w:spacing w:val="-8"/>
              </w:rPr>
              <w:t>这也使得东北市场整体缺乏</w:t>
            </w:r>
            <w:r>
              <w:rPr>
                <w:spacing w:val="-9"/>
              </w:rPr>
              <w:t>活力，营商环境不佳，</w:t>
            </w:r>
            <w:r>
              <w:rPr>
                <w:spacing w:val="27"/>
              </w:rPr>
              <w:t xml:space="preserve"> </w:t>
            </w:r>
            <w:r>
              <w:rPr>
                <w:spacing w:val="-9"/>
              </w:rPr>
              <w:t>且逐步养成了东北地区习惯吃大锅饭</w:t>
            </w:r>
            <w:r>
              <w:t xml:space="preserve"> </w:t>
            </w:r>
            <w:r>
              <w:rPr>
                <w:spacing w:val="-8"/>
              </w:rPr>
              <w:t>和官僚主义作风。体制机制改革之后，</w:t>
            </w:r>
            <w:r>
              <w:rPr>
                <w:spacing w:val="25"/>
              </w:rPr>
              <w:t xml:space="preserve"> </w:t>
            </w:r>
            <w:r>
              <w:rPr>
                <w:spacing w:val="-8"/>
              </w:rPr>
              <w:t>上述情况仍未明显</w:t>
            </w:r>
            <w:r>
              <w:rPr>
                <w:spacing w:val="-9"/>
              </w:rPr>
              <w:t>改善，</w:t>
            </w:r>
            <w:r>
              <w:rPr>
                <w:spacing w:val="24"/>
              </w:rPr>
              <w:t xml:space="preserve"> </w:t>
            </w:r>
            <w:r>
              <w:rPr>
                <w:spacing w:val="-9"/>
              </w:rPr>
              <w:t>体制机制转型的滞后一定程度上压制了市</w:t>
            </w:r>
            <w:r>
              <w:t xml:space="preserve"> </w:t>
            </w:r>
            <w:r>
              <w:rPr>
                <w:spacing w:val="-5"/>
              </w:rPr>
              <w:t>场主体的创新潜力，根据中国工商联发布的《</w:t>
            </w:r>
            <w:r>
              <w:rPr>
                <w:rFonts w:ascii="Times New Roman" w:eastAsia="Times New Roman" w:hAnsi="Times New Roman" w:cs="Times New Roman"/>
                <w:spacing w:val="-5"/>
              </w:rPr>
              <w:t>202</w:t>
            </w:r>
            <w:r>
              <w:rPr>
                <w:rFonts w:ascii="Times New Roman" w:eastAsia="Times New Roman" w:hAnsi="Times New Roman" w:cs="Times New Roman"/>
                <w:spacing w:val="-6"/>
              </w:rPr>
              <w:t>3</w:t>
            </w:r>
            <w:r>
              <w:rPr>
                <w:rFonts w:ascii="Times New Roman" w:eastAsia="Times New Roman" w:hAnsi="Times New Roman" w:cs="Times New Roman"/>
                <w:spacing w:val="51"/>
              </w:rPr>
              <w:t xml:space="preserve"> </w:t>
            </w:r>
            <w:r>
              <w:rPr>
                <w:spacing w:val="-6"/>
              </w:rPr>
              <w:t>中国民营企业</w:t>
            </w:r>
            <w:r>
              <w:rPr>
                <w:spacing w:val="-32"/>
              </w:rPr>
              <w:t xml:space="preserve"> </w:t>
            </w:r>
            <w:r>
              <w:rPr>
                <w:rFonts w:ascii="Times New Roman" w:eastAsia="Times New Roman" w:hAnsi="Times New Roman" w:cs="Times New Roman"/>
                <w:spacing w:val="-6"/>
              </w:rPr>
              <w:t>500</w:t>
            </w:r>
            <w:r>
              <w:rPr>
                <w:rFonts w:ascii="Times New Roman" w:eastAsia="Times New Roman" w:hAnsi="Times New Roman" w:cs="Times New Roman"/>
                <w:spacing w:val="34"/>
              </w:rPr>
              <w:t xml:space="preserve"> </w:t>
            </w:r>
            <w:r>
              <w:rPr>
                <w:spacing w:val="-6"/>
              </w:rPr>
              <w:t>强榜单》，东北三省仅有</w:t>
            </w:r>
            <w:r>
              <w:rPr>
                <w:spacing w:val="-32"/>
              </w:rPr>
              <w:t xml:space="preserve"> </w:t>
            </w:r>
            <w:r>
              <w:rPr>
                <w:rFonts w:ascii="Times New Roman" w:eastAsia="Times New Roman" w:hAnsi="Times New Roman" w:cs="Times New Roman"/>
                <w:spacing w:val="-6"/>
              </w:rPr>
              <w:t>5</w:t>
            </w:r>
            <w:r>
              <w:rPr>
                <w:rFonts w:ascii="Times New Roman" w:eastAsia="Times New Roman" w:hAnsi="Times New Roman" w:cs="Times New Roman"/>
                <w:spacing w:val="29"/>
                <w:w w:val="101"/>
              </w:rPr>
              <w:t xml:space="preserve"> </w:t>
            </w:r>
            <w:r>
              <w:rPr>
                <w:spacing w:val="-6"/>
              </w:rPr>
              <w:t>家上榜，</w:t>
            </w:r>
          </w:p>
          <w:p>
            <w:pPr>
              <w:pStyle w:val="TableText"/>
              <w:spacing w:before="1" w:line="218" w:lineRule="auto"/>
              <w:ind w:left="357"/>
            </w:pPr>
            <w:r>
              <w:rPr>
                <w:spacing w:val="-1"/>
              </w:rPr>
              <w:t>对外部投资的吸引力亦因营商环境等缘故逐年下滑。</w:t>
            </w:r>
          </w:p>
          <w:p>
            <w:pPr>
              <w:pStyle w:val="TableText"/>
              <w:spacing w:before="294" w:line="326" w:lineRule="auto"/>
              <w:ind w:left="354" w:right="638" w:firstLine="442"/>
              <w:jc w:val="both"/>
            </w:pPr>
            <w:r>
              <w:rPr>
                <w:spacing w:val="-4"/>
              </w:rPr>
              <w:t>（</w:t>
            </w:r>
            <w:r>
              <w:rPr>
                <w:rFonts w:ascii="Times New Roman" w:eastAsia="Times New Roman" w:hAnsi="Times New Roman" w:cs="Times New Roman"/>
                <w:spacing w:val="-4"/>
              </w:rPr>
              <w:t>2</w:t>
            </w:r>
            <w:r>
              <w:rPr>
                <w:spacing w:val="-4"/>
              </w:rPr>
              <w:t>）产业转型缓慢，</w:t>
            </w:r>
            <w:r>
              <w:rPr>
                <w:spacing w:val="-54"/>
              </w:rPr>
              <w:t xml:space="preserve"> </w:t>
            </w:r>
            <w:r>
              <w:rPr>
                <w:spacing w:val="-4"/>
              </w:rPr>
              <w:t>自然资源枯竭，</w:t>
            </w:r>
            <w:r>
              <w:rPr>
                <w:spacing w:val="-4"/>
              </w:rPr>
              <w:t xml:space="preserve"> </w:t>
            </w:r>
            <w:r>
              <w:rPr>
                <w:spacing w:val="-4"/>
              </w:rPr>
              <w:t>创新驱动不足。新中国成立以来，东北地区作为承载国家战略</w:t>
            </w:r>
            <w:r>
              <w:t xml:space="preserve"> </w:t>
            </w:r>
            <w:r>
              <w:rPr>
                <w:spacing w:val="-13"/>
              </w:rPr>
              <w:t>需要的摇篮，</w:t>
            </w:r>
            <w:r>
              <w:rPr>
                <w:spacing w:val="49"/>
              </w:rPr>
              <w:t xml:space="preserve"> </w:t>
            </w:r>
            <w:r>
              <w:rPr>
                <w:spacing w:val="-13"/>
              </w:rPr>
              <w:t>拥有庞大的重工业基础和自然资源，但随着改革开放后，</w:t>
            </w:r>
            <w:r>
              <w:rPr>
                <w:spacing w:val="61"/>
              </w:rPr>
              <w:t xml:space="preserve"> </w:t>
            </w:r>
            <w:r>
              <w:rPr>
                <w:spacing w:val="-13"/>
              </w:rPr>
              <w:t>中国经济融入经济全球化，</w:t>
            </w:r>
            <w:r>
              <w:rPr>
                <w:spacing w:val="37"/>
              </w:rPr>
              <w:t xml:space="preserve"> </w:t>
            </w:r>
            <w:r>
              <w:rPr>
                <w:spacing w:val="-13"/>
              </w:rPr>
              <w:t>东北地</w:t>
            </w:r>
            <w:r>
              <w:t xml:space="preserve"> </w:t>
            </w:r>
            <w:r>
              <w:t>区大量低端落后的重工业很难嵌入经济全球化的分工之中，</w:t>
            </w:r>
            <w:r>
              <w:t xml:space="preserve"> </w:t>
            </w:r>
            <w:r>
              <w:t>部分过于依赖单</w:t>
            </w:r>
            <w:r>
              <w:rPr>
                <w:spacing w:val="-1"/>
              </w:rPr>
              <w:t>一产业的资源型城市亦逐步</w:t>
            </w:r>
            <w:r>
              <w:t xml:space="preserve"> </w:t>
            </w:r>
            <w:r>
              <w:rPr>
                <w:spacing w:val="-2"/>
              </w:rPr>
              <w:t>陷入资源枯竭，截至目前我国确定的</w:t>
            </w:r>
            <w:r>
              <w:rPr>
                <w:spacing w:val="-23"/>
              </w:rPr>
              <w:t xml:space="preserve"> </w:t>
            </w:r>
            <w:r>
              <w:rPr>
                <w:rFonts w:ascii="Times New Roman" w:eastAsia="Times New Roman" w:hAnsi="Times New Roman" w:cs="Times New Roman"/>
                <w:spacing w:val="-2"/>
              </w:rPr>
              <w:t>69</w:t>
            </w:r>
            <w:r>
              <w:rPr>
                <w:rFonts w:ascii="Times New Roman" w:eastAsia="Times New Roman" w:hAnsi="Times New Roman" w:cs="Times New Roman"/>
                <w:spacing w:val="33"/>
              </w:rPr>
              <w:t xml:space="preserve"> </w:t>
            </w:r>
            <w:r>
              <w:rPr>
                <w:spacing w:val="-2"/>
              </w:rPr>
              <w:t>个资源枯竭型城市中，东北地区为</w:t>
            </w:r>
            <w:r>
              <w:rPr>
                <w:spacing w:val="-32"/>
              </w:rPr>
              <w:t xml:space="preserve"> </w:t>
            </w:r>
            <w:r>
              <w:rPr>
                <w:rFonts w:ascii="Times New Roman" w:eastAsia="Times New Roman" w:hAnsi="Times New Roman" w:cs="Times New Roman"/>
                <w:spacing w:val="-2"/>
              </w:rPr>
              <w:t>20</w:t>
            </w:r>
            <w:r>
              <w:rPr>
                <w:rFonts w:ascii="Times New Roman" w:eastAsia="Times New Roman" w:hAnsi="Times New Roman" w:cs="Times New Roman"/>
                <w:spacing w:val="32"/>
                <w:w w:val="101"/>
              </w:rPr>
              <w:t xml:space="preserve"> </w:t>
            </w:r>
            <w:r>
              <w:rPr>
                <w:spacing w:val="-2"/>
              </w:rPr>
              <w:t>个，占比约</w:t>
            </w:r>
            <w:r>
              <w:rPr>
                <w:spacing w:val="-29"/>
              </w:rPr>
              <w:t xml:space="preserve"> </w:t>
            </w:r>
            <w:r>
              <w:rPr>
                <w:rFonts w:ascii="Times New Roman" w:eastAsia="Times New Roman" w:hAnsi="Times New Roman" w:cs="Times New Roman"/>
                <w:spacing w:val="-2"/>
              </w:rPr>
              <w:t>30%</w:t>
            </w:r>
            <w:r>
              <w:rPr>
                <w:rFonts w:ascii="Times New Roman" w:eastAsia="Times New Roman" w:hAnsi="Times New Roman" w:cs="Times New Roman"/>
                <w:spacing w:val="-25"/>
              </w:rPr>
              <w:t xml:space="preserve"> </w:t>
            </w:r>
            <w:r>
              <w:rPr>
                <w:spacing w:val="-2"/>
              </w:rPr>
              <w:t>。与此同</w:t>
            </w:r>
            <w:r>
              <w:t xml:space="preserve"> </w:t>
            </w:r>
            <w:r>
              <w:rPr>
                <w:spacing w:val="-1"/>
              </w:rPr>
              <w:t>时，东北地区产业转型进展缓慢，从</w:t>
            </w:r>
            <w:r>
              <w:rPr>
                <w:spacing w:val="-42"/>
              </w:rPr>
              <w:t xml:space="preserve"> </w:t>
            </w:r>
            <w:r>
              <w:rPr>
                <w:rFonts w:ascii="Times New Roman" w:eastAsia="Times New Roman" w:hAnsi="Times New Roman" w:cs="Times New Roman"/>
                <w:spacing w:val="-1"/>
              </w:rPr>
              <w:t>45</w:t>
            </w:r>
            <w:r>
              <w:rPr>
                <w:rFonts w:ascii="Times New Roman" w:eastAsia="Times New Roman" w:hAnsi="Times New Roman" w:cs="Times New Roman"/>
                <w:spacing w:val="18"/>
                <w:w w:val="101"/>
              </w:rPr>
              <w:t xml:space="preserve"> </w:t>
            </w:r>
            <w:r>
              <w:rPr>
                <w:spacing w:val="-1"/>
              </w:rPr>
              <w:t>个全国先进制造业发展集群来看，当前东北三省仅存在沈阳市机</w:t>
            </w:r>
            <w:r>
              <w:t xml:space="preserve"> </w:t>
            </w:r>
            <w:r>
              <w:rPr>
                <w:spacing w:val="-6"/>
              </w:rPr>
              <w:t>器人及智能制造集群和长春市汽车集群</w:t>
            </w:r>
            <w:r>
              <w:rPr>
                <w:spacing w:val="-51"/>
              </w:rPr>
              <w:t xml:space="preserve"> </w:t>
            </w:r>
            <w:r>
              <w:rPr>
                <w:rFonts w:ascii="Times New Roman" w:eastAsia="Times New Roman" w:hAnsi="Times New Roman" w:cs="Times New Roman"/>
                <w:spacing w:val="-6"/>
              </w:rPr>
              <w:t>2</w:t>
            </w:r>
            <w:r>
              <w:rPr>
                <w:rFonts w:ascii="Times New Roman" w:eastAsia="Times New Roman" w:hAnsi="Times New Roman" w:cs="Times New Roman"/>
                <w:spacing w:val="13"/>
              </w:rPr>
              <w:t xml:space="preserve"> </w:t>
            </w:r>
            <w:r>
              <w:rPr>
                <w:spacing w:val="-6"/>
              </w:rPr>
              <w:t>个；</w:t>
            </w:r>
            <w:r>
              <w:rPr>
                <w:spacing w:val="-42"/>
              </w:rPr>
              <w:t xml:space="preserve"> </w:t>
            </w:r>
            <w:r>
              <w:rPr>
                <w:spacing w:val="-7"/>
              </w:rPr>
              <w:t>东北三省上市公司总数仅</w:t>
            </w:r>
            <w:r>
              <w:rPr>
                <w:spacing w:val="-30"/>
              </w:rPr>
              <w:t xml:space="preserve"> </w:t>
            </w:r>
            <w:r>
              <w:rPr>
                <w:rFonts w:ascii="Times New Roman" w:eastAsia="Times New Roman" w:hAnsi="Times New Roman" w:cs="Times New Roman"/>
                <w:spacing w:val="-7"/>
              </w:rPr>
              <w:t>176</w:t>
            </w:r>
            <w:r>
              <w:rPr>
                <w:rFonts w:ascii="Times New Roman" w:eastAsia="Times New Roman" w:hAnsi="Times New Roman" w:cs="Times New Roman"/>
                <w:spacing w:val="15"/>
                <w:w w:val="101"/>
              </w:rPr>
              <w:t xml:space="preserve"> </w:t>
            </w:r>
            <w:r>
              <w:rPr>
                <w:spacing w:val="-7"/>
              </w:rPr>
              <w:t>家，</w:t>
            </w:r>
            <w:r>
              <w:rPr>
                <w:spacing w:val="-7"/>
              </w:rPr>
              <w:t xml:space="preserve"> </w:t>
            </w:r>
            <w:r>
              <w:rPr>
                <w:spacing w:val="-7"/>
              </w:rPr>
              <w:t>占全国的</w:t>
            </w:r>
            <w:r>
              <w:rPr>
                <w:spacing w:val="-48"/>
              </w:rPr>
              <w:t xml:space="preserve"> </w:t>
            </w:r>
            <w:r>
              <w:rPr>
                <w:rFonts w:ascii="Times New Roman" w:eastAsia="Times New Roman" w:hAnsi="Times New Roman" w:cs="Times New Roman"/>
                <w:spacing w:val="-7"/>
              </w:rPr>
              <w:t>3.30%</w:t>
            </w:r>
            <w:r>
              <w:rPr>
                <w:spacing w:val="-7"/>
              </w:rPr>
              <w:t>，主要集</w:t>
            </w:r>
            <w:r>
              <w:t xml:space="preserve"> </w:t>
            </w:r>
            <w:r>
              <w:rPr>
                <w:spacing w:val="-11"/>
              </w:rPr>
              <w:t>中于哈尔滨（</w:t>
            </w:r>
            <w:r>
              <w:rPr>
                <w:rFonts w:ascii="Times New Roman" w:eastAsia="Times New Roman" w:hAnsi="Times New Roman" w:cs="Times New Roman"/>
                <w:spacing w:val="-11"/>
              </w:rPr>
              <w:t>33</w:t>
            </w:r>
            <w:r>
              <w:rPr>
                <w:rFonts w:ascii="Times New Roman" w:eastAsia="Times New Roman" w:hAnsi="Times New Roman" w:cs="Times New Roman"/>
                <w:spacing w:val="31"/>
              </w:rPr>
              <w:t xml:space="preserve"> </w:t>
            </w:r>
            <w:r>
              <w:rPr>
                <w:spacing w:val="-11"/>
              </w:rPr>
              <w:t>家）、长春（</w:t>
            </w:r>
            <w:r>
              <w:rPr>
                <w:rFonts w:ascii="Times New Roman" w:eastAsia="Times New Roman" w:hAnsi="Times New Roman" w:cs="Times New Roman"/>
                <w:spacing w:val="-11"/>
              </w:rPr>
              <w:t>30</w:t>
            </w:r>
            <w:r>
              <w:rPr>
                <w:rFonts w:ascii="Times New Roman" w:eastAsia="Times New Roman" w:hAnsi="Times New Roman" w:cs="Times New Roman"/>
                <w:spacing w:val="15"/>
              </w:rPr>
              <w:t xml:space="preserve"> </w:t>
            </w:r>
            <w:r>
              <w:rPr>
                <w:spacing w:val="-11"/>
              </w:rPr>
              <w:t>家）、沈阳（</w:t>
            </w:r>
            <w:r>
              <w:rPr>
                <w:rFonts w:ascii="Times New Roman" w:eastAsia="Times New Roman" w:hAnsi="Times New Roman" w:cs="Times New Roman"/>
                <w:spacing w:val="-11"/>
              </w:rPr>
              <w:t>28</w:t>
            </w:r>
            <w:r>
              <w:rPr>
                <w:rFonts w:ascii="Times New Roman" w:eastAsia="Times New Roman" w:hAnsi="Times New Roman" w:cs="Times New Roman"/>
                <w:spacing w:val="15"/>
              </w:rPr>
              <w:t xml:space="preserve"> </w:t>
            </w:r>
            <w:r>
              <w:rPr>
                <w:spacing w:val="-11"/>
              </w:rPr>
              <w:t>家）</w:t>
            </w:r>
            <w:r>
              <w:rPr>
                <w:spacing w:val="-55"/>
              </w:rPr>
              <w:t xml:space="preserve"> </w:t>
            </w:r>
            <w:r>
              <w:rPr>
                <w:spacing w:val="-11"/>
              </w:rPr>
              <w:t>和大连（</w:t>
            </w:r>
            <w:r>
              <w:rPr>
                <w:rFonts w:ascii="Times New Roman" w:eastAsia="Times New Roman" w:hAnsi="Times New Roman" w:cs="Times New Roman"/>
                <w:spacing w:val="-11"/>
              </w:rPr>
              <w:t>31</w:t>
            </w:r>
            <w:r>
              <w:rPr>
                <w:rFonts w:ascii="Times New Roman" w:eastAsia="Times New Roman" w:hAnsi="Times New Roman" w:cs="Times New Roman"/>
                <w:spacing w:val="15"/>
              </w:rPr>
              <w:t xml:space="preserve"> </w:t>
            </w:r>
            <w:r>
              <w:rPr>
                <w:spacing w:val="-11"/>
              </w:rPr>
              <w:t>家）</w:t>
            </w:r>
            <w:r>
              <w:rPr>
                <w:spacing w:val="-29"/>
              </w:rPr>
              <w:t xml:space="preserve"> </w:t>
            </w:r>
            <w:r>
              <w:rPr>
                <w:spacing w:val="-11"/>
              </w:rPr>
              <w:t>四大主要城市，东北三省上市公司总</w:t>
            </w:r>
          </w:p>
          <w:p>
            <w:pPr>
              <w:pStyle w:val="TableText"/>
              <w:spacing w:before="1" w:line="230" w:lineRule="auto"/>
              <w:ind w:left="361"/>
            </w:pPr>
            <w:r>
              <w:rPr>
                <w:spacing w:val="-3"/>
              </w:rPr>
              <w:t>市值约</w:t>
            </w:r>
            <w:r>
              <w:rPr>
                <w:spacing w:val="-29"/>
              </w:rPr>
              <w:t xml:space="preserve"> </w:t>
            </w:r>
            <w:r>
              <w:rPr>
                <w:rFonts w:ascii="Times New Roman" w:eastAsia="Times New Roman" w:hAnsi="Times New Roman" w:cs="Times New Roman"/>
                <w:spacing w:val="-3"/>
              </w:rPr>
              <w:t>1.56</w:t>
            </w:r>
            <w:r>
              <w:rPr>
                <w:rFonts w:ascii="Times New Roman" w:eastAsia="Times New Roman" w:hAnsi="Times New Roman" w:cs="Times New Roman"/>
                <w:spacing w:val="14"/>
                <w:w w:val="101"/>
              </w:rPr>
              <w:t xml:space="preserve"> </w:t>
            </w:r>
            <w:r>
              <w:rPr>
                <w:spacing w:val="-3"/>
              </w:rPr>
              <w:t>万亿，占全国的</w:t>
            </w:r>
            <w:r>
              <w:rPr>
                <w:spacing w:val="-31"/>
              </w:rPr>
              <w:t xml:space="preserve"> </w:t>
            </w:r>
            <w:r>
              <w:rPr>
                <w:rFonts w:ascii="Times New Roman" w:eastAsia="Times New Roman" w:hAnsi="Times New Roman" w:cs="Times New Roman"/>
                <w:spacing w:val="-3"/>
              </w:rPr>
              <w:t>1.84%</w:t>
            </w:r>
            <w:r>
              <w:rPr>
                <w:rFonts w:ascii="Times New Roman" w:eastAsia="Times New Roman" w:hAnsi="Times New Roman" w:cs="Times New Roman"/>
                <w:spacing w:val="-26"/>
              </w:rPr>
              <w:t xml:space="preserve"> </w:t>
            </w:r>
            <w:r>
              <w:rPr>
                <w:spacing w:val="-3"/>
              </w:rPr>
              <w:t>，分布密度远低于其他发达省份，创新驱动严重不足。</w:t>
            </w:r>
          </w:p>
          <w:p>
            <w:pPr>
              <w:spacing w:before="224" w:line="222" w:lineRule="auto"/>
              <w:ind w:left="3117"/>
              <w:rPr>
                <w:rFonts w:ascii="SimSun" w:eastAsia="SimSun" w:hAnsi="SimSun" w:cs="SimSun"/>
                <w:sz w:val="18"/>
                <w:szCs w:val="18"/>
              </w:rPr>
            </w:pPr>
            <w:r>
              <w:rPr>
                <w:rFonts w:ascii="SimSun" w:eastAsia="SimSun" w:hAnsi="SimSun" w:cs="SimSun"/>
                <w:color w:val="003366"/>
                <w:sz w:val="18"/>
                <w:szCs w:val="18"/>
                <w14:textOutline w14:w="3309">
                  <w14:solidFill>
                    <w14:srgbClr w14:val="003366"/>
                  </w14:solidFill>
                  <w14:prstDash w14:val="solid"/>
                  <w14:round/>
                </w14:textOutline>
              </w:rPr>
              <w:t>表</w:t>
            </w:r>
            <w:r>
              <w:rPr>
                <w:rFonts w:ascii="SimSun" w:eastAsia="SimSun" w:hAnsi="SimSun" w:cs="SimSun"/>
                <w:color w:val="003366"/>
                <w:spacing w:val="-37"/>
                <w:sz w:val="18"/>
                <w:szCs w:val="18"/>
              </w:rPr>
              <w:t xml:space="preserve"> </w:t>
            </w:r>
            <w:r>
              <w:rPr>
                <w:rFonts w:ascii="Times New Roman" w:eastAsia="Times New Roman" w:hAnsi="Times New Roman" w:cs="Times New Roman"/>
                <w:b/>
                <w:bCs/>
                <w:color w:val="003366"/>
                <w:sz w:val="18"/>
                <w:szCs w:val="18"/>
              </w:rPr>
              <w:t>2</w:t>
            </w:r>
            <w:r>
              <w:rPr>
                <w:rFonts w:ascii="SimSun" w:eastAsia="SimSun" w:hAnsi="SimSun" w:cs="SimSun"/>
                <w:color w:val="003366"/>
                <w:sz w:val="18"/>
                <w:szCs w:val="18"/>
                <w14:textOutline w14:w="3309">
                  <w14:solidFill>
                    <w14:srgbClr w14:val="003366"/>
                  </w14:solidFill>
                  <w14:prstDash w14:val="solid"/>
                  <w14:round/>
                </w14:textOutline>
              </w:rPr>
              <w:t>：截至</w:t>
            </w:r>
            <w:r>
              <w:rPr>
                <w:rFonts w:ascii="SimSun" w:eastAsia="SimSun" w:hAnsi="SimSun" w:cs="SimSun"/>
                <w:color w:val="003366"/>
                <w:spacing w:val="-33"/>
                <w:sz w:val="18"/>
                <w:szCs w:val="18"/>
              </w:rPr>
              <w:t xml:space="preserve"> </w:t>
            </w:r>
            <w:r>
              <w:rPr>
                <w:rFonts w:ascii="Times New Roman" w:eastAsia="Times New Roman" w:hAnsi="Times New Roman" w:cs="Times New Roman"/>
                <w:b/>
                <w:bCs/>
                <w:color w:val="003366"/>
                <w:sz w:val="18"/>
                <w:szCs w:val="18"/>
              </w:rPr>
              <w:t xml:space="preserve">2023 </w:t>
            </w:r>
            <w:r>
              <w:rPr>
                <w:rFonts w:ascii="SimSun" w:eastAsia="SimSun" w:hAnsi="SimSun" w:cs="SimSun"/>
                <w:color w:val="003366"/>
                <w:sz w:val="18"/>
                <w:szCs w:val="18"/>
                <w14:textOutline w14:w="3309">
                  <w14:solidFill>
                    <w14:srgbClr w14:val="003366"/>
                  </w14:solidFill>
                  <w14:prstDash w14:val="solid"/>
                  <w14:round/>
                </w14:textOutline>
              </w:rPr>
              <w:t>年末全国各地区上市公司情况（家</w:t>
            </w:r>
            <w:r>
              <w:rPr>
                <w:rFonts w:ascii="SimSun" w:eastAsia="SimSun" w:hAnsi="SimSun" w:cs="SimSun"/>
                <w:color w:val="003366"/>
                <w:spacing w:val="-1"/>
                <w:sz w:val="18"/>
                <w:szCs w:val="18"/>
                <w14:textOutline w14:w="3309">
                  <w14:solidFill>
                    <w14:srgbClr w14:val="003366"/>
                  </w14:solidFill>
                  <w14:prstDash w14:val="solid"/>
                  <w14:round/>
                </w14:textOutline>
              </w:rPr>
              <w:t>、万亿元）</w:t>
            </w:r>
          </w:p>
          <w:p>
            <w:pPr>
              <w:tabs>
                <w:tab w:val="left" w:pos="779"/>
              </w:tabs>
              <w:spacing w:before="217" w:line="223" w:lineRule="auto"/>
              <w:ind w:left="348"/>
              <w:rPr>
                <w:rFonts w:ascii="SimSun" w:eastAsia="SimSun" w:hAnsi="SimSun" w:cs="SimSun"/>
                <w:sz w:val="16"/>
                <w:szCs w:val="16"/>
              </w:rPr>
            </w:pPr>
            <w:r>
              <w:rPr>
                <w:rFonts w:ascii="SimSun" w:eastAsia="SimSun" w:hAnsi="SimSun" w:cs="SimSun"/>
                <w:color w:val="FFFFFF"/>
                <w:sz w:val="16"/>
                <w:szCs w:val="16"/>
                <w:shd w:val="clear" w:color="auto" w:fill="003366"/>
              </w:rPr>
              <w:tab/>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指标</w:t>
            </w:r>
            <w:r>
              <w:rPr>
                <w:rFonts w:ascii="SimSun" w:eastAsia="SimSun" w:hAnsi="SimSun" w:cs="SimSun"/>
                <w:color w:val="FFFFFF"/>
                <w:spacing w:val="7"/>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东北地区</w:t>
            </w:r>
            <w:r>
              <w:rPr>
                <w:rFonts w:ascii="SimSun" w:eastAsia="SimSun" w:hAnsi="SimSun" w:cs="SimSun"/>
                <w:color w:val="FFFFFF"/>
                <w:spacing w:val="7"/>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华北地区</w:t>
            </w:r>
            <w:r>
              <w:rPr>
                <w:rFonts w:ascii="SimSun" w:eastAsia="SimSun" w:hAnsi="SimSun" w:cs="SimSun"/>
                <w:color w:val="FFFFFF"/>
                <w:spacing w:val="7"/>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华东地区</w:t>
            </w:r>
            <w:r>
              <w:rPr>
                <w:rFonts w:ascii="SimSun" w:eastAsia="SimSun" w:hAnsi="SimSun" w:cs="SimSun"/>
                <w:color w:val="FFFFFF"/>
                <w:spacing w:val="1"/>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华南地区</w:t>
            </w:r>
            <w:r>
              <w:rPr>
                <w:rFonts w:ascii="SimSun" w:eastAsia="SimSun" w:hAnsi="SimSun" w:cs="SimSun"/>
                <w:color w:val="FFFFFF"/>
                <w:spacing w:val="34"/>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西北地区</w:t>
            </w:r>
            <w:r>
              <w:rPr>
                <w:rFonts w:ascii="SimSun" w:eastAsia="SimSun" w:hAnsi="SimSun" w:cs="SimSun"/>
                <w:color w:val="FFFFFF"/>
                <w:spacing w:val="35"/>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西南地区</w:t>
            </w:r>
            <w:r>
              <w:rPr>
                <w:rFonts w:ascii="SimSun" w:eastAsia="SimSun" w:hAnsi="SimSun" w:cs="SimSun"/>
                <w:color w:val="FFFFFF"/>
                <w:spacing w:val="1"/>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其他</w:t>
            </w:r>
            <w:r>
              <w:rPr>
                <w:rFonts w:ascii="SimSun" w:eastAsia="SimSun" w:hAnsi="SimSun" w:cs="SimSun"/>
                <w:color w:val="FFFFFF"/>
                <w:spacing w:val="2"/>
                <w:sz w:val="16"/>
                <w:szCs w:val="16"/>
                <w:shd w:val="clear" w:color="auto" w:fill="003366"/>
              </w:rPr>
              <w:t xml:space="preserve">      </w:t>
            </w:r>
            <w:r>
              <w:rPr>
                <w:rFonts w:ascii="SimSun" w:eastAsia="SimSun" w:hAnsi="SimSun" w:cs="SimSun"/>
                <w:color w:val="FFFFFF"/>
                <w:spacing w:val="7"/>
                <w:sz w:val="16"/>
                <w:szCs w:val="16"/>
                <w:shd w:val="clear" w:color="auto" w:fill="003366"/>
                <w14:textOutline w14:w="3007">
                  <w14:solidFill>
                    <w14:srgbClr w14:val="FFFFFF"/>
                  </w14:solidFill>
                  <w14:prstDash w14:val="solid"/>
                  <w14:round/>
                </w14:textOutline>
              </w:rPr>
              <w:t>各地区分布情况</w:t>
            </w:r>
            <w:r>
              <w:rPr>
                <w:rFonts w:ascii="SimSun" w:eastAsia="SimSun" w:hAnsi="SimSun" w:cs="SimSun"/>
                <w:color w:val="FFFFFF"/>
                <w:spacing w:val="7"/>
                <w:sz w:val="16"/>
                <w:szCs w:val="16"/>
                <w:shd w:val="clear" w:color="auto" w:fill="003366"/>
              </w:rPr>
              <w:t xml:space="preserve">   </w:t>
            </w:r>
            <w:r>
              <w:rPr>
                <w:rFonts w:ascii="SimSun" w:eastAsia="SimSun" w:hAnsi="SimSun" w:cs="SimSun"/>
                <w:color w:val="FFFFFF"/>
                <w:spacing w:val="6"/>
                <w:sz w:val="16"/>
                <w:szCs w:val="16"/>
                <w:shd w:val="clear" w:color="auto" w:fill="003366"/>
              </w:rPr>
              <w:t xml:space="preserve">   </w:t>
            </w:r>
          </w:p>
          <w:p>
            <w:pPr>
              <w:tabs>
                <w:tab w:val="left" w:pos="465"/>
              </w:tabs>
              <w:spacing w:before="82" w:line="410" w:lineRule="auto"/>
              <w:ind w:left="348" w:right="700" w:firstLine="113"/>
              <w:rPr>
                <w:rFonts w:ascii="Times New Roman" w:eastAsia="Times New Roman" w:hAnsi="Times New Roman" w:cs="Times New Roman"/>
                <w:sz w:val="16"/>
                <w:szCs w:val="16"/>
              </w:rPr>
            </w:pPr>
            <w:r>
              <w:rPr>
                <w:rFonts w:ascii="SimSun" w:eastAsia="SimSun" w:hAnsi="SimSun" w:cs="SimSun"/>
                <w:spacing w:val="1"/>
                <w:sz w:val="16"/>
                <w:szCs w:val="16"/>
              </w:rPr>
              <w:t>上市公司家数</w:t>
            </w:r>
            <w:r>
              <w:rPr>
                <w:rFonts w:ascii="SimSun" w:eastAsia="SimSun" w:hAnsi="SimSun" w:cs="SimSun"/>
                <w:spacing w:val="7"/>
                <w:sz w:val="16"/>
                <w:szCs w:val="16"/>
              </w:rPr>
              <w:t xml:space="preserve">        </w:t>
            </w:r>
            <w:r>
              <w:rPr>
                <w:rFonts w:ascii="Times New Roman" w:eastAsia="Times New Roman" w:hAnsi="Times New Roman" w:cs="Times New Roman"/>
                <w:spacing w:val="1"/>
                <w:sz w:val="16"/>
                <w:szCs w:val="16"/>
              </w:rPr>
              <w:t>176</w:t>
            </w:r>
            <w:r>
              <w:rPr>
                <w:rFonts w:ascii="Times New Roman" w:eastAsia="Times New Roman" w:hAnsi="Times New Roman" w:cs="Times New Roman"/>
                <w:sz w:val="16"/>
                <w:szCs w:val="16"/>
              </w:rPr>
              <w:t xml:space="preserve">                   </w:t>
            </w:r>
            <w:r>
              <w:rPr>
                <w:rFonts w:ascii="Times New Roman" w:eastAsia="Times New Roman" w:hAnsi="Times New Roman" w:cs="Times New Roman"/>
                <w:spacing w:val="1"/>
                <w:sz w:val="16"/>
                <w:szCs w:val="16"/>
              </w:rPr>
              <w:t>797</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1"/>
                <w:position w:val="-2"/>
                <w:sz w:val="16"/>
                <w:szCs w:val="16"/>
              </w:rPr>
              <w:t xml:space="preserve">2,568                1,233   </w:t>
            </w:r>
            <w:r>
              <w:rPr>
                <w:rFonts w:ascii="Times New Roman" w:eastAsia="Times New Roman" w:hAnsi="Times New Roman" w:cs="Times New Roman"/>
                <w:position w:val="-2"/>
                <w:sz w:val="16"/>
                <w:szCs w:val="16"/>
              </w:rPr>
              <w:t xml:space="preserve">             </w:t>
            </w:r>
            <w:r>
              <w:rPr>
                <w:rFonts w:ascii="Times New Roman" w:eastAsia="Times New Roman" w:hAnsi="Times New Roman" w:cs="Times New Roman"/>
                <w:sz w:val="16"/>
                <w:szCs w:val="16"/>
              </w:rPr>
              <w:t xml:space="preserve">203                 350                   10   </w:t>
            </w:r>
            <w:r>
              <w:rPr>
                <w:rFonts w:ascii="Arial" w:eastAsia="Arial" w:hAnsi="Arial" w:cs="Arial"/>
                <w:color w:val="CDD6E1"/>
                <w:spacing w:val="1427"/>
                <w:w w:val="175"/>
                <w:sz w:val="32"/>
                <w:szCs w:val="32"/>
              </w:rPr>
              <w:t>…</w:t>
            </w:r>
            <w:r>
              <w:rPr>
                <w:rFonts w:ascii="Arial" w:eastAsia="Arial" w:hAnsi="Arial" w:cs="Arial"/>
                <w:color w:val="CDD6E1"/>
                <w:spacing w:val="11"/>
                <w:sz w:val="32"/>
                <w:szCs w:val="32"/>
              </w:rPr>
              <w:t xml:space="preserve"> </w:t>
            </w:r>
            <w:r>
              <w:rPr>
                <w:rFonts w:ascii="SimSun" w:eastAsia="SimSun" w:hAnsi="SimSun" w:cs="SimSun"/>
                <w:sz w:val="16"/>
                <w:szCs w:val="16"/>
                <w:shd w:val="clear" w:color="auto" w:fill="DDEBF7"/>
              </w:rPr>
              <w:tab/>
            </w:r>
            <w:r>
              <w:rPr>
                <w:rFonts w:ascii="SimSun" w:eastAsia="SimSun" w:hAnsi="SimSun" w:cs="SimSun"/>
                <w:spacing w:val="2"/>
                <w:sz w:val="16"/>
                <w:szCs w:val="16"/>
                <w:shd w:val="clear" w:color="auto" w:fill="DDEBF7"/>
              </w:rPr>
              <w:t xml:space="preserve">总市值              </w:t>
            </w:r>
            <w:r>
              <w:rPr>
                <w:rFonts w:ascii="Times New Roman" w:eastAsia="Times New Roman" w:hAnsi="Times New Roman" w:cs="Times New Roman"/>
                <w:spacing w:val="2"/>
                <w:sz w:val="16"/>
                <w:szCs w:val="16"/>
                <w:shd w:val="clear" w:color="auto" w:fill="DDEBF7"/>
              </w:rPr>
              <w:t xml:space="preserve">1.56           </w:t>
            </w:r>
            <w:r>
              <w:rPr>
                <w:rFonts w:ascii="Times New Roman" w:eastAsia="Times New Roman" w:hAnsi="Times New Roman" w:cs="Times New Roman"/>
                <w:spacing w:val="1"/>
                <w:sz w:val="16"/>
                <w:szCs w:val="16"/>
                <w:shd w:val="clear" w:color="auto" w:fill="DDEBF7"/>
              </w:rPr>
              <w:t xml:space="preserve">    25.36                28.37               16.04               2.68                6.91               3.88   </w:t>
            </w:r>
            <w:r>
              <w:rPr>
                <w:position w:val="-30"/>
                <w:sz w:val="16"/>
                <w:szCs w:val="16"/>
                <w:shd w:val="clear" w:color="auto" w:fill="DDEBF7"/>
              </w:rPr>
              <w:drawing>
                <wp:inline distT="0" distB="0" distL="0" distR="0">
                  <wp:extent cx="1261402" cy="462797"/>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1"/>
                          <a:stretch>
                            <a:fillRect/>
                          </a:stretch>
                        </pic:blipFill>
                        <pic:spPr>
                          <a:xfrm>
                            <a:off x="0" y="0"/>
                            <a:ext cx="1261402" cy="462797"/>
                          </a:xfrm>
                          <a:prstGeom prst="rect">
                            <a:avLst/>
                          </a:prstGeom>
                        </pic:spPr>
                      </pic:pic>
                    </a:graphicData>
                  </a:graphic>
                </wp:inline>
              </w:drawing>
            </w:r>
            <w:r>
              <w:rPr>
                <w:rFonts w:ascii="Times New Roman" w:eastAsia="Times New Roman" w:hAnsi="Times New Roman" w:cs="Times New Roman"/>
                <w:sz w:val="16"/>
                <w:szCs w:val="16"/>
                <w:shd w:val="clear" w:color="auto" w:fill="DDEBF7"/>
              </w:rPr>
              <w:t xml:space="preserve">  </w:t>
            </w:r>
          </w:p>
          <w:p>
            <w:pPr>
              <w:spacing w:before="232" w:line="230" w:lineRule="auto"/>
              <w:ind w:left="354"/>
              <w:rPr>
                <w:rFonts w:ascii="SimSun" w:eastAsia="SimSun" w:hAnsi="SimSun" w:cs="SimSun"/>
                <w:sz w:val="15"/>
                <w:szCs w:val="15"/>
              </w:rPr>
            </w:pPr>
            <w:r>
              <w:rPr>
                <w:rFonts w:ascii="SimSun" w:eastAsia="SimSun" w:hAnsi="SimSun" w:cs="SimSun"/>
                <w:spacing w:val="2"/>
                <w:sz w:val="15"/>
                <w:szCs w:val="15"/>
              </w:rPr>
              <w:t>资料来源：公开资料，</w:t>
            </w:r>
            <w:r>
              <w:rPr>
                <w:rFonts w:ascii="SimSun" w:eastAsia="SimSun" w:hAnsi="SimSun" w:cs="SimSun"/>
                <w:spacing w:val="42"/>
                <w:w w:val="101"/>
                <w:sz w:val="15"/>
                <w:szCs w:val="15"/>
              </w:rPr>
              <w:t xml:space="preserve"> </w:t>
            </w:r>
            <w:r>
              <w:rPr>
                <w:rFonts w:ascii="SimSun" w:eastAsia="SimSun" w:hAnsi="SimSun" w:cs="SimSun"/>
                <w:spacing w:val="2"/>
                <w:sz w:val="15"/>
                <w:szCs w:val="15"/>
              </w:rPr>
              <w:t>中诚信国际整理</w:t>
            </w:r>
          </w:p>
          <w:p>
            <w:pPr>
              <w:pStyle w:val="TableText"/>
              <w:spacing w:before="240" w:line="328" w:lineRule="auto"/>
              <w:ind w:left="366" w:right="643" w:firstLine="430"/>
              <w:jc w:val="both"/>
            </w:pPr>
            <w:r>
              <w:rPr>
                <w:spacing w:val="1"/>
              </w:rPr>
              <w:t>（</w:t>
            </w:r>
            <w:r>
              <w:rPr>
                <w:rFonts w:ascii="Times New Roman" w:eastAsia="Times New Roman" w:hAnsi="Times New Roman" w:cs="Times New Roman"/>
                <w:spacing w:val="1"/>
              </w:rPr>
              <w:t>3</w:t>
            </w:r>
            <w:r>
              <w:rPr>
                <w:spacing w:val="1"/>
              </w:rPr>
              <w:t>）人口流失严峻，</w:t>
            </w:r>
            <w:r>
              <w:rPr>
                <w:spacing w:val="66"/>
              </w:rPr>
              <w:t xml:space="preserve"> </w:t>
            </w:r>
            <w:r>
              <w:rPr>
                <w:spacing w:val="1"/>
              </w:rPr>
              <w:t>养老负担沉重。东北三省对人才的吸引</w:t>
            </w:r>
            <w:r>
              <w:t>力下降，东北三省人口从</w:t>
            </w:r>
            <w:r>
              <w:t xml:space="preserve"> </w:t>
            </w:r>
            <w:r>
              <w:rPr>
                <w:rFonts w:ascii="Times New Roman" w:eastAsia="Times New Roman" w:hAnsi="Times New Roman" w:cs="Times New Roman"/>
              </w:rPr>
              <w:t xml:space="preserve">2010  </w:t>
            </w:r>
            <w:r>
              <w:t>年的</w:t>
            </w:r>
            <w:r>
              <w:t xml:space="preserve"> </w:t>
            </w:r>
            <w:r>
              <w:rPr>
                <w:rFonts w:ascii="Times New Roman" w:eastAsia="Times New Roman" w:hAnsi="Times New Roman" w:cs="Times New Roman"/>
                <w:spacing w:val="-4"/>
              </w:rPr>
              <w:t>10,952.26</w:t>
            </w:r>
            <w:r>
              <w:rPr>
                <w:rFonts w:ascii="Times New Roman" w:eastAsia="Times New Roman" w:hAnsi="Times New Roman" w:cs="Times New Roman"/>
                <w:spacing w:val="46"/>
                <w:w w:val="101"/>
              </w:rPr>
              <w:t xml:space="preserve"> </w:t>
            </w:r>
            <w:r>
              <w:rPr>
                <w:spacing w:val="-4"/>
              </w:rPr>
              <w:t>万人减少至</w:t>
            </w:r>
            <w:r>
              <w:rPr>
                <w:spacing w:val="-33"/>
              </w:rPr>
              <w:t xml:space="preserve"> </w:t>
            </w:r>
            <w:r>
              <w:rPr>
                <w:rFonts w:ascii="Times New Roman" w:eastAsia="Times New Roman" w:hAnsi="Times New Roman" w:cs="Times New Roman"/>
                <w:spacing w:val="-4"/>
              </w:rPr>
              <w:t>2022</w:t>
            </w:r>
            <w:r>
              <w:rPr>
                <w:rFonts w:ascii="Times New Roman" w:eastAsia="Times New Roman" w:hAnsi="Times New Roman" w:cs="Times New Roman"/>
                <w:spacing w:val="36"/>
                <w:w w:val="101"/>
              </w:rPr>
              <w:t xml:space="preserve"> </w:t>
            </w:r>
            <w:r>
              <w:rPr>
                <w:spacing w:val="-4"/>
              </w:rPr>
              <w:t>年末的</w:t>
            </w:r>
            <w:r>
              <w:rPr>
                <w:spacing w:val="-29"/>
              </w:rPr>
              <w:t xml:space="preserve"> </w:t>
            </w:r>
            <w:r>
              <w:rPr>
                <w:rFonts w:ascii="Times New Roman" w:eastAsia="Times New Roman" w:hAnsi="Times New Roman" w:cs="Times New Roman"/>
                <w:spacing w:val="-4"/>
              </w:rPr>
              <w:t>9,643.69</w:t>
            </w:r>
            <w:r>
              <w:rPr>
                <w:rFonts w:ascii="Times New Roman" w:eastAsia="Times New Roman" w:hAnsi="Times New Roman" w:cs="Times New Roman"/>
                <w:spacing w:val="33"/>
                <w:w w:val="101"/>
              </w:rPr>
              <w:t xml:space="preserve"> </w:t>
            </w:r>
            <w:r>
              <w:rPr>
                <w:spacing w:val="-4"/>
              </w:rPr>
              <w:t>万人，</w:t>
            </w:r>
            <w:r>
              <w:rPr>
                <w:spacing w:val="-4"/>
              </w:rPr>
              <w:t xml:space="preserve"> </w:t>
            </w:r>
            <w:r>
              <w:rPr>
                <w:rFonts w:ascii="Times New Roman" w:eastAsia="Times New Roman" w:hAnsi="Times New Roman" w:cs="Times New Roman"/>
                <w:spacing w:val="-4"/>
              </w:rPr>
              <w:t>12</w:t>
            </w:r>
            <w:r>
              <w:rPr>
                <w:rFonts w:ascii="Times New Roman" w:eastAsia="Times New Roman" w:hAnsi="Times New Roman" w:cs="Times New Roman"/>
                <w:spacing w:val="36"/>
              </w:rPr>
              <w:t xml:space="preserve"> </w:t>
            </w:r>
            <w:r>
              <w:rPr>
                <w:spacing w:val="-4"/>
              </w:rPr>
              <w:t>年间减少了超一千万人，东北三省是近十年来人口</w:t>
            </w:r>
          </w:p>
          <w:p>
            <w:pPr>
              <w:pStyle w:val="TableText"/>
              <w:spacing w:before="1" w:line="216" w:lineRule="auto"/>
              <w:ind w:left="357"/>
            </w:pPr>
            <w:r>
              <w:rPr>
                <w:spacing w:val="-3"/>
              </w:rPr>
              <w:t>减少最多的三个省份，人口流失问题严峻。另外大量国企人员退休和人口老龄化进一步加大东北地区财政</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2" w:history="1">
        <w:r>
          <w:rPr>
            <w:rFonts w:ascii="SimSun" w:eastAsia="SimSun" w:hAnsi="SimSun" w:cs="SimSun"/>
            <w:b/>
            <w:bCs/>
            <w:noProof w:val="0"/>
            <w:snapToGrid/>
            <w:color w:val="0000EE"/>
            <w:kern w:val="0"/>
            <w:sz w:val="30"/>
            <w:szCs w:val="30"/>
            <w:u w:val="single" w:color="0000EE"/>
          </w:rPr>
          <w:t>https://d.book118.com/818026067040006026</w:t>
        </w:r>
      </w:hyperlink>
    </w:p>
    <w:p/>
    <w:sectPr>
      <w:headerReference w:type="default" r:id="rId13"/>
      <w:pgSz w:w="11905" w:h="16839"/>
      <w:pgMar w:top="1165" w:right="500" w:bottom="0" w:left="393" w:header="633" w:footer="0" w:gutter="0"/>
      <w:pgNumType w:start="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43" w:lineRule="auto"/>
      <w:rPr>
        <w:rFonts w:ascii="Arial"/>
        <w:sz w:val="21"/>
      </w:rPr>
    </w:pPr>
    <w:r>
      <w:pict>
        <v:rect id="_x0000_s2049" style="width:334.35pt;height:15.6pt;margin-top:31.68pt;margin-left:19.68pt;mso-position-horizontal-relative:page;mso-position-vertical-relative:page;position:absolute;z-index:251658240" o:allowincell="f" filled="t" fillcolor="#626262" stroked="f"/>
      </w:pict>
    </w:r>
  </w:p>
  <w:p>
    <w:pPr>
      <w:spacing w:before="76" w:line="158" w:lineRule="auto"/>
      <w:ind w:left="8920"/>
      <w:rPr>
        <w:rFonts w:ascii="STSong" w:eastAsia="STSong" w:hAnsi="STSong" w:cs="STSong"/>
        <w:sz w:val="21"/>
        <w:szCs w:val="21"/>
      </w:rPr>
    </w:pPr>
    <w:r>
      <w:rPr>
        <w:rFonts w:ascii="STSong" w:eastAsia="STSong" w:hAnsi="STSong" w:cs="STSong"/>
        <w:color w:val="FFFFFF"/>
        <w:spacing w:val="-1"/>
        <w:sz w:val="21"/>
        <w:szCs w:val="21"/>
        <w14:textOutline w14:w="3831">
          <w14:solidFill>
            <w14:srgbClr w14:val="FFFFFF"/>
          </w14:solidFill>
          <w14:prstDash w14:val="solid"/>
          <w14:miter w14:lim="10"/>
        </w14:textOutline>
      </w:rPr>
      <w:t>中诚信国际特别评论</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43" w:lineRule="auto"/>
      <w:rPr>
        <w:rFonts w:ascii="Arial"/>
        <w:sz w:val="21"/>
      </w:rPr>
    </w:pPr>
    <w:r>
      <w:pict>
        <v:rect id="_x0000_s2050" style="width:334.35pt;height:15.6pt;margin-top:31.68pt;margin-left:19.68pt;mso-position-horizontal-relative:page;mso-position-vertical-relative:page;position:absolute;z-index:251659264" o:allowincell="f" filled="t" fillcolor="#626262" stroked="f"/>
      </w:pict>
    </w:r>
  </w:p>
  <w:p>
    <w:pPr>
      <w:spacing w:before="76" w:line="158" w:lineRule="auto"/>
      <w:ind w:left="8920"/>
      <w:rPr>
        <w:rFonts w:ascii="STSong" w:eastAsia="STSong" w:hAnsi="STSong" w:cs="STSong"/>
        <w:sz w:val="21"/>
        <w:szCs w:val="21"/>
      </w:rPr>
    </w:pPr>
    <w:r>
      <w:rPr>
        <w:rFonts w:ascii="STSong" w:eastAsia="STSong" w:hAnsi="STSong" w:cs="STSong"/>
        <w:color w:val="FFFFFF"/>
        <w:spacing w:val="-1"/>
        <w:sz w:val="21"/>
        <w:szCs w:val="21"/>
        <w14:textOutline w14:w="3831">
          <w14:solidFill>
            <w14:srgbClr w14:val="FFFFFF"/>
          </w14:solidFill>
          <w14:prstDash w14:val="solid"/>
          <w14:miter w14:lim="10"/>
        </w14:textOutline>
      </w:rPr>
      <w:t>中诚信国际特别评论</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43" w:lineRule="auto"/>
      <w:rPr>
        <w:rFonts w:ascii="Arial"/>
        <w:sz w:val="21"/>
      </w:rPr>
    </w:pPr>
    <w:r>
      <w:pict>
        <v:rect id="_x0000_s2051" style="width:334.35pt;height:15.6pt;margin-top:31.68pt;margin-left:19.68pt;mso-position-horizontal-relative:page;mso-position-vertical-relative:page;position:absolute;z-index:251660288" o:allowincell="f" filled="t" fillcolor="#626262" stroked="f"/>
      </w:pict>
    </w:r>
  </w:p>
  <w:p>
    <w:pPr>
      <w:spacing w:before="76" w:line="158" w:lineRule="auto"/>
      <w:ind w:left="8920"/>
      <w:rPr>
        <w:rFonts w:ascii="STSong" w:eastAsia="STSong" w:hAnsi="STSong" w:cs="STSong"/>
        <w:sz w:val="21"/>
        <w:szCs w:val="21"/>
      </w:rPr>
    </w:pPr>
    <w:r>
      <w:rPr>
        <w:rFonts w:ascii="STSong" w:eastAsia="STSong" w:hAnsi="STSong" w:cs="STSong"/>
        <w:color w:val="FFFFFF"/>
        <w:spacing w:val="-1"/>
        <w:sz w:val="21"/>
        <w:szCs w:val="21"/>
        <w14:textOutline w14:w="3831">
          <w14:solidFill>
            <w14:srgbClr w14:val="FFFFFF"/>
          </w14:solidFill>
          <w14:prstDash w14:val="solid"/>
          <w14:miter w14:lim="10"/>
        </w14:textOutline>
      </w:rPr>
      <w:t>中诚信国际特别评论</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FangSong" w:eastAsia="FangSong" w:hAnsi="FangSong" w:cs="FangSong"/>
      <w:sz w:val="22"/>
      <w:szCs w:val="22"/>
      <w:lang w:val="en-US" w:eastAsia="en-US" w:bidi="ar-SA"/>
    </w:rPr>
  </w:style>
  <w:style w:type="paragraph" w:styleId="BodyText">
    <w:name w:val="Body Text"/>
    <w:basedOn w:val="Normal"/>
    <w:semiHidden/>
    <w:qFormat/>
    <w:rPr>
      <w:rFonts w:ascii="Arial" w:eastAsia="Arial" w:hAnsi="Arial" w:cs="Arial"/>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image" Target="media/image4.png" /><Relationship Id="rId12" Type="http://schemas.openxmlformats.org/officeDocument/2006/relationships/hyperlink" Target="https://d.book118.com/818026067040006026" TargetMode="External" /><Relationship Id="rId13" Type="http://schemas.openxmlformats.org/officeDocument/2006/relationships/header" Target="header4.xm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mailto:ymyang@ccxi.com.cn" TargetMode="Externa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image" Target="media/image3.png"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信用评级业务及国情特点决定监管模式</dc:title>
  <dc:creator>HOU</dc:creator>
  <cp:revision>0</cp:revision>
  <dcterms:created xsi:type="dcterms:W3CDTF">2024-01-15T08:30:56Z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2024-01-15T08:56:03Z</vt:filetime>
  </property>
  <property fmtid="{D5CDD505-2E9C-101B-9397-08002B2CF9AE}" pid="3" name="CRO">
    <vt:lpwstr>wqlLaW5nc29mdCBQREYgdG8gV1BTIDkw</vt:lpwstr>
  </property>
</Properties>
</file>