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rPr>
          <w:rFonts w:ascii="Times New Roman"/>
          <w:sz w:val="1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0pt;height:12pt;margin-top:36.85pt;margin-left:362.83pt;mso-position-horizontal-relative:page;mso-position-vertical-relative:page;position:absolute;z-index:-251658240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</w:p>
    <w:p>
      <w:pPr>
        <w:spacing w:before="61"/>
        <w:ind w:left="2112" w:right="0" w:firstLine="0"/>
        <w:jc w:val="left"/>
        <w:rPr>
          <w:b/>
          <w:sz w:val="28"/>
        </w:rPr>
      </w:pPr>
      <w:r>
        <w:rPr>
          <w:b/>
          <w:sz w:val="28"/>
        </w:rPr>
        <w:t>正文目录</w:t>
      </w:r>
    </w:p>
    <w:sdt>
      <w:sdtPr>
        <w:id w:val="1322551921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0"/>
              <w:numId w:val="7"/>
            </w:numPr>
            <w:tabs>
              <w:tab w:val="left" w:pos="2324"/>
              <w:tab w:val="right" w:leader="dot" w:pos="10206"/>
            </w:tabs>
            <w:spacing w:before="156" w:after="0" w:line="240" w:lineRule="auto"/>
            <w:ind w:left="2323" w:right="0" w:hanging="212"/>
            <w:jc w:val="left"/>
          </w:pPr>
          <w:hyperlink w:anchor="_TOC_250017" w:history="1">
            <w:r>
              <w:t>海外与国内烘焙品类</w:t>
            </w:r>
            <w:r>
              <w:rPr>
                <w:spacing w:val="-3"/>
              </w:rPr>
              <w:t>差</w:t>
            </w:r>
            <w:r>
              <w:t>异与渠道结构对比</w:t>
              <w:tab/>
              <w:t>3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2482"/>
              <w:tab w:val="right" w:leader="dot" w:pos="10206"/>
            </w:tabs>
            <w:spacing w:before="42" w:after="0" w:line="240" w:lineRule="auto"/>
            <w:ind w:left="2482" w:right="0" w:hanging="370"/>
            <w:jc w:val="left"/>
          </w:pPr>
          <w:hyperlink w:anchor="_TOC_250016" w:history="1">
            <w:r>
              <w:t>海外与国内烘焙发</w:t>
            </w:r>
            <w:r>
              <w:rPr>
                <w:spacing w:val="-3"/>
              </w:rPr>
              <w:t>展</w:t>
            </w:r>
            <w:r>
              <w:t>历程回顾</w:t>
              <w:tab/>
              <w:t>3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15" w:history="1">
            <w:r>
              <w:t>面包作为主食在我</w:t>
            </w:r>
            <w:r>
              <w:rPr>
                <w:spacing w:val="-3"/>
              </w:rPr>
              <w:t>国</w:t>
            </w:r>
            <w:r>
              <w:t>发展有限，糕点和</w:t>
            </w:r>
            <w:r>
              <w:rPr>
                <w:spacing w:val="-3"/>
              </w:rPr>
              <w:t>蛋</w:t>
            </w:r>
            <w:r>
              <w:t>糕</w:t>
            </w:r>
            <w:r>
              <w:rPr>
                <w:spacing w:val="-3"/>
              </w:rPr>
              <w:t>还</w:t>
            </w:r>
            <w:r>
              <w:t>有较大提升空间</w:t>
              <w:tab/>
              <w:t>4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14" w:history="1">
            <w:r>
              <w:t>海外各国烘焙产品</w:t>
            </w:r>
            <w:r>
              <w:rPr>
                <w:spacing w:val="-3"/>
              </w:rPr>
              <w:t>零</w:t>
            </w:r>
            <w:r>
              <w:t>售渠道发展各异</w:t>
              <w:tab/>
              <w:t>7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13" w:history="1">
            <w:r>
              <w:t>渠道多元化趋势显</w:t>
            </w:r>
            <w:r>
              <w:rPr>
                <w:spacing w:val="-3"/>
              </w:rPr>
              <w:t>现</w:t>
            </w:r>
            <w:r>
              <w:t>，把握新渠道机遇</w:t>
              <w:tab/>
              <w:t>8</w:t>
            </w:r>
          </w:hyperlink>
        </w:p>
        <w:p>
          <w:pPr>
            <w:pStyle w:val="TOC2"/>
            <w:numPr>
              <w:ilvl w:val="0"/>
              <w:numId w:val="7"/>
            </w:numPr>
            <w:tabs>
              <w:tab w:val="left" w:pos="2271"/>
              <w:tab w:val="right" w:leader="dot" w:pos="10206"/>
            </w:tabs>
            <w:spacing w:before="43" w:after="0" w:line="240" w:lineRule="auto"/>
            <w:ind w:left="2270" w:right="0" w:hanging="159"/>
            <w:jc w:val="left"/>
          </w:pPr>
          <w:hyperlink w:anchor="_TOC_250012" w:history="1">
            <w:r>
              <w:t>周观点</w:t>
              <w:tab/>
              <w:t>11</w:t>
            </w:r>
          </w:hyperlink>
        </w:p>
        <w:p>
          <w:pPr>
            <w:pStyle w:val="TOC2"/>
            <w:tabs>
              <w:tab w:val="right" w:leader="dot" w:pos="10206"/>
            </w:tabs>
          </w:pPr>
          <w:hyperlink w:anchor="_TOC_250011" w:history="1">
            <w:r>
              <w:t>2.1</w:t>
            </w:r>
            <w:r>
              <w:rPr>
                <w:spacing w:val="-54"/>
              </w:rPr>
              <w:t xml:space="preserve"> </w:t>
            </w:r>
            <w:r>
              <w:t>白酒</w:t>
              <w:tab/>
              <w:t>11</w:t>
            </w:r>
          </w:hyperlink>
        </w:p>
        <w:p>
          <w:pPr>
            <w:pStyle w:val="TOC2"/>
            <w:tabs>
              <w:tab w:val="right" w:leader="dot" w:pos="10206"/>
            </w:tabs>
          </w:pPr>
          <w:hyperlink w:anchor="_TOC_250010" w:history="1">
            <w:r>
              <w:t>2.2</w:t>
            </w:r>
            <w:r>
              <w:rPr>
                <w:spacing w:val="-54"/>
              </w:rPr>
              <w:t xml:space="preserve"> </w:t>
            </w:r>
            <w:r>
              <w:t>啤酒</w:t>
              <w:tab/>
              <w:t>12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9" w:history="1">
            <w:r>
              <w:t>软饮料</w:t>
              <w:tab/>
              <w:t>13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8" w:history="1">
            <w:r>
              <w:t>预调酒</w:t>
              <w:tab/>
              <w:t>13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7" w:history="1">
            <w:r>
              <w:t>乳制品</w:t>
              <w:tab/>
              <w:t>14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6" w:history="1">
            <w:r>
              <w:t>休闲食品</w:t>
              <w:tab/>
              <w:t>15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5" w:history="1">
            <w:r>
              <w:t>保健品</w:t>
              <w:tab/>
              <w:t>16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4" w:history="1">
            <w:r>
              <w:t>小餐饮连锁</w:t>
              <w:tab/>
              <w:t>16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2482"/>
              <w:tab w:val="right" w:leader="dot" w:pos="10206"/>
            </w:tabs>
            <w:spacing w:before="43" w:after="0" w:line="240" w:lineRule="auto"/>
            <w:ind w:left="2482" w:right="0" w:hanging="370"/>
            <w:jc w:val="left"/>
          </w:pPr>
          <w:hyperlink w:anchor="_TOC_250003" w:history="1">
            <w:r>
              <w:t>烘焙茶饮链</w:t>
              <w:tab/>
              <w:t>16</w:t>
            </w:r>
          </w:hyperlink>
        </w:p>
        <w:p>
          <w:pPr>
            <w:pStyle w:val="TOC2"/>
            <w:tabs>
              <w:tab w:val="right" w:leader="dot" w:pos="10206"/>
            </w:tabs>
          </w:pPr>
          <w:hyperlink w:anchor="_TOC_250002" w:history="1">
            <w:r>
              <w:t>2.10</w:t>
            </w:r>
            <w:r>
              <w:rPr>
                <w:spacing w:val="-54"/>
              </w:rPr>
              <w:t xml:space="preserve"> </w:t>
            </w:r>
            <w:r>
              <w:t>代糖</w:t>
              <w:tab/>
              <w:t>17</w:t>
            </w:r>
          </w:hyperlink>
        </w:p>
        <w:p>
          <w:pPr>
            <w:pStyle w:val="TOC2"/>
            <w:tabs>
              <w:tab w:val="right" w:leader="dot" w:pos="10206"/>
            </w:tabs>
          </w:pPr>
          <w:hyperlink w:anchor="_TOC_250001" w:history="1">
            <w:r>
              <w:t>2.11</w:t>
            </w:r>
            <w:r>
              <w:rPr>
                <w:spacing w:val="-54"/>
              </w:rPr>
              <w:t xml:space="preserve"> </w:t>
            </w:r>
            <w:r>
              <w:t>餐饮供应链</w:t>
              <w:tab/>
              <w:t>17</w:t>
            </w:r>
          </w:hyperlink>
        </w:p>
        <w:p>
          <w:pPr>
            <w:pStyle w:val="TOC2"/>
            <w:tabs>
              <w:tab w:val="right" w:leader="dot" w:pos="10206"/>
            </w:tabs>
          </w:pPr>
          <w:hyperlink w:anchor="_TOC_250000" w:history="1">
            <w:r>
              <w:t>2.12</w:t>
            </w:r>
            <w:r>
              <w:rPr>
                <w:spacing w:val="-54"/>
              </w:rPr>
              <w:t xml:space="preserve"> </w:t>
            </w:r>
            <w:r>
              <w:t>餐饮</w:t>
              <w:tab/>
              <w:t>18</w:t>
            </w:r>
          </w:hyperlink>
        </w:p>
        <w:p>
          <w:pPr>
            <w:pStyle w:val="TOC2"/>
            <w:numPr>
              <w:ilvl w:val="0"/>
              <w:numId w:val="5"/>
            </w:numPr>
            <w:tabs>
              <w:tab w:val="left" w:pos="2325"/>
              <w:tab w:val="right" w:leader="dot" w:pos="10206"/>
            </w:tabs>
            <w:spacing w:before="43" w:after="0" w:line="240" w:lineRule="auto"/>
            <w:ind w:left="2324" w:right="0" w:hanging="213"/>
            <w:jc w:val="left"/>
          </w:pPr>
          <w:r>
            <w:t>本周重要公司公告</w:t>
            <w:tab/>
            <w:t>19</w:t>
          </w:r>
        </w:p>
        <w:p>
          <w:pPr>
            <w:pStyle w:val="TOC2"/>
            <w:numPr>
              <w:ilvl w:val="0"/>
              <w:numId w:val="5"/>
            </w:numPr>
            <w:tabs>
              <w:tab w:val="left" w:pos="2325"/>
              <w:tab w:val="right" w:leader="dot" w:pos="10206"/>
            </w:tabs>
            <w:spacing w:before="43" w:after="0" w:line="240" w:lineRule="auto"/>
            <w:ind w:left="2324" w:right="0" w:hanging="213"/>
            <w:jc w:val="left"/>
          </w:pPr>
          <w:r>
            <w:t>风险提示</w:t>
            <w:tab/>
            <w:t>19</w:t>
          </w:r>
        </w:p>
        <w:p>
          <w:pPr>
            <w:pStyle w:val="TOC1"/>
          </w:pPr>
          <w:r>
            <w:t>图表目录</w:t>
          </w:r>
        </w:p>
        <w:p>
          <w:pPr>
            <w:pStyle w:val="TOC2"/>
            <w:tabs>
              <w:tab w:val="right" w:leader="dot" w:pos="10206"/>
            </w:tabs>
            <w:spacing w:before="155"/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</w:t>
          </w:r>
          <w:r>
            <w:t>：西方烘焙发展</w:t>
          </w:r>
          <w:r>
            <w:rPr>
              <w:spacing w:val="-3"/>
            </w:rPr>
            <w:t>历</w:t>
          </w:r>
          <w:r>
            <w:t>程</w:t>
            <w:tab/>
          </w:r>
          <w:r>
            <w:rPr>
              <w:rFonts w:ascii="Arial" w:eastAsia="Arial"/>
              <w:b w:val="0"/>
            </w:rPr>
            <w:t>3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2</w:t>
          </w:r>
          <w:r>
            <w:t>：日本烘焙发展</w:t>
          </w:r>
          <w:r>
            <w:rPr>
              <w:spacing w:val="-3"/>
            </w:rPr>
            <w:t>历</w:t>
          </w:r>
          <w:r>
            <w:t>程</w:t>
            <w:tab/>
          </w:r>
          <w:r>
            <w:rPr>
              <w:rFonts w:ascii="Arial" w:eastAsia="Arial"/>
              <w:b w:val="0"/>
            </w:rPr>
            <w:t>4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3</w:t>
          </w:r>
          <w:r>
            <w:t>：中国现代烘焙</w:t>
          </w:r>
          <w:r>
            <w:rPr>
              <w:spacing w:val="-3"/>
            </w:rPr>
            <w:t>发</w:t>
          </w:r>
          <w:r>
            <w:t>展历程</w:t>
            <w:tab/>
          </w:r>
          <w:r>
            <w:rPr>
              <w:rFonts w:ascii="Arial" w:eastAsia="Arial"/>
              <w:b w:val="0"/>
            </w:rPr>
            <w:t>4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4</w:t>
          </w:r>
          <w:r>
            <w:t>：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10"/>
            </w:rPr>
            <w:t xml:space="preserve"> </w:t>
          </w:r>
          <w:r>
            <w:t>年各国烘</w:t>
          </w:r>
          <w:r>
            <w:rPr>
              <w:spacing w:val="-3"/>
            </w:rPr>
            <w:t>焙</w:t>
          </w:r>
          <w:r>
            <w:t>品类消费额占比</w:t>
            <w:tab/>
          </w:r>
          <w:r>
            <w:rPr>
              <w:rFonts w:ascii="Arial" w:eastAsia="Arial"/>
              <w:b w:val="0"/>
            </w:rPr>
            <w:t>5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5</w:t>
          </w:r>
          <w:r>
            <w:t>：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10"/>
            </w:rPr>
            <w:t xml:space="preserve"> </w:t>
          </w:r>
          <w:r>
            <w:t>年各国烘</w:t>
          </w:r>
          <w:r>
            <w:rPr>
              <w:spacing w:val="-3"/>
            </w:rPr>
            <w:t>焙</w:t>
          </w:r>
          <w:r>
            <w:t>食品人均销售额</w:t>
            <w:tab/>
          </w:r>
          <w:r>
            <w:rPr>
              <w:rFonts w:ascii="Arial" w:eastAsia="Arial"/>
              <w:b w:val="0"/>
            </w:rPr>
            <w:t>5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6</w:t>
          </w:r>
          <w:r>
            <w:t>：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10"/>
            </w:rPr>
            <w:t xml:space="preserve"> </w:t>
          </w:r>
          <w:r>
            <w:t>年各国人</w:t>
          </w:r>
          <w:r>
            <w:rPr>
              <w:spacing w:val="-3"/>
            </w:rPr>
            <w:t>均</w:t>
          </w:r>
          <w:r>
            <w:t>烘焙食品消费量</w:t>
            <w:tab/>
          </w:r>
          <w:r>
            <w:rPr>
              <w:rFonts w:ascii="Arial" w:eastAsia="Arial"/>
              <w:b w:val="0"/>
            </w:rPr>
            <w:t>5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7</w:t>
          </w:r>
          <w:r>
            <w:t>：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10"/>
            </w:rPr>
            <w:t xml:space="preserve"> </w:t>
          </w:r>
          <w:r>
            <w:t>年各国人</w:t>
          </w:r>
          <w:r>
            <w:rPr>
              <w:spacing w:val="-3"/>
            </w:rPr>
            <w:t>均</w:t>
          </w:r>
          <w:r>
            <w:t>面包、糕点、蛋糕</w:t>
          </w:r>
          <w:r>
            <w:rPr>
              <w:spacing w:val="-3"/>
            </w:rPr>
            <w:t>消</w:t>
          </w:r>
          <w:r>
            <w:t>费</w:t>
          </w:r>
          <w:r>
            <w:rPr>
              <w:spacing w:val="-3"/>
            </w:rPr>
            <w:t>量</w:t>
          </w:r>
          <w:r>
            <w:t>对比</w:t>
            <w:tab/>
          </w:r>
          <w:r>
            <w:rPr>
              <w:rFonts w:ascii="Arial" w:eastAsia="Arial"/>
              <w:b w:val="0"/>
            </w:rPr>
            <w:t>5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8</w:t>
          </w:r>
          <w:r>
            <w:t>：</w:t>
          </w:r>
          <w:r>
            <w:rPr>
              <w:rFonts w:ascii="Arial" w:eastAsia="Arial"/>
            </w:rPr>
            <w:t>2018-2023</w:t>
          </w:r>
          <w:r>
            <w:rPr>
              <w:rFonts w:ascii="Arial" w:eastAsia="Arial"/>
              <w:spacing w:val="-10"/>
            </w:rPr>
            <w:t xml:space="preserve"> </w:t>
          </w:r>
          <w:r>
            <w:t>年</w:t>
          </w:r>
          <w:r>
            <w:rPr>
              <w:spacing w:val="-3"/>
            </w:rPr>
            <w:t>中</w:t>
          </w:r>
          <w:r>
            <w:t>国蛋糕和糕点市场</w:t>
          </w:r>
          <w:r>
            <w:rPr>
              <w:spacing w:val="-3"/>
            </w:rPr>
            <w:t>规</w:t>
          </w:r>
          <w:r>
            <w:t>模</w:t>
          </w:r>
          <w:r>
            <w:rPr>
              <w:spacing w:val="-3"/>
            </w:rPr>
            <w:t>提</w:t>
          </w:r>
          <w:r>
            <w:t>升</w:t>
            <w:tab/>
          </w:r>
          <w:r>
            <w:rPr>
              <w:rFonts w:ascii="Arial" w:eastAsia="Arial"/>
              <w:b w:val="0"/>
            </w:rPr>
            <w:t>7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9</w:t>
          </w:r>
          <w:r>
            <w:t>：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10"/>
            </w:rPr>
            <w:t xml:space="preserve"> </w:t>
          </w:r>
          <w:r>
            <w:t>海外各国</w:t>
          </w:r>
          <w:r>
            <w:rPr>
              <w:spacing w:val="-3"/>
            </w:rPr>
            <w:t>及</w:t>
          </w:r>
          <w:r>
            <w:t>中国烘焙产品各零</w:t>
          </w:r>
          <w:r>
            <w:rPr>
              <w:spacing w:val="-3"/>
            </w:rPr>
            <w:t>售</w:t>
          </w:r>
          <w:r>
            <w:t>渠</w:t>
          </w:r>
          <w:r>
            <w:rPr>
              <w:spacing w:val="-3"/>
            </w:rPr>
            <w:t>道</w:t>
          </w:r>
          <w:r>
            <w:t>占比</w:t>
            <w:tab/>
          </w:r>
          <w:r>
            <w:rPr>
              <w:rFonts w:ascii="Arial" w:eastAsia="Arial"/>
              <w:b w:val="0"/>
            </w:rPr>
            <w:t>7</w:t>
          </w:r>
        </w:p>
        <w:p>
          <w:pPr>
            <w:pStyle w:val="TOC2"/>
            <w:tabs>
              <w:tab w:val="right" w:leader="dot" w:pos="10206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10</w:t>
          </w:r>
          <w:r>
            <w:t>：中国</w:t>
          </w:r>
          <w:r>
            <w:rPr>
              <w:spacing w:val="-54"/>
            </w:rPr>
            <w:t xml:space="preserve"> </w:t>
          </w:r>
          <w:r>
            <w:t>2018-2022</w:t>
          </w:r>
          <w:r>
            <w:rPr>
              <w:spacing w:val="-54"/>
            </w:rPr>
            <w:t xml:space="preserve"> </w:t>
          </w:r>
          <w:r>
            <w:t>烘焙食品各销售渠</w:t>
          </w:r>
          <w:r>
            <w:rPr>
              <w:spacing w:val="-3"/>
            </w:rPr>
            <w:t>道</w:t>
          </w:r>
          <w:r>
            <w:t>占比</w:t>
            <w:tab/>
          </w:r>
          <w:r>
            <w:rPr>
              <w:rFonts w:ascii="Arial" w:eastAsia="Arial"/>
              <w:b w:val="0"/>
            </w:rPr>
            <w:t>9</w:t>
          </w:r>
        </w:p>
        <w:p>
          <w:pPr>
            <w:pStyle w:val="TOC2"/>
            <w:tabs>
              <w:tab w:val="right" w:leader="dot" w:pos="10209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3"/>
            </w:rPr>
            <w:t xml:space="preserve"> </w:t>
          </w:r>
          <w:r>
            <w:rPr>
              <w:rFonts w:ascii="Arial" w:eastAsia="Arial"/>
              <w:spacing w:val="-5"/>
            </w:rPr>
            <w:t>11</w:t>
          </w:r>
          <w:r>
            <w:rPr>
              <w:spacing w:val="-5"/>
            </w:rPr>
            <w:t>：</w:t>
          </w:r>
          <w:r>
            <w:t>盒马门店数量</w:t>
          </w:r>
          <w:r>
            <w:rPr>
              <w:spacing w:val="-3"/>
            </w:rPr>
            <w:t>超</w:t>
          </w:r>
          <w:r>
            <w:t>过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</w:rPr>
            <w:t>350</w:t>
          </w:r>
          <w:r>
            <w:rPr>
              <w:rFonts w:ascii="Arial" w:eastAsia="Arial"/>
              <w:spacing w:val="-10"/>
            </w:rPr>
            <w:t xml:space="preserve"> </w:t>
          </w:r>
          <w:r>
            <w:t>家，目前已经成</w:t>
          </w:r>
          <w:r>
            <w:rPr>
              <w:spacing w:val="-3"/>
            </w:rPr>
            <w:t>为</w:t>
          </w:r>
          <w:r>
            <w:t>中国最大的烘焙连</w:t>
          </w:r>
          <w:r>
            <w:rPr>
              <w:spacing w:val="-3"/>
            </w:rPr>
            <w:t>锁</w:t>
          </w:r>
          <w:r>
            <w:t>品</w:t>
          </w:r>
          <w:r>
            <w:rPr>
              <w:spacing w:val="-3"/>
            </w:rPr>
            <w:t>牌</w:t>
          </w:r>
          <w:r>
            <w:t>之一</w:t>
            <w:tab/>
          </w:r>
          <w:r>
            <w:rPr>
              <w:rFonts w:ascii="Arial" w:eastAsia="Arial"/>
              <w:b w:val="0"/>
            </w:rPr>
            <w:t>10</w:t>
          </w:r>
        </w:p>
        <w:p>
          <w:pPr>
            <w:pStyle w:val="TOC2"/>
            <w:tabs>
              <w:tab w:val="right" w:leader="dot" w:pos="10209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12</w:t>
          </w:r>
          <w:r>
            <w:t>：心仪产品超出</w:t>
          </w:r>
          <w:r>
            <w:rPr>
              <w:spacing w:val="-3"/>
            </w:rPr>
            <w:t>预</w:t>
          </w:r>
          <w:r>
            <w:t>算时的消费者选择</w:t>
            <w:tab/>
          </w:r>
          <w:r>
            <w:rPr>
              <w:rFonts w:ascii="Arial" w:eastAsia="Arial"/>
              <w:b w:val="0"/>
            </w:rPr>
            <w:t>10</w:t>
          </w:r>
        </w:p>
        <w:p>
          <w:pPr>
            <w:pStyle w:val="TOC2"/>
            <w:tabs>
              <w:tab w:val="right" w:leader="dot" w:pos="10209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13</w:t>
          </w:r>
          <w:r>
            <w:t>：便利店数量及</w:t>
          </w:r>
          <w:r>
            <w:rPr>
              <w:spacing w:val="-3"/>
            </w:rPr>
            <w:t>增</w:t>
          </w:r>
          <w:r>
            <w:t>速</w:t>
            <w:tab/>
          </w:r>
          <w:r>
            <w:rPr>
              <w:rFonts w:ascii="Arial" w:eastAsia="Arial"/>
              <w:b w:val="0"/>
            </w:rPr>
            <w:t>10</w:t>
          </w:r>
        </w:p>
        <w:p>
          <w:pPr>
            <w:pStyle w:val="TOC2"/>
            <w:tabs>
              <w:tab w:val="right" w:leader="dot" w:pos="10209"/>
            </w:tabs>
            <w:rPr>
              <w:rFonts w:ascii="Arial" w:eastAsia="Arial"/>
              <w:b w:val="0"/>
            </w:rPr>
          </w:pPr>
          <w:r>
            <w:t>图表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14</w:t>
          </w:r>
          <w:r>
            <w:t>：重要公司公告</w:t>
            <w:tab/>
          </w:r>
          <w:r>
            <w:rPr>
              <w:rFonts w:ascii="Arial" w:eastAsia="Arial"/>
              <w:b w:val="0"/>
            </w:rPr>
            <w:t>19</w:t>
          </w:r>
        </w:p>
      </w:sdtContent>
    </w:sdt>
    <w:p>
      <w:pPr>
        <w:spacing w:after="0"/>
        <w:rPr>
          <w:rFonts w:ascii="Arial" w:eastAsia="Arial"/>
        </w:rPr>
        <w:sectPr>
          <w:headerReference w:type="default" r:id="rId4"/>
          <w:footerReference w:type="default" r:id="rId5"/>
          <w:type w:val="continuous"/>
          <w:pgSz w:w="11910" w:h="16840"/>
          <w:pgMar w:top="1360" w:right="520" w:bottom="660" w:left="840" w:header="708" w:footer="708"/>
          <w:cols w:space="708"/>
        </w:sectPr>
      </w:pPr>
    </w:p>
    <w:p>
      <w:pPr>
        <w:pStyle w:val="BodyText"/>
        <w:spacing w:before="3"/>
        <w:rPr>
          <w:rFonts w:ascii="Arial"/>
          <w:sz w:val="11"/>
        </w:rPr>
      </w:pPr>
      <w:r>
        <w:pict>
          <v:shape id="_x0000_s1026" type="#_x0000_t202" style="width:60pt;height:12pt;margin-top:36.85pt;margin-left:362.83pt;mso-position-horizontal-relative:page;mso-position-vertical-relative:page;position:absolute;z-index:-251657216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</w:p>
    <w:p>
      <w:pPr>
        <w:pStyle w:val="Heading1"/>
        <w:numPr>
          <w:ilvl w:val="1"/>
          <w:numId w:val="8"/>
        </w:numPr>
        <w:tabs>
          <w:tab w:val="left" w:pos="2766"/>
        </w:tabs>
        <w:spacing w:before="77" w:after="0" w:line="240" w:lineRule="auto"/>
        <w:ind w:left="2765" w:right="0" w:hanging="203"/>
        <w:jc w:val="both"/>
      </w:pPr>
      <w:bookmarkStart w:id="0" w:name="_TOC_250017"/>
      <w:bookmarkEnd w:id="0"/>
      <w:r>
        <w:t>海外与国内烘焙品类差异与渠道结构对比</w:t>
      </w:r>
    </w:p>
    <w:p>
      <w:pPr>
        <w:pStyle w:val="BodyText"/>
        <w:spacing w:before="203" w:line="319" w:lineRule="auto"/>
        <w:ind w:left="2532" w:right="320" w:firstLine="420"/>
        <w:jc w:val="both"/>
      </w:pPr>
      <w:r>
        <w:t>2022</w:t>
      </w:r>
      <w:r>
        <w:rPr>
          <w:spacing w:val="-13"/>
        </w:rPr>
        <w:t xml:space="preserve"> 年，我国烘焙食品消费规模达 </w:t>
      </w:r>
      <w:r>
        <w:t>2381</w:t>
      </w:r>
      <w:r>
        <w:rPr>
          <w:spacing w:val="-9"/>
        </w:rPr>
        <w:t xml:space="preserve"> 亿元，为仅次于美国的第二大烘焙食品消费国家，但是我国 </w:t>
      </w:r>
      <w:r>
        <w:t>2022</w:t>
      </w:r>
      <w:r>
        <w:rPr>
          <w:spacing w:val="-13"/>
        </w:rPr>
        <w:t xml:space="preserve"> 年烘焙食品人均消费量仅为 </w:t>
      </w:r>
      <w:r>
        <w:t>3.48kg</w:t>
      </w:r>
      <w:r>
        <w:rPr>
          <w:spacing w:val="-3"/>
        </w:rPr>
        <w:t>，远低于欧美主要国家</w:t>
      </w:r>
      <w:r>
        <w:rPr>
          <w:spacing w:val="-2"/>
        </w:rPr>
        <w:t>和日本。另外过去我国烘焙门店发展迅速，成为我国烘焙产品的主要销售渠道。但是目前烘焙门店面临成本较高和商超、便利店、茶饮餐饮和线上等新兴渠道的竞争</w:t>
      </w:r>
      <w:r>
        <w:rPr>
          <w:spacing w:val="-4"/>
        </w:rPr>
        <w:t xml:space="preserve">等问题，烘焙门店数量逐渐减少，我国烘焙门店数量由 </w:t>
      </w:r>
      <w:r>
        <w:t>2019</w:t>
      </w:r>
      <w:r>
        <w:rPr>
          <w:spacing w:val="-8"/>
        </w:rPr>
        <w:t xml:space="preserve"> 年的 </w:t>
      </w:r>
      <w:r>
        <w:t>47.9</w:t>
      </w:r>
      <w:r>
        <w:rPr>
          <w:spacing w:val="-5"/>
        </w:rPr>
        <w:t xml:space="preserve"> 万家下降至</w:t>
      </w:r>
    </w:p>
    <w:p>
      <w:pPr>
        <w:pStyle w:val="BodyText"/>
        <w:spacing w:before="3"/>
        <w:ind w:left="2532"/>
        <w:jc w:val="both"/>
      </w:pPr>
      <w:r>
        <w:t>2023 年 10 月的 43.7 万家。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319" w:lineRule="auto"/>
        <w:ind w:left="2532" w:right="322" w:firstLine="420"/>
        <w:jc w:val="both"/>
      </w:pPr>
      <w:r>
        <w:t>我国烘焙食品消费可选属性突出，与海外国家将其作为主食存在本质差异，因此蛋糕和糕点等偏可选品类有望贡献主要增量。而从渠道结构角度来看，传统渠道近年面临流量减少、终端数量下滑等问题，而新兴渠道诸如会员制商超、便利店、折扣店等增长迅猛，有望成为烘焙品类增长的新热土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numPr>
          <w:ilvl w:val="2"/>
          <w:numId w:val="8"/>
        </w:numPr>
        <w:tabs>
          <w:tab w:val="left" w:pos="2915"/>
        </w:tabs>
        <w:spacing w:before="140" w:after="0" w:line="240" w:lineRule="auto"/>
        <w:ind w:left="2914" w:right="0" w:hanging="352"/>
        <w:jc w:val="left"/>
      </w:pPr>
      <w:bookmarkStart w:id="1" w:name="_TOC_250016"/>
      <w:bookmarkEnd w:id="1"/>
      <w:r>
        <w:rPr>
          <w:spacing w:val="-1"/>
        </w:rPr>
        <w:t>海外与国内烘焙发展历程回顾</w:t>
      </w:r>
    </w:p>
    <w:p>
      <w:pPr>
        <w:pStyle w:val="BodyText"/>
        <w:spacing w:before="2"/>
        <w:rPr>
          <w:b/>
          <w:sz w:val="17"/>
        </w:rPr>
      </w:pPr>
    </w:p>
    <w:p>
      <w:pPr>
        <w:spacing w:before="1" w:line="319" w:lineRule="auto"/>
        <w:ind w:left="2532" w:right="320" w:firstLine="423"/>
        <w:jc w:val="both"/>
        <w:rPr>
          <w:sz w:val="21"/>
        </w:rPr>
      </w:pPr>
      <w:r>
        <w:rPr>
          <w:b/>
          <w:sz w:val="21"/>
        </w:rPr>
        <w:t>西方烘焙起源于饱腹需求，面包较早作为主食诞生并发展延续至今。</w:t>
      </w:r>
      <w:r>
        <w:rPr>
          <w:sz w:val="21"/>
        </w:rPr>
        <w:t>长时间以来，由小麦制作的面包一直都是西方最常见的食物</w:t>
      </w:r>
      <w:r>
        <w:rPr>
          <w:b/>
          <w:spacing w:val="4"/>
          <w:sz w:val="21"/>
        </w:rPr>
        <w:t>。</w:t>
      </w:r>
      <w:r>
        <w:rPr>
          <w:sz w:val="21"/>
        </w:rPr>
        <w:t>一万多年前，生活在西亚一代</w:t>
      </w:r>
      <w:r>
        <w:rPr>
          <w:spacing w:val="-4"/>
          <w:sz w:val="21"/>
        </w:rPr>
        <w:t xml:space="preserve">的人们已开始种植小麦和大麦，并制成了最初的面包。公元前 </w:t>
      </w:r>
      <w:r>
        <w:rPr>
          <w:sz w:val="21"/>
        </w:rPr>
        <w:t>3000</w:t>
      </w:r>
      <w:r>
        <w:rPr>
          <w:spacing w:val="-6"/>
          <w:sz w:val="21"/>
        </w:rPr>
        <w:t xml:space="preserve"> 年，埃及人发明</w:t>
      </w:r>
    </w:p>
    <w:p>
      <w:pPr>
        <w:pStyle w:val="BodyText"/>
        <w:spacing w:before="4" w:line="319" w:lineRule="auto"/>
        <w:ind w:left="2532" w:right="111"/>
      </w:pPr>
      <w:r>
        <w:rPr>
          <w:spacing w:val="1"/>
        </w:rPr>
        <w:t xml:space="preserve">了发酵面包。公元前 </w:t>
      </w:r>
      <w:r>
        <w:t>400</w:t>
      </w:r>
      <w:r>
        <w:rPr>
          <w:spacing w:val="-3"/>
        </w:rPr>
        <w:t xml:space="preserve"> 年，希腊开始种植面包用小麦，并在发酵技术基础上，加入奶油、蜂蜜等食材，形成了蛋糕的雏形。罗马时代晚期，小麦面包已经成为了日  常</w:t>
      </w:r>
      <w:r>
        <w:rPr>
          <w:spacing w:val="-2"/>
        </w:rPr>
        <w:t>生活的必需品。到了中世纪的欧洲，烘焙师傅成为了专门的职业。工业革命时期， 有</w:t>
      </w:r>
      <w:r>
        <w:rPr>
          <w:spacing w:val="-3"/>
        </w:rPr>
        <w:t>了烤炉、调粉机、面团分块机后，面包生产实现规模化。</w:t>
      </w:r>
      <w:r>
        <w:t xml:space="preserve">20 世纪的谷物化学技术， 让面包制作方法有了更多的改良，以面包为主食的现代烘焙业，在欧洲大陆开始进  </w:t>
      </w:r>
      <w:r>
        <w:rPr>
          <w:spacing w:val="-1"/>
        </w:rPr>
        <w:t>入繁荣时期。</w:t>
      </w:r>
    </w:p>
    <w:p>
      <w:pPr>
        <w:pStyle w:val="BodyText"/>
        <w:spacing w:before="1"/>
        <w:rPr>
          <w:sz w:val="14"/>
        </w:rPr>
      </w:pPr>
    </w:p>
    <w:p>
      <w:pPr>
        <w:pStyle w:val="Heading2"/>
        <w:ind w:left="120"/>
      </w:pPr>
      <w:r>
        <w:pict>
          <v:group id="_x0000_s1027" style="width:510.35pt;height:123pt;margin-top:16.62pt;margin-left:42.6pt;mso-position-horizontal-relative:page;mso-wrap-distance-left:0;mso-wrap-distance-right:0;position:absolute;z-index:-251656192" coordorigin="852,332" coordsize="10207,2460">
            <v:line id="_x0000_s1028" style="position:absolute" from="852,337" to="11059,337" stroked="t" strokecolor="#013e96" strokeweight="0.48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0058;height:2451;left:959;position:absolute;top:341" stroked="f">
              <v:imagedata r:id="rId6" o:title=""/>
            </v:shape>
            <w10:wrap type="topAndBottom"/>
          </v:group>
        </w:pict>
      </w:r>
      <w:r>
        <w:t xml:space="preserve">图表 </w:t>
      </w:r>
      <w:r>
        <w:rPr>
          <w:rFonts w:ascii="Arial" w:eastAsia="Arial"/>
        </w:rPr>
        <w:t>1</w:t>
      </w:r>
      <w:r>
        <w:t>：西方烘焙发展历程</w:t>
      </w:r>
    </w:p>
    <w:p>
      <w:pPr>
        <w:pStyle w:val="BodyText"/>
        <w:spacing w:before="7"/>
        <w:rPr>
          <w:b/>
          <w:sz w:val="3"/>
        </w:rPr>
      </w:pPr>
    </w:p>
    <w:p>
      <w:pPr>
        <w:pStyle w:val="BodyText"/>
        <w:spacing w:line="20" w:lineRule="exact"/>
        <w:ind w:left="7"/>
        <w:rPr>
          <w:sz w:val="2"/>
        </w:rPr>
      </w:pPr>
      <w:r>
        <w:rPr>
          <w:sz w:val="2"/>
        </w:rPr>
        <w:pict>
          <v:group id="_x0000_i1030" style="width:510.35pt;height:0.5pt;mso-position-horizontal-relative:char;mso-position-vertical-relative:line" coordorigin="0,0" coordsize="10207,10">
            <v:line id="_x0000_s1031" style="position:absolute" from="0,5" to="10207,5" stroked="t" strokecolor="#013e96" strokeweight="0.48pt">
              <v:stroke dashstyle="solid"/>
            </v:line>
            <w10:wrap type="none"/>
          </v:group>
        </w:pict>
      </w:r>
    </w:p>
    <w:p>
      <w:pPr>
        <w:spacing w:before="0" w:line="184" w:lineRule="exact"/>
        <w:ind w:left="120" w:right="0" w:firstLine="0"/>
        <w:jc w:val="left"/>
        <w:rPr>
          <w:sz w:val="15"/>
        </w:rPr>
      </w:pPr>
      <w:r>
        <w:t xml:space="preserve">数据来源：营养健康知识服务平台，町芒研究院，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72" w:line="319" w:lineRule="auto"/>
        <w:ind w:left="2532" w:right="320" w:firstLine="423"/>
        <w:jc w:val="both"/>
        <w:sectPr>
          <w:headerReference w:type="default" r:id="rId7"/>
          <w:footerReference w:type="default" r:id="rId8"/>
          <w:pgSz w:w="11910" w:h="16840"/>
          <w:pgMar w:top="1360" w:right="520" w:bottom="660" w:left="840" w:header="708" w:footer="708"/>
          <w:pgNumType w:start="2"/>
          <w:cols w:space="708"/>
        </w:sectPr>
      </w:pPr>
      <w:r>
        <w:rPr>
          <w:b/>
          <w:spacing w:val="-3"/>
        </w:rPr>
        <w:t>二战后日本国民饮食结构改变，面包逐步成为日本第二大主食。</w:t>
      </w:r>
      <w:r>
        <w:t>1549</w:t>
      </w:r>
      <w:r>
        <w:rPr>
          <w:spacing w:val="-1"/>
        </w:rPr>
        <w:t xml:space="preserve"> 年，发酵面包由西班牙传教士传入日本。明治维新时代，日本政府开始全面西化，面包因为保质期较长，首先在军队中使用。二战后，日本粮食短缺问题严重，美国向日本大</w:t>
      </w:r>
      <w:r>
        <w:rPr>
          <w:spacing w:val="-3"/>
        </w:rPr>
        <w:t xml:space="preserve">量出口小麦。日本政府将物资做成面包作为校餐优先供应给学校，此后，学校给食= </w:t>
      </w:r>
    </w:p>
    <w:p>
      <w:pPr>
        <w:pStyle w:val="BodyText"/>
        <w:spacing w:before="72" w:line="319" w:lineRule="auto"/>
        <w:ind w:left="2532" w:right="320" w:firstLine="423"/>
        <w:jc w:val="both"/>
      </w:pPr>
      <w:r>
        <w:rPr>
          <w:spacing w:val="-6"/>
        </w:rPr>
        <w:t xml:space="preserve">面包的时代持续了 </w:t>
      </w:r>
      <w:r>
        <w:t>20</w:t>
      </w:r>
      <w:r>
        <w:rPr>
          <w:spacing w:val="-7"/>
        </w:rPr>
        <w:t xml:space="preserve"> 余年，较大的改变了日本新一代的饮食习惯，面包逐步在日本</w:t>
      </w:r>
    </w:p>
    <w:p>
      <w:pPr>
        <w:spacing w:after="0" w:line="319" w:lineRule="auto"/>
        <w:jc w:val="both"/>
        <w:sectPr>
          <w:headerReference w:type="default" r:id="rId9"/>
          <w:footerReference w:type="default" r:id="rId10"/>
          <w:type w:val="nextPage"/>
          <w:pgSz w:w="11910" w:h="16840"/>
          <w:pgMar w:top="1360" w:right="520" w:bottom="660" w:left="840" w:header="708" w:footer="708"/>
          <w:pgNumType w:start="3"/>
          <w:cols w:space="708"/>
          <w:titlePg w:val="0"/>
        </w:sectPr>
      </w:pPr>
    </w:p>
    <w:p>
      <w:pPr>
        <w:pStyle w:val="BodyText"/>
        <w:spacing w:before="92" w:line="319" w:lineRule="auto"/>
        <w:ind w:left="2532" w:right="323"/>
        <w:jc w:val="both"/>
      </w:pPr>
      <w:r>
        <w:pict>
          <v:shape id="_x0000_s1032" type="#_x0000_t202" style="width:60pt;height:12pt;margin-top:36.85pt;margin-left:362.83pt;mso-position-horizontal-relative:page;mso-position-vertical-relative:page;position:absolute;z-index:-251655168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6555993</wp:posOffset>
            </wp:positionH>
            <wp:positionV relativeFrom="paragraph">
              <wp:posOffset>323850</wp:posOffset>
            </wp:positionV>
            <wp:extent cx="63500" cy="9525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5411089</wp:posOffset>
            </wp:positionH>
            <wp:positionV relativeFrom="paragraph">
              <wp:posOffset>779526</wp:posOffset>
            </wp:positionV>
            <wp:extent cx="63500" cy="952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社会普及与繁荣，此时的面包属性主要为主食代餐属性。70-80</w:t>
      </w:r>
      <w:r>
        <w:rPr>
          <w:spacing w:val="8"/>
        </w:rPr>
        <w:t xml:space="preserve"> 年代，随着日本经</w:t>
      </w:r>
      <w:r>
        <w:rPr>
          <w:spacing w:val="-2"/>
        </w:rPr>
        <w:t xml:space="preserve">济进入高速增长期，日本面包的消费量也开始高速发展，连续二十年保持 </w:t>
      </w:r>
      <w:r>
        <w:t>5</w:t>
      </w:r>
      <w:r>
        <w:rPr>
          <w:spacing w:val="-39"/>
        </w:rPr>
        <w:t>以上增</w:t>
      </w:r>
      <w:r>
        <w:t>长率。90</w:t>
      </w:r>
      <w:r>
        <w:rPr>
          <w:spacing w:val="-4"/>
        </w:rPr>
        <w:t xml:space="preserve"> 年代后，随着消费者需求多元化，面包消费逐步转向休闲属性，主食面包</w:t>
      </w:r>
      <w:r>
        <w:rPr>
          <w:spacing w:val="-2"/>
        </w:rPr>
        <w:t>的增长趋于平缓</w:t>
      </w:r>
      <w:r>
        <w:t>，2022</w:t>
      </w:r>
      <w:r>
        <w:rPr>
          <w:spacing w:val="-12"/>
        </w:rPr>
        <w:t xml:space="preserve"> 年日本主食的比例中面包占比 </w:t>
      </w:r>
      <w:r>
        <w:t>19</w:t>
      </w:r>
      <w:r>
        <w:rPr>
          <w:spacing w:val="-3"/>
        </w:rPr>
        <w:t>，为第二大主食。</w:t>
      </w:r>
    </w:p>
    <w:p>
      <w:pPr>
        <w:pStyle w:val="BodyText"/>
        <w:rPr>
          <w:sz w:val="14"/>
        </w:rPr>
      </w:pPr>
    </w:p>
    <w:p>
      <w:pPr>
        <w:pStyle w:val="Heading2"/>
        <w:spacing w:before="1"/>
        <w:ind w:left="120"/>
      </w:pPr>
      <w:r>
        <w:pict>
          <v:group id="_x0000_s1033" style="width:510.35pt;height:115.35pt;margin-top:16.67pt;margin-left:42.6pt;mso-position-horizontal-relative:page;mso-wrap-distance-left:0;mso-wrap-distance-right:0;position:absolute;z-index:-251650048" coordorigin="852,333" coordsize="10207,2307">
            <v:line id="_x0000_s1034" style="position:absolute" from="852,338" to="11059,338" stroked="t" strokecolor="#013e96" strokeweight="0.48pt">
              <v:stroke dashstyle="solid"/>
            </v:line>
            <v:shape id="_x0000_s1035" type="#_x0000_t75" style="width:10043;height:2296;left:959;position:absolute;top:343" stroked="f">
              <v:imagedata r:id="rId12" o:title=""/>
            </v:shape>
            <w10:wrap type="topAndBottom"/>
          </v:group>
        </w:pict>
      </w:r>
      <w:r>
        <w:t xml:space="preserve">图表 </w:t>
      </w:r>
      <w:r>
        <w:rPr>
          <w:rFonts w:ascii="Arial" w:eastAsia="Arial"/>
        </w:rPr>
        <w:t>2</w:t>
      </w:r>
      <w:r>
        <w:t>：日本烘焙发展历程</w:t>
      </w:r>
    </w:p>
    <w:p>
      <w:pPr>
        <w:pStyle w:val="BodyText"/>
        <w:spacing w:before="10"/>
        <w:rPr>
          <w:b/>
          <w:sz w:val="5"/>
        </w:rPr>
      </w:pPr>
    </w:p>
    <w:p>
      <w:pPr>
        <w:pStyle w:val="BodyText"/>
        <w:spacing w:line="20" w:lineRule="exact"/>
        <w:ind w:left="7"/>
        <w:rPr>
          <w:sz w:val="2"/>
        </w:rPr>
      </w:pPr>
      <w:r>
        <w:rPr>
          <w:sz w:val="2"/>
        </w:rPr>
        <w:pict>
          <v:group id="_x0000_i1036" style="width:510.35pt;height:0.5pt;mso-position-horizontal-relative:char;mso-position-vertical-relative:line" coordorigin="0,0" coordsize="10207,10">
            <v:line id="_x0000_s1037" style="position:absolute" from="0,5" to="10207,5" stroked="t" strokecolor="#013e96" strokeweight="0.48pt">
              <v:stroke dashstyle="solid"/>
            </v:line>
            <w10:wrap type="none"/>
          </v:group>
        </w:pict>
      </w:r>
    </w:p>
    <w:p>
      <w:pPr>
        <w:spacing w:before="0" w:line="186" w:lineRule="exact"/>
        <w:ind w:left="120" w:right="0" w:firstLine="0"/>
        <w:jc w:val="left"/>
        <w:rPr>
          <w:sz w:val="15"/>
        </w:rPr>
      </w:pPr>
      <w:r>
        <w:t xml:space="preserve">数据来源：CIB 烘焙技术研究所，ACBA 新世界， 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71" w:line="319" w:lineRule="auto"/>
        <w:ind w:left="2532" w:right="320" w:firstLine="423"/>
        <w:jc w:val="both"/>
      </w:pPr>
      <w:r>
        <w:rPr>
          <w:b/>
          <w:spacing w:val="-1"/>
        </w:rPr>
        <w:t>我国现代烘焙起步较晚，但是发展迅速。</w:t>
      </w:r>
      <w:r>
        <w:t>17</w:t>
      </w:r>
      <w:r>
        <w:rPr>
          <w:spacing w:val="-3"/>
        </w:rPr>
        <w:t xml:space="preserve"> 世纪中叶，西式烘焙由德国人第一次传入中国南方沿海。</w:t>
      </w:r>
      <w:r>
        <w:t>20</w:t>
      </w:r>
      <w:r>
        <w:rPr>
          <w:spacing w:val="-28"/>
        </w:rPr>
        <w:t xml:space="preserve"> 世纪 </w:t>
      </w:r>
      <w:r>
        <w:t>80</w:t>
      </w:r>
      <w:r>
        <w:rPr>
          <w:spacing w:val="-9"/>
        </w:rPr>
        <w:t xml:space="preserve"> 年代，通过港台地区，西式烘焙传入国内城市，在</w:t>
      </w:r>
      <w:r>
        <w:rPr>
          <w:spacing w:val="-6"/>
        </w:rPr>
        <w:t>星级酒店开始兴起。</w:t>
      </w:r>
      <w:r>
        <w:t>90</w:t>
      </w:r>
      <w:r>
        <w:rPr>
          <w:spacing w:val="-3"/>
        </w:rPr>
        <w:t xml:space="preserve"> 年代期间，比利时的曼可顿、韩国的好丽友等国外烘焙品牌进驻，徐福记、桃李、盼盼等国内烘焙糕点企业相继成立，共同推动了国内现代烘焙的发展。2000 年起，我国烘焙行业步入快速成长期，烘焙企业成为中国食品行业的重要组成部分，消费呈指数级增长。</w:t>
      </w:r>
      <w:r>
        <w:t>2003</w:t>
      </w:r>
      <w:r>
        <w:rPr>
          <w:spacing w:val="-2"/>
        </w:rPr>
        <w:t xml:space="preserve"> 年，面包新语、巴黎贝甜等连锁外资品</w:t>
      </w:r>
      <w:r>
        <w:rPr>
          <w:spacing w:val="-3"/>
        </w:rPr>
        <w:t>牌陆续开设门店。</w:t>
      </w:r>
      <w:r>
        <w:t>2010</w:t>
      </w:r>
      <w:r>
        <w:rPr>
          <w:spacing w:val="-3"/>
        </w:rPr>
        <w:t xml:space="preserve"> 年至今，在互联网的推动下，涌现出众多网红烘焙品牌，线上线下融合发展，国内烘焙行业获得了加速发展。</w:t>
      </w:r>
    </w:p>
    <w:p>
      <w:pPr>
        <w:pStyle w:val="BodyText"/>
        <w:spacing w:before="4"/>
        <w:rPr>
          <w:sz w:val="14"/>
        </w:rPr>
      </w:pPr>
    </w:p>
    <w:p>
      <w:pPr>
        <w:pStyle w:val="Heading2"/>
        <w:ind w:left="120"/>
      </w:pPr>
      <w:r>
        <w:pict>
          <v:group id="_x0000_s1038" style="width:510.35pt;height:130.7pt;margin-top:16.62pt;margin-left:42.6pt;mso-position-horizontal-relative:page;mso-wrap-distance-left:0;mso-wrap-distance-right:0;position:absolute;z-index:-251649024" coordorigin="852,332" coordsize="10207,2614">
            <v:line id="_x0000_s1039" style="position:absolute" from="852,337" to="11059,337" stroked="t" strokecolor="#013e96" strokeweight="0.48pt">
              <v:stroke dashstyle="solid"/>
            </v:line>
            <v:line id="_x0000_s1040" style="position:absolute" from="852,2941" to="11059,2941" stroked="t" strokecolor="#013e96" strokeweight="0.48pt">
              <v:stroke dashstyle="solid"/>
            </v:line>
            <v:shape id="_x0000_s1041" type="#_x0000_t75" style="width:9990;height:2592;left:959;position:absolute;top:343" stroked="f">
              <v:imagedata r:id="rId13" o:title=""/>
            </v:shape>
            <w10:wrap type="topAndBottom"/>
          </v:group>
        </w:pict>
      </w:r>
      <w:r>
        <w:t xml:space="preserve">图表 </w:t>
      </w:r>
      <w:r>
        <w:rPr>
          <w:rFonts w:ascii="Arial" w:eastAsia="Arial"/>
        </w:rPr>
        <w:t>3</w:t>
      </w:r>
      <w:r>
        <w:t>：中国现代烘焙发展历程</w:t>
      </w:r>
    </w:p>
    <w:p>
      <w:pPr>
        <w:spacing w:before="0" w:line="167" w:lineRule="exact"/>
        <w:ind w:left="120" w:right="0" w:firstLine="0"/>
        <w:jc w:val="left"/>
        <w:rPr>
          <w:sz w:val="15"/>
        </w:rPr>
      </w:pPr>
      <w:r>
        <w:t xml:space="preserve">数据来源：町芒研究院，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numPr>
          <w:ilvl w:val="2"/>
          <w:numId w:val="9"/>
        </w:numPr>
        <w:tabs>
          <w:tab w:val="left" w:pos="2915"/>
        </w:tabs>
        <w:spacing w:before="81" w:after="0" w:line="240" w:lineRule="auto"/>
        <w:ind w:left="2914" w:right="0" w:hanging="352"/>
        <w:jc w:val="left"/>
      </w:pPr>
      <w:bookmarkStart w:id="2" w:name="_TOC_250015"/>
      <w:bookmarkEnd w:id="2"/>
      <w:r>
        <w:rPr>
          <w:spacing w:val="-3"/>
        </w:rPr>
        <w:t>面包作为主食在我国发展有限，糕点和蛋糕还有较大提升空间</w:t>
      </w:r>
    </w:p>
    <w:p>
      <w:pPr>
        <w:pStyle w:val="BodyText"/>
        <w:spacing w:before="2"/>
        <w:rPr>
          <w:b/>
          <w:sz w:val="17"/>
        </w:rPr>
      </w:pPr>
    </w:p>
    <w:p>
      <w:pPr>
        <w:spacing w:before="1"/>
        <w:ind w:left="2955" w:right="0" w:firstLine="0"/>
        <w:jc w:val="both"/>
        <w:rPr>
          <w:sz w:val="21"/>
        </w:rPr>
      </w:pPr>
      <w:r>
        <w:rPr>
          <w:b/>
          <w:spacing w:val="9"/>
          <w:sz w:val="21"/>
        </w:rPr>
        <w:t>烘焙食品中面包、糕点、蛋糕占据绝大部分。</w:t>
      </w:r>
      <w:r>
        <w:rPr>
          <w:spacing w:val="16"/>
          <w:sz w:val="21"/>
        </w:rPr>
        <w:t xml:space="preserve">根据 </w:t>
      </w:r>
      <w:r>
        <w:rPr>
          <w:sz w:val="21"/>
        </w:rPr>
        <w:t>Euromonitor</w:t>
      </w:r>
      <w:r>
        <w:rPr>
          <w:spacing w:val="4"/>
          <w:sz w:val="21"/>
        </w:rPr>
        <w:t>，烘焙食品</w:t>
      </w:r>
    </w:p>
    <w:p>
      <w:pPr>
        <w:pStyle w:val="BodyText"/>
        <w:spacing w:before="88" w:line="321" w:lineRule="auto"/>
        <w:ind w:left="2532" w:right="318"/>
        <w:jc w:val="both"/>
      </w:pPr>
      <w:r>
        <w:rPr>
          <w:spacing w:val="2"/>
          <w:w w:val="100"/>
        </w:rPr>
        <w:t>（</w:t>
      </w:r>
      <w:r>
        <w:rPr>
          <w:w w:val="100"/>
        </w:rPr>
        <w:t>Bas</w:t>
      </w:r>
      <w:r>
        <w:rPr>
          <w:spacing w:val="-3"/>
          <w:w w:val="100"/>
        </w:rPr>
        <w:t>e</w:t>
      </w:r>
      <w:r>
        <w:rPr>
          <w:w w:val="100"/>
        </w:rPr>
        <w:t>d</w:t>
      </w:r>
      <w:r>
        <w:rPr>
          <w:spacing w:val="-26"/>
        </w:rPr>
        <w:t xml:space="preserve">  </w:t>
      </w:r>
      <w:r>
        <w:rPr>
          <w:w w:val="100"/>
        </w:rPr>
        <w:t>G</w:t>
      </w:r>
      <w:r>
        <w:rPr>
          <w:spacing w:val="-3"/>
          <w:w w:val="100"/>
        </w:rPr>
        <w:t>o</w:t>
      </w:r>
      <w:r>
        <w:rPr>
          <w:w w:val="100"/>
        </w:rPr>
        <w:t>od</w:t>
      </w:r>
      <w:r>
        <w:rPr>
          <w:spacing w:val="2"/>
          <w:w w:val="100"/>
        </w:rPr>
        <w:t>s</w:t>
      </w:r>
      <w:r>
        <w:rPr>
          <w:w w:val="100"/>
        </w:rPr>
        <w:t>）</w:t>
      </w:r>
      <w:r>
        <w:rPr>
          <w:spacing w:val="1"/>
          <w:w w:val="100"/>
        </w:rPr>
        <w:t>主要分为面包（</w:t>
      </w:r>
      <w:r>
        <w:rPr>
          <w:w w:val="100"/>
        </w:rPr>
        <w:t>Bread</w:t>
      </w:r>
      <w:r>
        <w:rPr>
          <w:spacing w:val="-104"/>
          <w:w w:val="100"/>
        </w:rPr>
        <w:t>）</w:t>
      </w:r>
      <w:r>
        <w:rPr>
          <w:spacing w:val="1"/>
          <w:w w:val="100"/>
        </w:rPr>
        <w:t>、糕点</w:t>
      </w:r>
      <w:r>
        <w:rPr>
          <w:spacing w:val="2"/>
          <w:w w:val="100"/>
        </w:rPr>
        <w:t>（</w:t>
      </w:r>
      <w:r>
        <w:rPr>
          <w:spacing w:val="-3"/>
          <w:w w:val="100"/>
        </w:rPr>
        <w:t>P</w:t>
      </w:r>
      <w:r>
        <w:rPr>
          <w:w w:val="100"/>
        </w:rPr>
        <w:t>astri</w:t>
      </w:r>
      <w:r>
        <w:rPr>
          <w:spacing w:val="-3"/>
          <w:w w:val="100"/>
        </w:rPr>
        <w:t>e</w:t>
      </w:r>
      <w:r>
        <w:rPr>
          <w:spacing w:val="2"/>
          <w:w w:val="100"/>
        </w:rPr>
        <w:t>s</w:t>
      </w:r>
      <w:r>
        <w:rPr>
          <w:spacing w:val="-104"/>
          <w:w w:val="100"/>
        </w:rPr>
        <w:t>）</w:t>
      </w:r>
      <w:r>
        <w:rPr>
          <w:spacing w:val="1"/>
          <w:w w:val="100"/>
        </w:rPr>
        <w:t>、蛋糕</w:t>
      </w:r>
      <w:r>
        <w:rPr>
          <w:spacing w:val="2"/>
          <w:w w:val="100"/>
        </w:rPr>
        <w:t>（</w:t>
      </w:r>
      <w:r>
        <w:rPr>
          <w:spacing w:val="-3"/>
          <w:w w:val="100"/>
        </w:rPr>
        <w:t>C</w:t>
      </w:r>
      <w:r>
        <w:rPr>
          <w:w w:val="100"/>
        </w:rPr>
        <w:t>ake</w:t>
      </w:r>
      <w:r>
        <w:rPr>
          <w:spacing w:val="2"/>
          <w:w w:val="100"/>
        </w:rPr>
        <w:t>s</w:t>
      </w:r>
      <w:r>
        <w:rPr>
          <w:spacing w:val="-106"/>
          <w:w w:val="100"/>
        </w:rPr>
        <w:t>）</w:t>
      </w:r>
      <w:r>
        <w:rPr>
          <w:spacing w:val="2"/>
          <w:w w:val="100"/>
        </w:rPr>
        <w:t>、冷冻烘焙食品</w:t>
      </w:r>
      <w:r>
        <w:rPr>
          <w:spacing w:val="3"/>
          <w:w w:val="100"/>
        </w:rPr>
        <w:t>（</w:t>
      </w:r>
      <w:r>
        <w:rPr>
          <w:w w:val="100"/>
        </w:rPr>
        <w:t>Fr</w:t>
      </w:r>
      <w:r>
        <w:rPr>
          <w:spacing w:val="-3"/>
          <w:w w:val="100"/>
        </w:rPr>
        <w:t>o</w:t>
      </w:r>
      <w:r>
        <w:rPr>
          <w:w w:val="100"/>
        </w:rPr>
        <w:t>zen</w:t>
      </w:r>
      <w:r>
        <w:rPr>
          <w:spacing w:val="50"/>
        </w:rPr>
        <w:t xml:space="preserve"> </w:t>
      </w:r>
      <w:r>
        <w:rPr>
          <w:w w:val="100"/>
        </w:rPr>
        <w:t>Ba</w:t>
      </w:r>
      <w:r>
        <w:rPr>
          <w:spacing w:val="-3"/>
          <w:w w:val="100"/>
        </w:rPr>
        <w:t>k</w:t>
      </w:r>
      <w:r>
        <w:rPr>
          <w:w w:val="100"/>
        </w:rPr>
        <w:t>ed</w:t>
      </w:r>
      <w:r>
        <w:rPr>
          <w:spacing w:val="50"/>
        </w:rPr>
        <w:t xml:space="preserve"> </w:t>
      </w:r>
      <w:r>
        <w:rPr>
          <w:w w:val="100"/>
        </w:rPr>
        <w:t>Goods</w:t>
      </w:r>
      <w:r>
        <w:rPr>
          <w:spacing w:val="-101"/>
          <w:w w:val="100"/>
        </w:rPr>
        <w:t>）</w:t>
      </w:r>
      <w:r>
        <w:rPr>
          <w:spacing w:val="1"/>
          <w:w w:val="100"/>
        </w:rPr>
        <w:t>、混合甜点</w:t>
      </w:r>
      <w:r>
        <w:rPr>
          <w:spacing w:val="3"/>
          <w:w w:val="100"/>
        </w:rPr>
        <w:t>（</w:t>
      </w:r>
      <w:r>
        <w:rPr>
          <w:w w:val="100"/>
        </w:rPr>
        <w:t>D</w:t>
      </w:r>
      <w:r>
        <w:rPr>
          <w:spacing w:val="-3"/>
          <w:w w:val="100"/>
        </w:rPr>
        <w:t>es</w:t>
      </w:r>
      <w:r>
        <w:rPr>
          <w:w w:val="100"/>
        </w:rPr>
        <w:t>sert</w:t>
      </w:r>
      <w:r>
        <w:rPr>
          <w:spacing w:val="50"/>
        </w:rPr>
        <w:t xml:space="preserve"> </w:t>
      </w:r>
      <w:r>
        <w:rPr>
          <w:w w:val="100"/>
        </w:rPr>
        <w:t>Mixes</w:t>
      </w:r>
      <w:r>
        <w:rPr>
          <w:spacing w:val="-101"/>
          <w:w w:val="100"/>
        </w:rPr>
        <w:t>）</w:t>
      </w:r>
      <w:r>
        <w:rPr>
          <w:w w:val="100"/>
        </w:rPr>
        <w:t>、甜点类派和馅饼</w:t>
      </w:r>
    </w:p>
    <w:p>
      <w:pPr>
        <w:pStyle w:val="BodyText"/>
        <w:spacing w:line="319" w:lineRule="auto"/>
        <w:ind w:left="2532" w:right="320"/>
        <w:jc w:val="both"/>
        <w:sectPr>
          <w:headerReference w:type="default" r:id="rId14"/>
          <w:footerReference w:type="default" r:id="rId15"/>
          <w:pgSz w:w="11910" w:h="16840"/>
          <w:pgMar w:top="1360" w:right="520" w:bottom="660" w:left="840" w:header="708" w:footer="708"/>
          <w:pgNumType w:start="4"/>
          <w:cols w:space="708"/>
        </w:sect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4649137</wp:posOffset>
            </wp:positionH>
            <wp:positionV relativeFrom="paragraph">
              <wp:posOffset>266700</wp:posOffset>
            </wp:positionV>
            <wp:extent cx="63500" cy="95249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5258737</wp:posOffset>
            </wp:positionH>
            <wp:positionV relativeFrom="paragraph">
              <wp:posOffset>493776</wp:posOffset>
            </wp:positionV>
            <wp:extent cx="63500" cy="9525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（Dessert</w:t>
      </w:r>
      <w:r>
        <w:rPr>
          <w:spacing w:val="49"/>
        </w:rPr>
        <w:t xml:space="preserve"> </w:t>
      </w:r>
      <w:r>
        <w:t>Pies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Tarts）</w:t>
      </w:r>
      <w:r>
        <w:rPr>
          <w:spacing w:val="-3"/>
        </w:rPr>
        <w:t>等六大类。按照消费额计算，面包、糕点、蛋糕的消</w:t>
      </w:r>
      <w:r>
        <w:rPr>
          <w:spacing w:val="2"/>
        </w:rPr>
        <w:t xml:space="preserve">费在欧美主要国家、中国、日本等占据 </w:t>
      </w:r>
      <w:r>
        <w:t>90</w:t>
      </w:r>
      <w:r>
        <w:rPr>
          <w:spacing w:val="-7"/>
        </w:rPr>
        <w:t>以上的比例，以面包为主食的欧州如法</w:t>
      </w:r>
    </w:p>
    <w:p>
      <w:pPr>
        <w:pStyle w:val="BodyText"/>
        <w:spacing w:line="319" w:lineRule="auto"/>
        <w:ind w:left="2532" w:right="320"/>
        <w:jc w:val="both"/>
      </w:pPr>
      <w:r>
        <w:t>国</w:t>
      </w:r>
      <w:r>
        <w:rPr>
          <w:spacing w:val="3"/>
        </w:rPr>
        <w:t>、</w:t>
      </w:r>
      <w:r>
        <w:t>德</w:t>
      </w:r>
      <w:r>
        <w:rPr>
          <w:spacing w:val="4"/>
        </w:rPr>
        <w:t>国</w:t>
      </w:r>
      <w:r>
        <w:t>、英国中面包占比最高</w:t>
      </w:r>
      <w:r>
        <w:rPr>
          <w:spacing w:val="5"/>
        </w:rPr>
        <w:t>，</w:t>
      </w:r>
      <w:r>
        <w:t>分别占比</w:t>
      </w:r>
      <w:r>
        <w:rPr>
          <w:spacing w:val="50"/>
        </w:rPr>
        <w:t xml:space="preserve"> </w:t>
      </w:r>
      <w:r>
        <w:t>82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>、</w:t>
      </w:r>
      <w:r>
        <w:t>63</w:t>
      </w:r>
      <w:r>
        <w:rPr>
          <w:spacing w:val="2"/>
        </w:rPr>
        <w:t>、</w:t>
      </w:r>
      <w:r>
        <w:t>48</w:t>
      </w:r>
      <w:r>
        <w:rPr>
          <w:spacing w:val="-99"/>
        </w:rPr>
        <w:t xml:space="preserve"> 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，中</w:t>
      </w:r>
      <w:r>
        <w:rPr>
          <w:spacing w:val="4"/>
        </w:rPr>
        <w:t>国</w:t>
      </w:r>
      <w:r>
        <w:t>和日本烘焙</w:t>
      </w:r>
      <w:r>
        <w:rPr>
          <w:spacing w:val="4"/>
        </w:rPr>
        <w:t>食</w:t>
      </w:r>
      <w:r>
        <w:rPr>
          <w:spacing w:val="-88"/>
        </w:rPr>
        <w:t>品</w:t>
      </w:r>
    </w:p>
    <w:p>
      <w:pPr>
        <w:spacing w:after="0" w:line="319" w:lineRule="auto"/>
        <w:jc w:val="both"/>
        <w:sectPr>
          <w:headerReference w:type="default" r:id="rId16"/>
          <w:footerReference w:type="default" r:id="rId17"/>
          <w:type w:val="nextPage"/>
          <w:pgSz w:w="11910" w:h="16840"/>
          <w:pgMar w:top="1360" w:right="520" w:bottom="660" w:left="840" w:header="708" w:footer="708"/>
          <w:pgNumType w:start="5"/>
          <w:cols w:space="708"/>
          <w:titlePg w:val="0"/>
        </w:sectPr>
      </w:pPr>
    </w:p>
    <w:p>
      <w:pPr>
        <w:spacing w:before="92" w:line="475" w:lineRule="auto"/>
        <w:ind w:left="2666" w:right="3177" w:hanging="135"/>
        <w:jc w:val="left"/>
        <w:rPr>
          <w:b/>
          <w:sz w:val="21"/>
        </w:rPr>
      </w:pPr>
      <w:r>
        <w:pict>
          <v:line id="_x0000_s1042" style="mso-position-horizontal-relative:page;position:absolute;z-index:-251648000" from="169.95pt,48.25pt" to="552.45pt,48.25pt" stroked="t" strokecolor="#013e96" strokeweight="0.48pt">
            <v:stroke dashstyle="solid"/>
          </v:line>
        </w:pict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2550177</wp:posOffset>
            </wp:positionH>
            <wp:positionV relativeFrom="paragraph">
              <wp:posOffset>728091</wp:posOffset>
            </wp:positionV>
            <wp:extent cx="44450" cy="635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消费则以蛋糕和糕点为主，美国三者消费略为均衡。</w:t>
      </w:r>
      <w:r>
        <w:rPr>
          <w:b/>
          <w:sz w:val="21"/>
        </w:rPr>
        <w:t xml:space="preserve">图表 </w:t>
      </w:r>
      <w:r>
        <w:rPr>
          <w:rFonts w:ascii="Arial" w:eastAsia="Arial"/>
          <w:b/>
          <w:sz w:val="21"/>
        </w:rPr>
        <w:t>4</w:t>
      </w:r>
      <w:r>
        <w:rPr>
          <w:b/>
          <w:sz w:val="21"/>
        </w:rPr>
        <w:t>：</w:t>
      </w:r>
      <w:r>
        <w:rPr>
          <w:rFonts w:ascii="Arial" w:eastAsia="Arial"/>
          <w:b/>
          <w:sz w:val="21"/>
        </w:rPr>
        <w:t xml:space="preserve">2022 </w:t>
      </w:r>
      <w:r>
        <w:rPr>
          <w:b/>
          <w:sz w:val="21"/>
        </w:rPr>
        <w:t>年各国烘焙品类消费额占比</w:t>
      </w:r>
    </w:p>
    <w:p>
      <w:pPr>
        <w:spacing w:before="0" w:line="129" w:lineRule="exact"/>
        <w:ind w:left="2965" w:right="0" w:firstLine="0"/>
        <w:jc w:val="left"/>
        <w:rPr>
          <w:sz w:val="14"/>
        </w:rPr>
      </w:pPr>
      <w:r>
        <w:pict>
          <v:group id="_x0000_s1043" style="width:319.65pt;height:160pt;margin-top:1.48pt;margin-left:209.22pt;mso-position-horizontal-relative:page;position:absolute;z-index:251685888" coordorigin="4184,30" coordsize="6393,3200">
            <v:rect id="_x0000_s1044" style="width:425;height:563;left:4512;position:absolute;top:2656" filled="t" fillcolor="#5b9bd4" stroked="f">
              <v:fill type="solid"/>
            </v:rect>
            <v:rect id="_x0000_s1045" style="width:425;height:1239;left:4512;position:absolute;top:1418" filled="t" fillcolor="#ec7c30" stroked="f">
              <v:fill type="solid"/>
            </v:rect>
            <v:rect id="_x0000_s1046" style="width:425;height:1347;left:4512;position:absolute;top:71" filled="t" fillcolor="#a4a4a4" stroked="f">
              <v:fill type="solid"/>
            </v:rect>
            <v:rect id="_x0000_s1047" style="width:425;height:33;left:4512;position:absolute;top:39" filled="t" fillcolor="#4471c4" stroked="f">
              <v:fill type="solid"/>
            </v:rect>
            <v:rect id="_x0000_s1048" style="width:425;height:582;left:5575;position:absolute;top:2637" filled="t" fillcolor="#5b9bd4" stroked="f">
              <v:fill type="solid"/>
            </v:rect>
            <v:rect id="_x0000_s1049" style="width:425;height:1313;left:5575;position:absolute;top:1324" filled="t" fillcolor="#ec7c30" stroked="f">
              <v:fill type="solid"/>
            </v:rect>
            <v:rect id="_x0000_s1050" style="width:425;height:1229;left:5575;position:absolute;top:95" filled="t" fillcolor="#a4a4a4" stroked="f">
              <v:fill type="solid"/>
            </v:rect>
            <v:line id="_x0000_s1051" style="position:absolute" from="5575,93" to="6000,93" stroked="t" strokecolor="#ffc000" strokeweight="0.24pt">
              <v:stroke dashstyle="solid"/>
            </v:line>
            <v:line id="_x0000_s1052" style="position:absolute" from="5575,84" to="6000,84" stroked="t" strokecolor="#4471c4" strokeweight="0.72pt">
              <v:stroke dashstyle="solid"/>
            </v:line>
            <v:line id="_x0000_s1053" style="position:absolute" from="5575,58" to="6000,58" stroked="t" strokecolor="#6fac46" strokeweight="1.85pt">
              <v:stroke dashstyle="solid"/>
            </v:line>
            <v:rect id="_x0000_s1054" style="width:425;height:1526;left:6638;position:absolute;top:1694" filled="t" fillcolor="#5b9bd4" stroked="f">
              <v:fill type="solid"/>
            </v:rect>
            <v:rect id="_x0000_s1055" style="width:425;height:356;left:6638;position:absolute;top:1338" filled="t" fillcolor="#ec7c30" stroked="f">
              <v:fill type="solid"/>
            </v:rect>
            <v:rect id="_x0000_s1056" style="width:425;height:956;left:6638;position:absolute;top:383" filled="t" fillcolor="#a4a4a4" stroked="f">
              <v:fill type="solid"/>
            </v:rect>
            <v:rect id="_x0000_s1057" style="width:425;height:65;left:6638;position:absolute;top:318" filled="t" fillcolor="#ffc000" stroked="f">
              <v:fill type="solid"/>
            </v:rect>
            <v:rect id="_x0000_s1058" style="width:425;height:44;left:6638;position:absolute;top:275" filled="t" fillcolor="#4471c4" stroked="f">
              <v:fill type="solid"/>
            </v:rect>
            <v:rect id="_x0000_s1059" style="width:425;height:237;left:6638;position:absolute;top:39" filled="t" fillcolor="#6fac46" stroked="f">
              <v:fill type="solid"/>
            </v:rect>
            <v:rect id="_x0000_s1060" style="width:425;height:1120;left:7699;position:absolute;top:2099" filled="t" fillcolor="#5b9bd4" stroked="f">
              <v:fill type="solid"/>
            </v:rect>
            <v:rect id="_x0000_s1061" style="width:425;height:776;left:7699;position:absolute;top:1324" filled="t" fillcolor="#ec7c30" stroked="f">
              <v:fill type="solid"/>
            </v:rect>
            <v:rect id="_x0000_s1062" style="width:425;height:1001;left:7699;position:absolute;top:323" filled="t" fillcolor="#a4a4a4" stroked="f">
              <v:fill type="solid"/>
            </v:rect>
            <v:rect id="_x0000_s1063" style="width:425;height:99;left:7699;position:absolute;top:225" filled="t" fillcolor="#ffc000" stroked="f">
              <v:fill type="solid"/>
            </v:rect>
            <v:rect id="_x0000_s1064" style="width:425;height:82;left:7699;position:absolute;top:143" filled="t" fillcolor="#4471c4" stroked="f">
              <v:fill type="solid"/>
            </v:rect>
            <v:rect id="_x0000_s1065" style="width:425;height:105;left:7699;position:absolute;top:39" filled="t" fillcolor="#6fac46" stroked="f">
              <v:fill type="solid"/>
            </v:rect>
            <v:rect id="_x0000_s1066" style="width:425;height:2010;left:8762;position:absolute;top:1209" filled="t" fillcolor="#5b9bd4" stroked="f">
              <v:fill type="solid"/>
            </v:rect>
            <v:rect id="_x0000_s1067" style="width:425;height:226;left:8762;position:absolute;top:983" filled="t" fillcolor="#ec7c30" stroked="f">
              <v:fill type="solid"/>
            </v:rect>
            <v:rect id="_x0000_s1068" style="width:425;height:656;left:8762;position:absolute;top:328" filled="t" fillcolor="#a4a4a4" stroked="f">
              <v:fill type="solid"/>
            </v:rect>
            <v:rect id="_x0000_s1069" style="width:425;height:104;left:8762;position:absolute;top:225" filled="t" fillcolor="#ffc000" stroked="f">
              <v:fill type="solid"/>
            </v:rect>
            <v:rect id="_x0000_s1070" style="width:425;height:39;left:8762;position:absolute;top:186" filled="t" fillcolor="#4471c4" stroked="f">
              <v:fill type="solid"/>
            </v:rect>
            <v:rect id="_x0000_s1071" style="width:425;height:148;left:8762;position:absolute;top:39" filled="t" fillcolor="#6fac46" stroked="f">
              <v:fill type="solid"/>
            </v:rect>
            <v:rect id="_x0000_s1072" style="width:425;height:2596;left:9823;position:absolute;top:623" filled="t" fillcolor="#5b9bd4" stroked="f">
              <v:fill type="solid"/>
            </v:rect>
            <v:rect id="_x0000_s1073" style="width:425;height:267;left:9823;position:absolute;top:357" filled="t" fillcolor="#ec7c30" stroked="f">
              <v:fill type="solid"/>
            </v:rect>
            <v:rect id="_x0000_s1074" style="width:425;height:284;left:9823;position:absolute;top:74" filled="t" fillcolor="#a4a4a4" stroked="f">
              <v:fill type="solid"/>
            </v:rect>
            <v:line id="_x0000_s1075" style="position:absolute" from="9823,68" to="10248,68" stroked="t" strokecolor="#ffc000" strokeweight="0.6pt">
              <v:stroke dashstyle="solid"/>
            </v:line>
            <v:line id="_x0000_s1076" style="position:absolute" from="9823,56" to="10248,56" stroked="t" strokecolor="#4471c4" strokeweight="0.6pt">
              <v:stroke dashstyle="solid"/>
            </v:line>
            <v:line id="_x0000_s1077" style="position:absolute" from="9823,45" to="10248,45" stroked="t" strokecolor="#6fac46" strokeweight="0.53pt">
              <v:stroke dashstyle="solid"/>
            </v:line>
            <v:shape id="_x0000_s1078" style="width:6373;height:3180;left:4194;position:absolute;top:39" coordorigin="4194,40" coordsize="6373,3180" path="m4194,3219l4194,40m4194,3219l4234,3219m4194,2901l4234,2901m4194,2585l4234,2585m4194,2265l4234,2265m4194,1949l4234,1949m4194,1629l4234,1629m4194,1313l4234,1313m4194,993l4234,993m4194,677l4234,677m4194,357l4234,357m4194,40l4234,40m4194,3219l10567,3219m4194,3174l4194,3219m5256,3174l5256,3219m6319,3174l6319,3219m7380,3174l7380,3219m8443,3174l8443,3219m9504,3174l9504,3219m10567,3174l10567,3219e" filled="f" stroked="t" strokecolor="#e7e6e6" strokeweight="1pt">
              <v:stroke dashstyle="solid"/>
              <v:path arrowok="t"/>
            </v:shape>
          </v:group>
        </w:pict>
      </w:r>
      <w:r>
        <w:rPr>
          <w:color w:val="585858"/>
          <w:sz w:val="14"/>
        </w:rPr>
        <w:t>100</w:t>
      </w:r>
    </w:p>
    <w:p>
      <w:pPr>
        <w:pStyle w:val="BodyText"/>
        <w:spacing w:before="10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90</w:t>
      </w:r>
    </w:p>
    <w:p>
      <w:pPr>
        <w:pStyle w:val="BodyText"/>
        <w:spacing w:before="11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25400</wp:posOffset>
            </wp:positionV>
            <wp:extent cx="44450" cy="635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80</w:t>
      </w:r>
    </w:p>
    <w:p>
      <w:pPr>
        <w:pStyle w:val="BodyText"/>
        <w:spacing w:before="10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70</w:t>
      </w:r>
    </w:p>
    <w:p>
      <w:pPr>
        <w:pStyle w:val="BodyText"/>
        <w:spacing w:before="11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25400</wp:posOffset>
            </wp:positionV>
            <wp:extent cx="44450" cy="63500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60</w:t>
      </w:r>
    </w:p>
    <w:p>
      <w:pPr>
        <w:pStyle w:val="BodyText"/>
        <w:spacing w:before="10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50</w:t>
      </w:r>
    </w:p>
    <w:p>
      <w:pPr>
        <w:pStyle w:val="BodyText"/>
        <w:spacing w:before="11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25400</wp:posOffset>
            </wp:positionV>
            <wp:extent cx="44450" cy="63500"/>
            <wp:effectExtent l="0" t="0" r="0" b="0"/>
            <wp:wrapNone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40</w:t>
      </w:r>
    </w:p>
    <w:p>
      <w:pPr>
        <w:pStyle w:val="BodyText"/>
        <w:spacing w:before="10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30</w:t>
      </w:r>
    </w:p>
    <w:p>
      <w:pPr>
        <w:pStyle w:val="BodyText"/>
        <w:spacing w:before="11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20</w:t>
      </w:r>
    </w:p>
    <w:p>
      <w:pPr>
        <w:pStyle w:val="BodyText"/>
        <w:spacing w:before="10"/>
        <w:rPr>
          <w:sz w:val="10"/>
        </w:rPr>
      </w:pPr>
    </w:p>
    <w:p>
      <w:pPr>
        <w:spacing w:before="0"/>
        <w:ind w:left="3035" w:right="0" w:firstLine="0"/>
        <w:jc w:val="left"/>
        <w:rPr>
          <w:sz w:val="14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2549017</wp:posOffset>
            </wp:positionH>
            <wp:positionV relativeFrom="paragraph">
              <wp:posOffset>25400</wp:posOffset>
            </wp:positionV>
            <wp:extent cx="44450" cy="63500"/>
            <wp:effectExtent l="0" t="0" r="0" b="0"/>
            <wp:wrapNone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10</w:t>
      </w:r>
    </w:p>
    <w:p>
      <w:pPr>
        <w:pStyle w:val="BodyText"/>
        <w:spacing w:before="11"/>
        <w:rPr>
          <w:sz w:val="10"/>
        </w:rPr>
      </w:pPr>
    </w:p>
    <w:p>
      <w:pPr>
        <w:spacing w:before="0"/>
        <w:ind w:left="3105" w:right="0" w:firstLine="0"/>
        <w:jc w:val="left"/>
        <w:rPr>
          <w:sz w:val="1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2549398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0</w:t>
      </w:r>
    </w:p>
    <w:p>
      <w:pPr>
        <w:tabs>
          <w:tab w:val="left" w:pos="4789"/>
          <w:tab w:val="left" w:pos="5852"/>
          <w:tab w:val="left" w:pos="6914"/>
          <w:tab w:val="left" w:pos="7976"/>
          <w:tab w:val="left" w:pos="9038"/>
        </w:tabs>
        <w:spacing w:before="3"/>
        <w:ind w:left="3727" w:right="0" w:firstLine="0"/>
        <w:jc w:val="left"/>
        <w:rPr>
          <w:sz w:val="16"/>
        </w:rPr>
      </w:pPr>
      <w:r>
        <w:rPr>
          <w:color w:val="585858"/>
          <w:sz w:val="16"/>
        </w:rPr>
        <w:t>中国</w:t>
        <w:tab/>
        <w:t>日本</w:t>
        <w:tab/>
        <w:t>英国</w:t>
        <w:tab/>
        <w:t>美国</w:t>
        <w:tab/>
        <w:t>德国</w:t>
        <w:tab/>
        <w:t>法国</w:t>
      </w:r>
    </w:p>
    <w:p>
      <w:pPr>
        <w:tabs>
          <w:tab w:val="left" w:pos="5695"/>
          <w:tab w:val="left" w:pos="7835"/>
        </w:tabs>
        <w:spacing w:before="80"/>
        <w:ind w:left="3554" w:right="0" w:firstLine="0"/>
        <w:jc w:val="left"/>
        <w:rPr>
          <w:sz w:val="16"/>
        </w:rPr>
      </w:pPr>
      <w:r>
        <w:pict>
          <v:rect id="_x0000_s1079" style="width:3.6pt;height:3.6pt;margin-top:7.32pt;margin-left:214.68pt;mso-position-horizontal-relative:page;position:absolute;z-index:251687936" filled="t" fillcolor="#5b9bd4" stroked="f">
            <v:fill type="solid"/>
          </v:rect>
        </w:pict>
      </w:r>
      <w:r>
        <w:pict>
          <v:rect id="_x0000_s1080" style="width:3.6pt;height:3.6pt;margin-top:7.32pt;margin-left:321.68pt;mso-position-horizontal-relative:page;position:absolute;z-index:-251636736" filled="t" fillcolor="#ec7c30" stroked="f">
            <v:fill type="solid"/>
          </v:rect>
        </w:pict>
      </w:r>
      <w:r>
        <w:pict>
          <v:rect id="_x0000_s1081" style="width:3.6pt;height:3.6pt;margin-top:7.32pt;margin-left:428.67pt;mso-position-horizontal-relative:page;position:absolute;z-index:-251635712" filled="t" fillcolor="#a4a4a4" stroked="f">
            <v:fill type="solid"/>
          </v:rect>
        </w:pict>
      </w:r>
      <w:r>
        <w:rPr>
          <w:color w:val="585858"/>
          <w:sz w:val="16"/>
        </w:rPr>
        <w:t>Bread</w:t>
        <w:tab/>
        <w:t>Pastries</w:t>
        <w:tab/>
        <w:t>Cakes</w:t>
      </w:r>
    </w:p>
    <w:p>
      <w:pPr>
        <w:tabs>
          <w:tab w:val="left" w:pos="5695"/>
          <w:tab w:val="left" w:pos="7835"/>
        </w:tabs>
        <w:spacing w:before="63"/>
        <w:ind w:left="3554" w:right="0" w:firstLine="0"/>
        <w:jc w:val="left"/>
        <w:rPr>
          <w:sz w:val="16"/>
        </w:rPr>
      </w:pPr>
      <w:r>
        <w:pict>
          <v:shape id="_x0000_s1082" style="width:382.55pt;height:0.1pt;margin-top:16.77pt;margin-left:169.94pt;mso-position-horizontal-relative:page;mso-wrap-distance-left:0;mso-wrap-distance-right:0;position:absolute;z-index:-251631616" coordorigin="3399,335" coordsize="7651,0" path="m3399,335l11049,335e" filled="f" stroked="t" strokecolor="#013e96" strokeweight="0.48pt">
            <v:stroke dashstyle="solid"/>
            <v:path arrowok="t"/>
            <w10:wrap type="topAndBottom"/>
          </v:shape>
        </w:pict>
      </w:r>
      <w:r>
        <w:pict>
          <v:rect id="_x0000_s1083" style="width:3.6pt;height:3.6pt;margin-top:6.47pt;margin-left:214.68pt;mso-position-horizontal-relative:page;position:absolute;z-index:251688960" filled="t" fillcolor="#ffc000" stroked="f">
            <v:fill type="solid"/>
          </v:rect>
        </w:pict>
      </w:r>
      <w:r>
        <w:pict>
          <v:rect id="_x0000_s1084" style="width:3.6pt;height:3.6pt;margin-top:6.47pt;margin-left:321.68pt;mso-position-horizontal-relative:page;position:absolute;z-index:-251634688" filled="t" fillcolor="#4471c4" stroked="f">
            <v:fill type="solid"/>
          </v:rect>
        </w:pict>
      </w:r>
      <w:r>
        <w:pict>
          <v:rect id="_x0000_s1085" style="width:3.6pt;height:3.6pt;margin-top:6.47pt;margin-left:428.67pt;mso-position-horizontal-relative:page;position:absolute;z-index:-251633664" filled="t" fillcolor="#6fac46" stroked="f">
            <v:fill type="solid"/>
          </v:rect>
        </w:pict>
      </w:r>
      <w:r>
        <w:rPr>
          <w:color w:val="585858"/>
          <w:sz w:val="16"/>
        </w:rPr>
        <w:t>Frozen</w:t>
      </w:r>
      <w:r>
        <w:rPr>
          <w:color w:val="585858"/>
          <w:spacing w:val="-5"/>
          <w:sz w:val="16"/>
        </w:rPr>
        <w:t xml:space="preserve"> </w:t>
      </w:r>
      <w:r>
        <w:rPr>
          <w:color w:val="585858"/>
          <w:sz w:val="16"/>
        </w:rPr>
        <w:t>Baked</w:t>
      </w:r>
      <w:r>
        <w:rPr>
          <w:color w:val="585858"/>
          <w:spacing w:val="-4"/>
          <w:sz w:val="16"/>
        </w:rPr>
        <w:t xml:space="preserve"> </w:t>
      </w:r>
      <w:r>
        <w:rPr>
          <w:color w:val="585858"/>
          <w:sz w:val="16"/>
        </w:rPr>
        <w:t>Goods</w:t>
        <w:tab/>
        <w:t>Dessert</w:t>
      </w:r>
      <w:r>
        <w:rPr>
          <w:color w:val="585858"/>
          <w:spacing w:val="-4"/>
          <w:sz w:val="16"/>
        </w:rPr>
        <w:t xml:space="preserve"> </w:t>
      </w:r>
      <w:r>
        <w:rPr>
          <w:color w:val="585858"/>
          <w:sz w:val="16"/>
        </w:rPr>
        <w:t>Mixes</w:t>
        <w:tab/>
        <w:t>Dessert Pies and</w:t>
      </w:r>
      <w:r>
        <w:rPr>
          <w:color w:val="585858"/>
          <w:spacing w:val="-5"/>
          <w:sz w:val="16"/>
        </w:rPr>
        <w:t xml:space="preserve"> </w:t>
      </w:r>
      <w:r>
        <w:rPr>
          <w:color w:val="585858"/>
          <w:sz w:val="16"/>
        </w:rPr>
        <w:t>Tarts</w:t>
      </w:r>
    </w:p>
    <w:p>
      <w:pPr>
        <w:spacing w:before="0"/>
        <w:ind w:left="2666" w:right="0" w:firstLine="0"/>
        <w:jc w:val="left"/>
        <w:rPr>
          <w:sz w:val="15"/>
        </w:rPr>
      </w:pPr>
      <w:r>
        <w:t xml:space="preserve">数据来源：Euromonitor， </w:t>
      </w:r>
    </w:p>
    <w:p>
      <w:pPr>
        <w:pStyle w:val="BodyText"/>
        <w:spacing w:before="11"/>
        <w:rPr>
          <w:sz w:val="25"/>
        </w:rPr>
      </w:pPr>
    </w:p>
    <w:p>
      <w:pPr>
        <w:pStyle w:val="Heading2"/>
        <w:spacing w:before="71"/>
        <w:ind w:left="2955"/>
      </w:pPr>
      <w:r>
        <w:t>根据 Euromonitor，2022 年我国烘焙食品的人均销售额和人均销售量分别为</w:t>
      </w:r>
    </w:p>
    <w:p>
      <w:pPr>
        <w:spacing w:before="91" w:line="319" w:lineRule="auto"/>
        <w:ind w:left="2532" w:right="70" w:firstLine="0"/>
        <w:jc w:val="left"/>
        <w:rPr>
          <w:b/>
          <w:sz w:val="21"/>
        </w:rPr>
      </w:pPr>
      <w:r>
        <w:rPr>
          <w:b/>
          <w:sz w:val="21"/>
        </w:rPr>
        <w:t>168.5 元和 3.48kg，远低于欧美主要国家和日本，我们从占据绝大部分比例的面包、蛋糕、糕点分析我国与欧美主要国家的差异。</w:t>
      </w: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5355"/>
        </w:tabs>
        <w:spacing w:before="81"/>
        <w:ind w:left="110" w:right="0" w:firstLine="0"/>
        <w:jc w:val="left"/>
        <w:rPr>
          <w:b/>
          <w:sz w:val="21"/>
        </w:rPr>
      </w:pPr>
      <w:r>
        <w:rPr>
          <w:b/>
          <w:sz w:val="21"/>
        </w:rPr>
        <w:t>图表</w:t>
      </w:r>
      <w:r>
        <w:rPr>
          <w:b/>
          <w:spacing w:val="-53"/>
          <w:sz w:val="21"/>
        </w:rPr>
        <w:t xml:space="preserve"> </w:t>
      </w:r>
      <w:r>
        <w:rPr>
          <w:rFonts w:ascii="Arial" w:eastAsia="Arial"/>
          <w:b/>
          <w:sz w:val="21"/>
        </w:rPr>
        <w:t>5</w:t>
      </w:r>
      <w:r>
        <w:rPr>
          <w:b/>
          <w:sz w:val="21"/>
        </w:rPr>
        <w:t>：</w:t>
      </w:r>
      <w:r>
        <w:rPr>
          <w:rFonts w:ascii="Arial" w:eastAsia="Arial"/>
          <w:b/>
          <w:sz w:val="21"/>
        </w:rPr>
        <w:t>2022</w:t>
      </w:r>
      <w:r>
        <w:rPr>
          <w:rFonts w:ascii="Arial" w:eastAsia="Arial"/>
          <w:b/>
          <w:spacing w:val="-10"/>
          <w:sz w:val="21"/>
        </w:rPr>
        <w:t xml:space="preserve"> </w:t>
      </w:r>
      <w:r>
        <w:rPr>
          <w:b/>
          <w:sz w:val="21"/>
        </w:rPr>
        <w:t>年各国烘</w:t>
      </w:r>
      <w:r>
        <w:rPr>
          <w:b/>
          <w:spacing w:val="-3"/>
          <w:sz w:val="21"/>
        </w:rPr>
        <w:t>焙</w:t>
      </w:r>
      <w:r>
        <w:rPr>
          <w:b/>
          <w:sz w:val="21"/>
        </w:rPr>
        <w:t>食品人均销售额</w:t>
        <w:tab/>
        <w:t>图表</w:t>
      </w:r>
      <w:r>
        <w:rPr>
          <w:b/>
          <w:spacing w:val="-53"/>
          <w:sz w:val="21"/>
        </w:rPr>
        <w:t xml:space="preserve"> </w:t>
      </w:r>
      <w:r>
        <w:rPr>
          <w:rFonts w:ascii="Arial" w:eastAsia="Arial"/>
          <w:b/>
          <w:sz w:val="21"/>
        </w:rPr>
        <w:t>6</w:t>
      </w:r>
      <w:r>
        <w:rPr>
          <w:b/>
          <w:sz w:val="21"/>
        </w:rPr>
        <w:t>：</w:t>
      </w:r>
      <w:r>
        <w:rPr>
          <w:rFonts w:ascii="Arial" w:eastAsia="Arial"/>
          <w:b/>
          <w:sz w:val="21"/>
        </w:rPr>
        <w:t>2022</w:t>
      </w:r>
      <w:r>
        <w:rPr>
          <w:rFonts w:ascii="Arial" w:eastAsia="Arial"/>
          <w:b/>
          <w:spacing w:val="-10"/>
          <w:sz w:val="21"/>
        </w:rPr>
        <w:t xml:space="preserve"> </w:t>
      </w:r>
      <w:r>
        <w:rPr>
          <w:b/>
          <w:sz w:val="21"/>
        </w:rPr>
        <w:t>年各国人</w:t>
      </w:r>
      <w:r>
        <w:rPr>
          <w:b/>
          <w:spacing w:val="-3"/>
          <w:sz w:val="21"/>
        </w:rPr>
        <w:t>均</w:t>
      </w:r>
      <w:r>
        <w:rPr>
          <w:b/>
          <w:sz w:val="21"/>
        </w:rPr>
        <w:t>烘焙食品消费量</w:t>
      </w:r>
    </w:p>
    <w:p>
      <w:pPr>
        <w:pStyle w:val="BodyText"/>
        <w:spacing w:before="4"/>
        <w:rPr>
          <w:b/>
          <w:sz w:val="17"/>
        </w:rPr>
      </w:pPr>
    </w:p>
    <w:p>
      <w:pPr>
        <w:tabs>
          <w:tab w:val="left" w:pos="5242"/>
        </w:tabs>
        <w:spacing w:line="20" w:lineRule="exact"/>
        <w:ind w:left="-3" w:right="0" w:firstLine="0"/>
        <w:rPr>
          <w:sz w:val="2"/>
        </w:rPr>
      </w:pPr>
      <w:r>
        <w:rPr>
          <w:sz w:val="2"/>
        </w:rPr>
        <w:pict>
          <v:group id="_x0000_i1086" style="width:248.1pt;height:0.5pt;mso-position-horizontal-relative:char;mso-position-vertical-relative:line" coordorigin="0,0" coordsize="4962,10">
            <v:line id="_x0000_s1087" style="position:absolute" from="0,5" to="4962,5" stroked="t" strokecolor="#013e96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088" style="width:248.25pt;height:0.5pt;mso-position-horizontal-relative:char;mso-position-vertical-relative:line" coordorigin="0,0" coordsize="4965,10">
            <v:line id="_x0000_s1089" style="position:absolute" from="0,5" to="4964,5" stroked="t" strokecolor="#013e96" strokeweight="0.48pt">
              <v:stroke dashstyle="solid"/>
            </v:line>
            <w10:wrap type="none"/>
          </v:group>
        </w:pict>
      </w:r>
    </w:p>
    <w:p>
      <w:pPr>
        <w:tabs>
          <w:tab w:val="left" w:pos="5486"/>
        </w:tabs>
        <w:spacing w:before="106"/>
        <w:ind w:left="235" w:right="0" w:firstLine="0"/>
        <w:jc w:val="left"/>
        <w:rPr>
          <w:sz w:val="16"/>
        </w:rPr>
      </w:pPr>
      <w:r>
        <w:pict>
          <v:group id="_x0000_s1090" style="width:179.2pt;height:90.95pt;margin-top:9.9pt;margin-left:83.58pt;mso-position-horizontal-relative:page;position:absolute;z-index:-251632640" coordorigin="1672,198" coordsize="3584,1819">
            <v:line id="_x0000_s1091" style="position:absolute" from="1886,1947" to="2071,1947" stroked="t" strokecolor="#5b9bd4" strokeweight="6.03pt">
              <v:stroke dashstyle="solid"/>
            </v:line>
            <v:shape id="_x0000_s1092" style="width:2564;height:1393;left:2479;position:absolute;top:614" coordorigin="2479,614" coordsize="2564,1393" path="m2666,1102l2479,1102,2479,2007,2666,2007,2666,1102m3259,1205l3074,1205,3074,2007,3259,2007,3259,1205m3854,667l3667,667,3667,2007,3854,2007,3854,667m4450,797l4262,797,4262,2007,4450,2007,4450,797m5042,614l4858,614,4858,2007,5042,2007,5042,614e" filled="t" fillcolor="#5b9bd4" stroked="f">
              <v:fill type="solid"/>
              <v:path arrowok="t"/>
            </v:shape>
            <v:shape id="_x0000_s1093" style="width:46;height:1799;left:1681;position:absolute;top:208" coordorigin="1682,208" coordsize="46,1799" path="m1682,2007l1682,208m1682,2007l1727,2007m1682,1646l1727,1646m1682,1286l1727,1286m1682,926l1727,926m1682,569l1727,569m1682,208l1727,208e" filled="f" stroked="t" strokecolor="#e7e6e6" strokeweight="1pt">
              <v:stroke dashstyle="solid"/>
              <v:path arrowok="t"/>
            </v:shape>
            <v:shape id="_x0000_s1094" style="width:3566;height:46;left:1681;position:absolute;top:1961" coordorigin="1682,1961" coordsize="3566,46" path="m1682,2007l5247,2007m1682,1961l1682,2007m2275,1961l2275,2007m2870,1961l2870,2007m3463,1961l3463,2007m4058,1961l4058,2007m4654,1961l4654,2007m5247,1961l5247,2007e" filled="f" stroked="t" strokecolor="#d9d9d9" strokeweight="0.75pt">
              <v:stroke dashstyle="solid"/>
              <v:path arrowok="t"/>
            </v:shape>
          </v:group>
        </w:pict>
      </w:r>
      <w:r>
        <w:pict>
          <v:group id="_x0000_s1095" style="width:202.35pt;height:90.95pt;margin-top:9.9pt;margin-left:334.07pt;mso-position-horizontal-relative:page;position:absolute;z-index:251689984" coordorigin="6681,198" coordsize="4047,1819">
            <v:line id="_x0000_s1096" style="position:absolute" from="6922,1968" to="7133,1968" stroked="t" strokecolor="#5b9bd4" strokeweight="3.87pt">
              <v:stroke dashstyle="solid"/>
            </v:line>
            <v:shape id="_x0000_s1097" style="width:2897;height:1585;left:7593;position:absolute;top:422" coordorigin="7594,422" coordsize="2897,1585" path="m7805,1447l7594,1447,7594,2007,7805,2007,7805,1447m8474,1070l8266,1070,8266,2007,8474,2007,8474,1070m9146,1270l8938,1270,8938,2007,9146,2007,9146,1270m9818,422l9607,422,9607,2007,9818,2007,9818,422m10490,722l10279,722,10279,2007,10490,2007,10490,722e" filled="t" fillcolor="#5b9bd4" stroked="f">
              <v:fill type="solid"/>
              <v:path arrowok="t"/>
            </v:shape>
            <v:shape id="_x0000_s1098" style="width:46;height:1799;left:6691;position:absolute;top:208" coordorigin="6691,208" coordsize="46,1799" path="m6691,2007l6691,208m6691,2007l6737,2007m6691,1558l6737,1558m6691,1106l6737,1106m6691,658l6737,658m6691,208l6737,208e" filled="f" stroked="t" strokecolor="#e7e6e6" strokeweight="1pt">
              <v:stroke dashstyle="solid"/>
              <v:path arrowok="t"/>
            </v:shape>
            <v:shape id="_x0000_s1099" style="width:4029;height:46;left:6691;position:absolute;top:1961" coordorigin="6691,1961" coordsize="4029,46" path="m6691,2007l10720,2007m6691,1961l6691,2007m7363,1961l7363,2007m8035,1961l8035,2007m8705,1961l8705,2007m9377,1961l9377,2007m10049,1961l10049,2007m10720,1961l10720,2007e" filled="f" stroked="t" strokecolor="#d9d9d9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2,500</w:t>
        <w:tab/>
        <w:t>80</w:t>
      </w:r>
    </w:p>
    <w:p>
      <w:pPr>
        <w:pStyle w:val="BodyText"/>
        <w:spacing w:before="2"/>
        <w:rPr>
          <w:sz w:val="12"/>
        </w:rPr>
      </w:pPr>
    </w:p>
    <w:p>
      <w:pPr>
        <w:tabs>
          <w:tab w:val="left" w:pos="5251"/>
        </w:tabs>
        <w:spacing w:before="0"/>
        <w:ind w:left="0" w:right="4899" w:firstLine="0"/>
        <w:jc w:val="right"/>
        <w:rPr>
          <w:sz w:val="16"/>
        </w:rPr>
      </w:pPr>
      <w:r>
        <w:rPr>
          <w:color w:val="585858"/>
          <w:sz w:val="16"/>
        </w:rPr>
        <w:t>2,000</w:t>
        <w:tab/>
      </w:r>
      <w:r>
        <w:rPr>
          <w:color w:val="585858"/>
          <w:spacing w:val="-2"/>
          <w:position w:val="-8"/>
          <w:sz w:val="16"/>
        </w:rPr>
        <w:t>60</w:t>
      </w:r>
    </w:p>
    <w:p>
      <w:pPr>
        <w:spacing w:before="64" w:line="193" w:lineRule="exact"/>
        <w:ind w:left="235" w:right="0" w:firstLine="0"/>
        <w:jc w:val="left"/>
        <w:rPr>
          <w:sz w:val="16"/>
        </w:rPr>
      </w:pPr>
      <w:r>
        <w:rPr>
          <w:color w:val="585858"/>
          <w:sz w:val="16"/>
        </w:rPr>
        <w:t>1,500</w:t>
      </w:r>
    </w:p>
    <w:p>
      <w:pPr>
        <w:spacing w:before="0" w:line="180" w:lineRule="exact"/>
        <w:ind w:left="5486" w:right="0" w:firstLine="0"/>
        <w:jc w:val="left"/>
        <w:rPr>
          <w:sz w:val="16"/>
        </w:rPr>
      </w:pPr>
      <w:r>
        <w:rPr>
          <w:color w:val="585858"/>
          <w:sz w:val="16"/>
        </w:rPr>
        <w:t>40</w:t>
      </w:r>
    </w:p>
    <w:p>
      <w:pPr>
        <w:spacing w:before="0" w:line="193" w:lineRule="exact"/>
        <w:ind w:left="235" w:right="0" w:firstLine="0"/>
        <w:jc w:val="left"/>
        <w:rPr>
          <w:sz w:val="16"/>
        </w:rPr>
      </w:pPr>
      <w:r>
        <w:rPr>
          <w:color w:val="585858"/>
          <w:sz w:val="16"/>
        </w:rPr>
        <w:t>1,000</w:t>
      </w:r>
    </w:p>
    <w:p>
      <w:pPr>
        <w:tabs>
          <w:tab w:val="left" w:pos="5090"/>
        </w:tabs>
        <w:spacing w:before="65"/>
        <w:ind w:left="0" w:right="4899" w:firstLine="0"/>
        <w:jc w:val="right"/>
        <w:rPr>
          <w:sz w:val="16"/>
        </w:rPr>
      </w:pPr>
      <w:r>
        <w:rPr>
          <w:color w:val="585858"/>
          <w:sz w:val="16"/>
        </w:rPr>
        <w:t>500</w:t>
        <w:tab/>
      </w:r>
      <w:r>
        <w:rPr>
          <w:color w:val="585858"/>
          <w:spacing w:val="-2"/>
          <w:position w:val="9"/>
          <w:sz w:val="16"/>
        </w:rPr>
        <w:t>20</w:t>
      </w:r>
    </w:p>
    <w:p>
      <w:pPr>
        <w:spacing w:after="0"/>
        <w:jc w:val="right"/>
        <w:rPr>
          <w:sz w:val="16"/>
        </w:rPr>
        <w:sectPr>
          <w:headerReference w:type="default" r:id="rId19"/>
          <w:footerReference w:type="default" r:id="rId20"/>
          <w:pgSz w:w="11910" w:h="16840"/>
          <w:pgMar w:top="1360" w:right="520" w:bottom="660" w:left="840" w:header="708" w:footer="708"/>
          <w:pgNumType w:start="6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spacing w:before="0" w:line="200" w:lineRule="exact"/>
        <w:ind w:left="555" w:right="0" w:firstLine="0"/>
        <w:jc w:val="left"/>
        <w:rPr>
          <w:sz w:val="16"/>
        </w:rPr>
      </w:pPr>
      <w:r>
        <w:rPr>
          <w:color w:val="585858"/>
          <w:w w:val="100"/>
          <w:sz w:val="16"/>
        </w:rPr>
        <w:t>0</w:t>
      </w:r>
    </w:p>
    <w:p>
      <w:pPr>
        <w:tabs>
          <w:tab w:val="left" w:pos="1572"/>
          <w:tab w:val="left" w:pos="2167"/>
          <w:tab w:val="left" w:pos="2761"/>
          <w:tab w:val="left" w:pos="3356"/>
          <w:tab w:val="left" w:pos="3950"/>
        </w:tabs>
        <w:spacing w:before="0" w:line="200" w:lineRule="exact"/>
        <w:ind w:left="978" w:right="0" w:firstLine="0"/>
        <w:jc w:val="left"/>
        <w:rPr>
          <w:sz w:val="16"/>
        </w:rPr>
      </w:pPr>
      <w:r>
        <w:rPr>
          <w:color w:val="585858"/>
          <w:sz w:val="16"/>
        </w:rPr>
        <w:t>中国</w:t>
        <w:tab/>
        <w:t>日本</w:t>
        <w:tab/>
        <w:t>英国</w:t>
        <w:tab/>
        <w:t>美国</w:t>
        <w:tab/>
        <w:t>德国</w:t>
        <w:tab/>
        <w:t>法国</w:t>
      </w:r>
    </w:p>
    <w:p>
      <w:pPr>
        <w:pStyle w:val="BodyText"/>
        <w:spacing w:before="1"/>
        <w:rPr>
          <w:sz w:val="12"/>
        </w:rPr>
      </w:pPr>
      <w:r>
        <w:br w:type="column"/>
      </w:r>
    </w:p>
    <w:p>
      <w:pPr>
        <w:spacing w:before="0" w:line="200" w:lineRule="exact"/>
        <w:ind w:left="555" w:right="0" w:firstLine="0"/>
        <w:jc w:val="left"/>
        <w:rPr>
          <w:sz w:val="16"/>
        </w:rPr>
      </w:pPr>
      <w:r>
        <w:rPr>
          <w:color w:val="585858"/>
          <w:w w:val="100"/>
          <w:sz w:val="16"/>
        </w:rPr>
        <w:t>0</w:t>
      </w:r>
    </w:p>
    <w:p>
      <w:pPr>
        <w:tabs>
          <w:tab w:val="left" w:pos="1688"/>
          <w:tab w:val="left" w:pos="2360"/>
          <w:tab w:val="left" w:pos="3031"/>
          <w:tab w:val="left" w:pos="3703"/>
          <w:tab w:val="left" w:pos="4375"/>
        </w:tabs>
        <w:spacing w:before="0" w:line="200" w:lineRule="exact"/>
        <w:ind w:left="1017" w:right="0" w:firstLine="0"/>
        <w:jc w:val="left"/>
        <w:rPr>
          <w:sz w:val="16"/>
        </w:rPr>
      </w:pPr>
      <w:r>
        <w:rPr>
          <w:color w:val="585858"/>
          <w:sz w:val="16"/>
        </w:rPr>
        <w:t>中国</w:t>
        <w:tab/>
        <w:t>日本</w:t>
        <w:tab/>
        <w:t>英国</w:t>
        <w:tab/>
        <w:t>美国</w:t>
        <w:tab/>
        <w:t>德国</w:t>
        <w:tab/>
        <w:t>法国</w:t>
      </w:r>
    </w:p>
    <w:p>
      <w:pPr>
        <w:spacing w:after="0" w:line="200" w:lineRule="exact"/>
        <w:jc w:val="left"/>
        <w:rPr>
          <w:sz w:val="16"/>
        </w:rPr>
        <w:sectPr>
          <w:headerReference w:type="default" r:id="rId21"/>
          <w:footerReference w:type="default" r:id="rId22"/>
          <w:type w:val="continuous"/>
          <w:pgSz w:w="11910" w:h="16840"/>
          <w:pgMar w:top="1360" w:right="520" w:bottom="660" w:left="840" w:header="708" w:footer="708"/>
          <w:pgNumType w:start="7"/>
          <w:cols w:num="2" w:space="708" w:equalWidth="0">
            <w:col w:w="4313" w:space="698"/>
            <w:col w:w="5539" w:space="0"/>
          </w:cols>
        </w:sectPr>
      </w:pPr>
    </w:p>
    <w:p>
      <w:pPr>
        <w:pStyle w:val="BodyText"/>
        <w:spacing w:before="2"/>
        <w:rPr>
          <w:sz w:val="13"/>
        </w:rPr>
      </w:pPr>
      <w:r>
        <w:pict>
          <v:shape id="_x0000_s1100" type="#_x0000_t202" style="width:60pt;height:12pt;margin-top:36.85pt;margin-left:362.83pt;mso-position-horizontal-relative:page;mso-position-vertical-relative:page;position:absolute;z-index:-251625472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</w:p>
    <w:p>
      <w:pPr>
        <w:tabs>
          <w:tab w:val="left" w:pos="5261"/>
        </w:tabs>
        <w:spacing w:before="0"/>
        <w:ind w:left="0" w:right="186" w:firstLine="0"/>
        <w:jc w:val="center"/>
        <w:rPr>
          <w:sz w:val="16"/>
        </w:rPr>
      </w:pPr>
      <w:r>
        <w:pict>
          <v:rect id="_x0000_s1101" style="width:3.6pt;height:3.6pt;margin-top:3.28pt;margin-left:120.32pt;mso-position-horizontal-relative:page;position:absolute;z-index:251702272" filled="t" fillcolor="#5b9bd4" stroked="f">
            <v:fill type="solid"/>
          </v:rect>
        </w:pict>
      </w:r>
      <w:r>
        <w:pict>
          <v:rect id="_x0000_s1102" style="width:3.6pt;height:3.6pt;margin-top:3.28pt;margin-left:383.35pt;mso-position-horizontal-relative:page;position:absolute;z-index:-251619328" filled="t" fillcolor="#5b9bd4" stroked="f">
            <v:fill type="solid"/>
          </v:rect>
        </w:pict>
      </w:r>
      <w:r>
        <w:rPr>
          <w:color w:val="585858"/>
          <w:sz w:val="16"/>
        </w:rPr>
        <w:t>2022年人均消</w:t>
      </w:r>
      <w:r>
        <w:rPr>
          <w:color w:val="585858"/>
          <w:spacing w:val="-3"/>
          <w:sz w:val="16"/>
        </w:rPr>
        <w:t>费</w:t>
      </w:r>
      <w:r>
        <w:rPr>
          <w:color w:val="585858"/>
          <w:sz w:val="16"/>
        </w:rPr>
        <w:t>额（</w:t>
      </w:r>
      <w:r>
        <w:rPr>
          <w:color w:val="585858"/>
          <w:spacing w:val="-3"/>
          <w:sz w:val="16"/>
        </w:rPr>
        <w:t>元</w:t>
      </w:r>
      <w:r>
        <w:rPr>
          <w:color w:val="585858"/>
          <w:sz w:val="16"/>
        </w:rPr>
        <w:t>）</w:t>
        <w:tab/>
        <w:t>2022年人均消</w:t>
      </w:r>
      <w:r>
        <w:rPr>
          <w:color w:val="585858"/>
          <w:spacing w:val="-3"/>
          <w:sz w:val="16"/>
        </w:rPr>
        <w:t>费</w:t>
      </w:r>
      <w:r>
        <w:rPr>
          <w:color w:val="585858"/>
          <w:sz w:val="16"/>
        </w:rPr>
        <w:t>量（kg）</w:t>
      </w:r>
    </w:p>
    <w:p>
      <w:pPr>
        <w:pStyle w:val="BodyText"/>
        <w:spacing w:before="5"/>
        <w:rPr>
          <w:sz w:val="12"/>
        </w:rPr>
      </w:pPr>
    </w:p>
    <w:p>
      <w:pPr>
        <w:tabs>
          <w:tab w:val="left" w:pos="5242"/>
        </w:tabs>
        <w:spacing w:line="20" w:lineRule="exact"/>
        <w:ind w:left="-3" w:right="0" w:firstLine="0"/>
        <w:rPr>
          <w:sz w:val="2"/>
        </w:rPr>
      </w:pPr>
      <w:r>
        <w:rPr>
          <w:sz w:val="2"/>
        </w:rPr>
        <w:pict>
          <v:group id="_x0000_i1103" style="width:248.1pt;height:0.5pt;mso-position-horizontal-relative:char;mso-position-vertical-relative:line" coordorigin="0,0" coordsize="4962,10">
            <v:line id="_x0000_s1104" style="position:absolute" from="0,5" to="4962,5" stroked="t" strokecolor="#013e96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105" style="width:248.25pt;height:0.5pt;mso-position-horizontal-relative:char;mso-position-vertical-relative:line" coordorigin="0,0" coordsize="4965,10">
            <v:line id="_x0000_s1106" style="position:absolute" from="0,5" to="4964,5" stroked="t" strokecolor="#013e96" strokeweight="0.48pt">
              <v:stroke dashstyle="solid"/>
            </v:line>
            <w10:wrap type="none"/>
          </v:group>
        </w:pict>
      </w:r>
    </w:p>
    <w:p>
      <w:pPr>
        <w:tabs>
          <w:tab w:val="left" w:pos="5355"/>
        </w:tabs>
        <w:spacing w:before="0"/>
        <w:ind w:left="110" w:right="0" w:firstLine="0"/>
        <w:jc w:val="left"/>
        <w:rPr>
          <w:sz w:val="15"/>
        </w:rPr>
      </w:pPr>
      <w:r>
        <w:t xml:space="preserve">数据来源：Euromonitor， </w:t>
        <w:tab/>
        <w:t xml:space="preserve">数据来源： Euromonitor， </w:t>
      </w:r>
    </w:p>
    <w:p>
      <w:pPr>
        <w:pStyle w:val="BodyText"/>
        <w:spacing w:before="8"/>
        <w:rPr>
          <w:sz w:val="13"/>
        </w:rPr>
      </w:pPr>
    </w:p>
    <w:p>
      <w:pPr>
        <w:pStyle w:val="Heading2"/>
        <w:spacing w:before="82"/>
        <w:ind w:left="0" w:right="95"/>
        <w:jc w:val="center"/>
      </w:pPr>
      <w:r>
        <w:pict>
          <v:shape id="_x0000_s1107" style="width:382.55pt;height:0.1pt;margin-top:20.96pt;margin-left:169.94pt;mso-position-horizontal-relative:page;mso-wrap-distance-left:0;mso-wrap-distance-right:0;position:absolute;z-index:-251618304" coordorigin="3399,419" coordsize="7651,0" path="m3399,419l11049,419e" filled="f" stroked="t" strokecolor="#013e96" strokeweight="0.48pt">
            <v:stroke dashstyle="solid"/>
            <v:path arrowok="t"/>
            <w10:wrap type="topAndBottom"/>
          </v:shape>
        </w:pict>
      </w:r>
      <w:r>
        <w:t xml:space="preserve">图表 </w:t>
      </w:r>
      <w:r>
        <w:rPr>
          <w:rFonts w:ascii="Arial" w:eastAsia="Arial"/>
        </w:rPr>
        <w:t>7</w:t>
      </w:r>
      <w:r>
        <w:t>：</w:t>
      </w:r>
      <w:r>
        <w:rPr>
          <w:rFonts w:ascii="Arial" w:eastAsia="Arial"/>
        </w:rPr>
        <w:t xml:space="preserve">2022 </w:t>
      </w:r>
      <w:r>
        <w:t>年各国人均面包、糕点、蛋糕消费量对比</w:t>
      </w:r>
    </w:p>
    <w:p>
      <w:pPr>
        <w:spacing w:before="102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70</w:t>
      </w:r>
    </w:p>
    <w:p>
      <w:pPr>
        <w:spacing w:before="61"/>
        <w:ind w:left="2875" w:right="0" w:firstLine="0"/>
        <w:jc w:val="left"/>
        <w:rPr>
          <w:sz w:val="14"/>
        </w:rPr>
      </w:pPr>
      <w:r>
        <w:pict>
          <v:group id="_x0000_s1108" style="width:331.2pt;height:85.2pt;margin-top:-4.95pt;margin-left:201.23pt;mso-position-horizontal-relative:page;position:absolute;z-index:251700224" coordorigin="4025,-99" coordsize="6624,1704">
            <v:line id="_x0000_s1109" style="position:absolute" from="4286,1584" to="4519,1584" stroked="t" strokecolor="#5b9bd4" strokeweight="1.05pt">
              <v:stroke dashstyle="solid"/>
            </v:line>
            <v:rect id="_x0000_s1110" style="width:233;height:218;left:4579;position:absolute;top:1377" filled="t" fillcolor="#ec7c30" stroked="f">
              <v:fill type="solid"/>
            </v:rect>
            <v:rect id="_x0000_s1111" style="width:231;height:727;left:4874;position:absolute;top:868" filled="t" fillcolor="#5b9bd4" stroked="f">
              <v:fill type="solid"/>
            </v:rect>
            <v:rect id="_x0000_s1112" style="width:231;height:403;left:5167;position:absolute;top:1192" filled="t" fillcolor="#ffc000" stroked="f">
              <v:fill type="solid"/>
            </v:rect>
            <v:rect id="_x0000_s1113" style="width:231;height:1399;left:5460;position:absolute;top:196" filled="t" fillcolor="#4471c4" stroked="f">
              <v:fill type="solid"/>
            </v:rect>
            <v:rect id="_x0000_s1114" style="width:231;height:1125;left:5752;position:absolute;top:469" filled="t" fillcolor="#6fac46" stroked="f">
              <v:fill type="solid"/>
            </v:rect>
            <v:line id="_x0000_s1115" style="position:absolute" from="6490,1582" to="6720,1582" stroked="t" strokecolor="#5b9bd4" strokeweight="1.29pt">
              <v:stroke dashstyle="solid"/>
            </v:line>
            <v:line id="_x0000_s1116" style="position:absolute" from="6782,1540" to="7013,1540" stroked="t" strokecolor="#ec7c30" strokeweight="5.49pt">
              <v:stroke dashstyle="solid"/>
            </v:line>
            <v:rect id="_x0000_s1117" style="width:231;height:170;left:7075;position:absolute;top:1425" filled="t" fillcolor="#5b9bd4" stroked="f">
              <v:fill type="solid"/>
            </v:rect>
            <v:rect id="_x0000_s1118" style="width:231;height:177;left:7368;position:absolute;top:1417" filled="t" fillcolor="#ffc000" stroked="f">
              <v:fill type="solid"/>
            </v:rect>
            <v:line id="_x0000_s1119" style="position:absolute" from="7661,1533" to="7891,1533" stroked="t" strokecolor="#4471c4" strokeweight="6.21pt">
              <v:stroke dashstyle="solid"/>
            </v:line>
            <v:line id="_x0000_s1120" style="position:absolute" from="7954,1534" to="8184,1534" stroked="t" strokecolor="#6fac46" strokeweight="6.09pt">
              <v:stroke dashstyle="solid"/>
            </v:line>
            <v:line id="_x0000_s1121" style="position:absolute" from="8690,1577" to="8921,1577" stroked="t" strokecolor="#5b9bd4" strokeweight="1.77pt">
              <v:stroke dashstyle="solid"/>
            </v:line>
            <v:rect id="_x0000_s1122" style="width:231;height:264;left:8983;position:absolute;top:1331" filled="t" fillcolor="#ec7c30" stroked="f">
              <v:fill type="solid"/>
            </v:rect>
            <v:line id="_x0000_s1123" style="position:absolute" from="9276,1573" to="9506,1573" stroked="t" strokecolor="#5b9bd4" strokeweight="2.13pt">
              <v:stroke dashstyle="solid"/>
            </v:line>
            <v:rect id="_x0000_s1124" style="width:231;height:149;left:9568;position:absolute;top:1446" filled="t" fillcolor="#ffc000" stroked="f">
              <v:fill type="solid"/>
            </v:rect>
            <v:line id="_x0000_s1125" style="position:absolute" from="9862,1548" to="10092,1548" stroked="t" strokecolor="#4471c4" strokeweight="4.65pt">
              <v:stroke dashstyle="solid"/>
            </v:line>
            <v:line id="_x0000_s1126" style="position:absolute" from="10154,1537" to="10385,1537" stroked="t" strokecolor="#6fac46" strokeweight="5.73pt">
              <v:stroke dashstyle="solid"/>
            </v:line>
            <v:shape id="_x0000_s1127" style="width:41;height:1687;left:4034;position:absolute;top:-92" coordorigin="4035,-91" coordsize="41,1687" path="m4035,1595l4035,-91m4035,1595l4075,1595m4035,1353l4075,1353m4035,1113l4075,1113m4035,873l4075,873m4035,631l4075,631m4035,391l4075,391m4035,151l4075,151m4035,-91l4075,-91e" filled="f" stroked="t" strokecolor="#e7e6e6" strokeweight="0.75pt">
              <v:stroke dashstyle="solid"/>
              <v:path arrowok="t"/>
            </v:shape>
            <v:shape id="_x0000_s1128" style="width:6604;height:41;left:4034;position:absolute;top:1554" coordorigin="4035,1555" coordsize="6604,41" path="m4035,1595l10639,1595m4035,1555l4035,1595m6235,1555l6235,1595m8438,1555l8438,1595m10639,1555l10639,1595e" filled="f" stroked="t" strokecolor="#e7e6e6" strokeweight="1pt">
              <v:stroke dashstyle="solid"/>
              <v:path arrowok="t"/>
            </v:shape>
          </v:group>
        </w:pict>
      </w:r>
      <w:r>
        <w:rPr>
          <w:color w:val="585858"/>
          <w:sz w:val="14"/>
        </w:rPr>
        <w:t>60</w:t>
      </w:r>
    </w:p>
    <w:p>
      <w:pPr>
        <w:spacing w:before="62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50</w:t>
      </w:r>
    </w:p>
    <w:p>
      <w:pPr>
        <w:spacing w:before="62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40</w:t>
      </w:r>
    </w:p>
    <w:p>
      <w:pPr>
        <w:spacing w:before="61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30</w:t>
      </w:r>
    </w:p>
    <w:p>
      <w:pPr>
        <w:spacing w:before="62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20</w:t>
      </w:r>
    </w:p>
    <w:p>
      <w:pPr>
        <w:spacing w:before="61"/>
        <w:ind w:left="2875" w:right="0" w:firstLine="0"/>
        <w:jc w:val="left"/>
        <w:rPr>
          <w:sz w:val="14"/>
        </w:rPr>
      </w:pPr>
      <w:r>
        <w:rPr>
          <w:color w:val="585858"/>
          <w:sz w:val="14"/>
        </w:rPr>
        <w:t>10</w:t>
      </w:r>
    </w:p>
    <w:p>
      <w:pPr>
        <w:spacing w:before="62" w:line="176" w:lineRule="exact"/>
        <w:ind w:left="2945" w:right="0" w:firstLine="0"/>
        <w:jc w:val="left"/>
        <w:rPr>
          <w:sz w:val="14"/>
        </w:rPr>
      </w:pPr>
      <w:r>
        <w:rPr>
          <w:color w:val="585858"/>
          <w:w w:val="99"/>
          <w:sz w:val="14"/>
        </w:rPr>
        <w:t>0</w:t>
      </w:r>
    </w:p>
    <w:p>
      <w:pPr>
        <w:tabs>
          <w:tab w:val="left" w:pos="5761"/>
          <w:tab w:val="left" w:pos="7893"/>
        </w:tabs>
        <w:spacing w:before="0" w:line="176" w:lineRule="exact"/>
        <w:ind w:left="3560" w:right="0" w:firstLine="0"/>
        <w:jc w:val="left"/>
        <w:rPr>
          <w:sz w:val="14"/>
        </w:rPr>
      </w:pPr>
      <w:r>
        <w:rPr>
          <w:color w:val="585858"/>
          <w:sz w:val="14"/>
        </w:rPr>
        <w:t>人均面包消费量(kg/人)</w:t>
        <w:tab/>
        <w:t>人均蛋糕消费量(kg/人)</w:t>
        <w:tab/>
        <w:t>人均糕点消费量（kg/人）</w:t>
      </w:r>
    </w:p>
    <w:p>
      <w:pPr>
        <w:pStyle w:val="BodyText"/>
        <w:spacing w:before="4"/>
        <w:rPr>
          <w:sz w:val="13"/>
        </w:rPr>
      </w:pPr>
    </w:p>
    <w:p>
      <w:pPr>
        <w:spacing w:before="0"/>
        <w:ind w:left="5124" w:right="0" w:firstLine="0"/>
        <w:jc w:val="left"/>
        <w:rPr>
          <w:sz w:val="14"/>
        </w:rPr>
      </w:pPr>
      <w:r>
        <w:pict>
          <v:rect id="_x0000_s1129" style="width:3.15pt;height:3.15pt;margin-top:2.79pt;margin-left:293.8pt;mso-position-horizontal-relative:page;position:absolute;z-index:251701248" filled="t" fillcolor="#5b9bd4" stroked="f">
            <v:fill type="solid"/>
          </v:rect>
        </w:pict>
      </w:r>
      <w:r>
        <w:pict>
          <v:rect id="_x0000_s1130" style="width:3.15pt;height:3.15pt;margin-top:2.79pt;margin-left:317.58pt;mso-position-horizontal-relative:page;position:absolute;z-index:-251624448" filled="t" fillcolor="#ec7c30" stroked="f">
            <v:fill type="solid"/>
          </v:rect>
        </w:pict>
      </w:r>
      <w:r>
        <w:pict>
          <v:rect id="_x0000_s1131" style="width:3.15pt;height:3.15pt;margin-top:2.79pt;margin-left:341.36pt;mso-position-horizontal-relative:page;position:absolute;z-index:-251623424" filled="t" fillcolor="#5b9bd4" stroked="f">
            <v:fill type="solid"/>
          </v:rect>
        </w:pict>
      </w:r>
      <w:r>
        <w:pict>
          <v:rect id="_x0000_s1132" style="width:3.15pt;height:3.15pt;margin-top:2.79pt;margin-left:365.14pt;mso-position-horizontal-relative:page;position:absolute;z-index:-251622400" filled="t" fillcolor="#ffc000" stroked="f">
            <v:fill type="solid"/>
          </v:rect>
        </w:pict>
      </w:r>
      <w:r>
        <w:pict>
          <v:rect id="_x0000_s1133" style="width:3.15pt;height:3.15pt;margin-top:2.79pt;margin-left:388.92pt;mso-position-horizontal-relative:page;position:absolute;z-index:-251621376" filled="t" fillcolor="#4471c4" stroked="f">
            <v:fill type="solid"/>
          </v:rect>
        </w:pict>
      </w:r>
      <w:r>
        <w:pict>
          <v:rect id="_x0000_s1134" style="width:3.15pt;height:3.15pt;margin-top:2.79pt;margin-left:412.7pt;mso-position-horizontal-relative:page;position:absolute;z-index:-251620352" filled="t" fillcolor="#6fac46" stroked="f">
            <v:fill type="solid"/>
          </v:rect>
        </w:pict>
      </w:r>
      <w:r>
        <w:rPr>
          <w:color w:val="585858"/>
          <w:sz w:val="14"/>
        </w:rPr>
        <w:t>中国 日本 英国 美国 德国 法国</w:t>
      </w:r>
    </w:p>
    <w:p>
      <w:pPr>
        <w:pStyle w:val="BodyText"/>
        <w:spacing w:before="5"/>
        <w:rPr>
          <w:sz w:val="9"/>
        </w:rPr>
        <w:sectPr>
          <w:headerReference w:type="default" r:id="rId23"/>
          <w:footerReference w:type="default" r:id="rId24"/>
          <w:type w:val="continuous"/>
          <w:pgSz w:w="11910" w:h="16840"/>
          <w:pgMar w:top="1360" w:right="520" w:bottom="660" w:left="840" w:header="708" w:footer="708"/>
          <w:pgNumType w:start="8"/>
          <w:cols w:space="708"/>
        </w:sectPr>
      </w:pPr>
      <w:r>
        <w:pict>
          <v:shape id="_x0000_s1135" style="width:382.55pt;height:0.1pt;margin-top:8.24pt;margin-left:169.94pt;mso-position-horizontal-relative:page;mso-wrap-distance-left:0;mso-wrap-distance-right:0;position:absolute;z-index:-251617280" coordorigin="3399,165" coordsize="7651,0" path="m3399,165l11049,165e" filled="f" stroked="t" strokecolor="#013e96" strokeweight="0.48pt">
            <v:stroke dashstyle="solid"/>
            <v:path arrowok="t"/>
            <w10:wrap type="topAndBottom"/>
          </v:shape>
        </w:pict>
      </w:r>
    </w:p>
    <w:p>
      <w:pPr>
        <w:spacing w:before="0"/>
        <w:ind w:left="2666" w:right="0" w:firstLine="0"/>
        <w:jc w:val="left"/>
        <w:rPr>
          <w:sz w:val="15"/>
        </w:rPr>
      </w:pPr>
      <w:r>
        <w:t xml:space="preserve">数据来源：Euromonitor， </w:t>
      </w:r>
    </w:p>
    <w:p>
      <w:pPr>
        <w:spacing w:after="0"/>
        <w:jc w:val="left"/>
        <w:rPr>
          <w:sz w:val="15"/>
        </w:rPr>
        <w:sectPr>
          <w:headerReference w:type="default" r:id="rId25"/>
          <w:footerReference w:type="default" r:id="rId26"/>
          <w:type w:val="nextPage"/>
          <w:pgSz w:w="11910" w:h="16840"/>
          <w:pgMar w:top="1360" w:right="520" w:bottom="660" w:left="840" w:header="708" w:footer="708"/>
          <w:pgNumType w:start="9"/>
          <w:cols w:space="708"/>
          <w:titlePg w:val="0"/>
        </w:sectPr>
      </w:pPr>
    </w:p>
    <w:p>
      <w:pPr>
        <w:pStyle w:val="BodyText"/>
        <w:spacing w:before="92" w:line="319" w:lineRule="auto"/>
        <w:ind w:left="2532" w:right="320" w:firstLine="423"/>
        <w:jc w:val="both"/>
      </w:pPr>
      <w:r>
        <w:pict>
          <v:shape id="_x0000_s1136" type="#_x0000_t202" style="width:60pt;height:12pt;margin-top:36.85pt;margin-left:362.83pt;mso-position-horizontal-relative:page;mso-position-vertical-relative:page;position:absolute;z-index:-251613184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  <w:r>
        <w:rPr>
          <w:b/>
          <w:spacing w:val="-3"/>
        </w:rPr>
        <w:t>面包主要作为主食类，我国面包消费量远低于欧美主要国家和日本。</w:t>
      </w:r>
      <w:r>
        <w:t>2022</w:t>
      </w:r>
      <w:r>
        <w:rPr>
          <w:spacing w:val="-2"/>
        </w:rPr>
        <w:t xml:space="preserve"> 年德</w:t>
      </w:r>
      <w:r>
        <w:rPr>
          <w:spacing w:val="7"/>
        </w:rPr>
        <w:t xml:space="preserve">国人均面包消费量为 </w:t>
      </w:r>
      <w:r>
        <w:t>58.05kg，德国的面包和中国的米面类似，作为一日三餐的主食，德国也被认证为世界上面包种类最多的国家；法棍是法国最主要的主食，也是</w:t>
      </w:r>
      <w:r>
        <w:rPr>
          <w:spacing w:val="-3"/>
        </w:rPr>
        <w:t>法国国内消费最多的面包类型；面包也是日本的第二大主食，</w:t>
      </w:r>
      <w:r>
        <w:t>2022</w:t>
      </w:r>
      <w:r>
        <w:rPr>
          <w:spacing w:val="1"/>
        </w:rPr>
        <w:t xml:space="preserve"> 年人均面包消费</w:t>
      </w:r>
      <w:r>
        <w:rPr>
          <w:spacing w:val="11"/>
        </w:rPr>
        <w:t xml:space="preserve">量为 </w:t>
      </w:r>
      <w:r>
        <w:t>9.09kg</w:t>
      </w:r>
      <w:r>
        <w:rPr>
          <w:spacing w:val="-3"/>
        </w:rPr>
        <w:t>；因此面包作为欧美主要国家和日本的主食，消费量较高。而目前我国</w:t>
      </w:r>
      <w:r>
        <w:rPr>
          <w:spacing w:val="-4"/>
        </w:rPr>
        <w:t xml:space="preserve">面包只在早餐的渗透率较高，作为主食的整体渗透率较低，因此我国 </w:t>
      </w:r>
      <w:r>
        <w:t>2022</w:t>
      </w:r>
      <w:r>
        <w:rPr>
          <w:spacing w:val="-8"/>
        </w:rPr>
        <w:t xml:space="preserve"> 年人均面</w:t>
      </w:r>
      <w:r>
        <w:rPr>
          <w:spacing w:val="-12"/>
        </w:rPr>
        <w:t xml:space="preserve">包消费量仅为 </w:t>
      </w:r>
      <w:r>
        <w:t>0.89kg</w:t>
      </w:r>
      <w:r>
        <w:rPr>
          <w:spacing w:val="-3"/>
        </w:rPr>
        <w:t>，远低于欧美主要国家和日本。</w:t>
      </w:r>
    </w:p>
    <w:p>
      <w:pPr>
        <w:pStyle w:val="BodyText"/>
        <w:spacing w:before="162" w:line="319" w:lineRule="auto"/>
        <w:ind w:left="2532" w:right="325" w:firstLine="423"/>
        <w:jc w:val="both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3924934</wp:posOffset>
            </wp:positionH>
            <wp:positionV relativeFrom="paragraph">
              <wp:posOffset>369570</wp:posOffset>
            </wp:positionV>
            <wp:extent cx="63500" cy="9525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"/>
        </w:rPr>
        <w:t>我国蛋糕消费在烘焙食品中占比最高，未来还有较大空间。</w:t>
      </w:r>
      <w:r>
        <w:t>2022</w:t>
      </w:r>
      <w:r>
        <w:rPr>
          <w:spacing w:val="-3"/>
        </w:rPr>
        <w:t xml:space="preserve"> 年我国蛋糕消</w:t>
      </w:r>
      <w:r>
        <w:rPr>
          <w:spacing w:val="-5"/>
        </w:rPr>
        <w:t xml:space="preserve">费在烘焙食品中占比达到 </w:t>
      </w:r>
      <w:r>
        <w:t>42.3</w:t>
      </w:r>
      <w:r>
        <w:rPr>
          <w:spacing w:val="-5"/>
        </w:rPr>
        <w:t xml:space="preserve">，人均消费量为 </w:t>
      </w:r>
      <w:r>
        <w:t>1.08kg</w:t>
      </w:r>
      <w:r>
        <w:rPr>
          <w:spacing w:val="-5"/>
        </w:rPr>
        <w:t xml:space="preserve">，低于美国和日本的 </w:t>
      </w:r>
      <w:r>
        <w:rPr>
          <w:spacing w:val="-20"/>
        </w:rPr>
        <w:t xml:space="preserve">7.39kg </w:t>
      </w:r>
      <w:r>
        <w:rPr>
          <w:spacing w:val="16"/>
        </w:rPr>
        <w:t xml:space="preserve">和 </w:t>
      </w:r>
      <w:r>
        <w:t>4.58kg</w:t>
      </w:r>
      <w:r>
        <w:rPr>
          <w:spacing w:val="-3"/>
        </w:rPr>
        <w:t>。蛋糕零食属性较强，过去在我国主要作为生日蛋糕、节日伴手礼。近年来消费场景扩大，逐步拓展到</w:t>
      </w:r>
      <w:r>
        <w:rPr>
          <w:color w:val="292222"/>
          <w:spacing w:val="10"/>
        </w:rPr>
        <w:t>下午茶、会友、悦己等更为高频的消费，小份化的</w:t>
      </w:r>
      <w:r>
        <w:rPr>
          <w:color w:val="292222"/>
          <w:spacing w:val="12"/>
        </w:rPr>
        <w:t>蛋糕在蛋糕消费中的占比提高，根据美团发布的《</w:t>
      </w:r>
      <w:r>
        <w:rPr>
          <w:rFonts w:ascii="Cambria" w:eastAsia="Cambria" w:hAnsi="Cambria"/>
          <w:color w:val="292222"/>
          <w:spacing w:val="10"/>
        </w:rPr>
        <w:t>2022</w:t>
      </w:r>
      <w:r>
        <w:rPr>
          <w:rFonts w:ascii="Cambria" w:eastAsia="Cambria" w:hAnsi="Cambria"/>
          <w:color w:val="292222"/>
          <w:spacing w:val="18"/>
        </w:rPr>
        <w:t xml:space="preserve">  </w:t>
      </w:r>
      <w:r>
        <w:rPr>
          <w:color w:val="292222"/>
          <w:spacing w:val="-2"/>
        </w:rPr>
        <w:t>烘焙品类发展报告》，</w:t>
      </w:r>
    </w:p>
    <w:p>
      <w:pPr>
        <w:pStyle w:val="BodyText"/>
        <w:spacing w:before="7"/>
        <w:ind w:left="2532"/>
        <w:jc w:val="both"/>
      </w:pPr>
      <w:r>
        <w:rPr>
          <w:rFonts w:ascii="Cambria" w:eastAsia="Cambria"/>
          <w:color w:val="292222"/>
          <w:spacing w:val="10"/>
        </w:rPr>
        <w:t>2021</w:t>
      </w:r>
      <w:r>
        <w:rPr>
          <w:rFonts w:ascii="Cambria" w:eastAsia="Cambria"/>
          <w:color w:val="292222"/>
          <w:spacing w:val="11"/>
        </w:rPr>
        <w:t xml:space="preserve">  </w:t>
      </w:r>
      <w:r>
        <w:rPr>
          <w:color w:val="292222"/>
          <w:spacing w:val="11"/>
        </w:rPr>
        <w:t>年西式甜点订单量中，</w:t>
      </w:r>
      <w:r>
        <w:rPr>
          <w:rFonts w:ascii="Cambria" w:eastAsia="Cambria"/>
          <w:color w:val="292222"/>
          <w:spacing w:val="11"/>
        </w:rPr>
        <w:t>20-40</w:t>
      </w:r>
      <w:r>
        <w:rPr>
          <w:rFonts w:ascii="Cambria" w:eastAsia="Cambria"/>
          <w:color w:val="292222"/>
          <w:spacing w:val="67"/>
        </w:rPr>
        <w:t xml:space="preserve"> </w:t>
      </w:r>
      <w:r>
        <w:rPr>
          <w:color w:val="292222"/>
          <w:spacing w:val="7"/>
        </w:rPr>
        <w:t xml:space="preserve">元的订单占比超过 </w:t>
      </w:r>
      <w:r>
        <w:rPr>
          <w:rFonts w:ascii="Cambria" w:eastAsia="Cambria"/>
          <w:color w:val="292222"/>
          <w:spacing w:val="14"/>
        </w:rPr>
        <w:t>45%</w:t>
      </w:r>
      <w:r>
        <w:rPr>
          <w:color w:val="292222"/>
          <w:spacing w:val="10"/>
        </w:rPr>
        <w:t>。根据欧睿咨询，</w:t>
      </w:r>
    </w:p>
    <w:p>
      <w:pPr>
        <w:pStyle w:val="BodyText"/>
        <w:spacing w:before="88" w:line="319" w:lineRule="auto"/>
        <w:ind w:left="2532" w:right="321"/>
        <w:jc w:val="both"/>
      </w:pPr>
      <w:r>
        <w:rPr>
          <w:color w:val="292222"/>
        </w:rPr>
        <w:t>我国蛋糕消费规模从 2018 年的 886 亿元增长到 2023 年 1066 亿元。</w:t>
      </w:r>
      <w:r>
        <w:t>我们认为随着消费者对蛋糕作为饭后甜点、庆祝特殊场合和节日、下午茶等需求的增加，蛋糕消费在我国还有较大的发展空间。</w:t>
      </w:r>
    </w:p>
    <w:p>
      <w:pPr>
        <w:spacing w:before="160" w:line="319" w:lineRule="auto"/>
        <w:ind w:left="2532" w:right="320" w:firstLine="423"/>
        <w:jc w:val="both"/>
        <w:rPr>
          <w:sz w:val="21"/>
        </w:rPr>
      </w:pPr>
      <w:r>
        <w:rPr>
          <w:b/>
          <w:sz w:val="21"/>
        </w:rPr>
        <w:t>日本已出现国民性糕点，应用场景比较为广泛，糕点消费量远高于欧美等主要国家和中国。</w:t>
      </w:r>
      <w:r>
        <w:rPr>
          <w:spacing w:val="-6"/>
          <w:sz w:val="21"/>
        </w:rPr>
        <w:t xml:space="preserve">日本糕点消费较高 </w:t>
      </w:r>
      <w:r>
        <w:rPr>
          <w:sz w:val="21"/>
        </w:rPr>
        <w:t>2022</w:t>
      </w:r>
      <w:r>
        <w:rPr>
          <w:spacing w:val="-8"/>
          <w:sz w:val="21"/>
        </w:rPr>
        <w:t xml:space="preserve"> 年日本的糕点消费量为 </w:t>
      </w:r>
      <w:r>
        <w:rPr>
          <w:sz w:val="21"/>
        </w:rPr>
        <w:t>10.93kg</w:t>
      </w:r>
      <w:r>
        <w:rPr>
          <w:spacing w:val="-3"/>
          <w:sz w:val="21"/>
        </w:rPr>
        <w:t>，远高于中国和欧美等国家，日本糕点属于主食和烘焙类的结合，红豆包、和果子已经成为了日</w:t>
      </w:r>
      <w:r>
        <w:rPr>
          <w:spacing w:val="-2"/>
          <w:sz w:val="21"/>
        </w:rPr>
        <w:t>本的国民糕点。红豆包不仅作为日常食用，也多出现在节庆、红白喜事等场景，同</w:t>
      </w:r>
      <w:r>
        <w:rPr>
          <w:spacing w:val="-4"/>
          <w:sz w:val="21"/>
        </w:rPr>
        <w:t xml:space="preserve">时也成为了日本伴手礼文化中的重要组成部分，每年的 </w:t>
      </w:r>
      <w:r>
        <w:rPr>
          <w:sz w:val="21"/>
        </w:rPr>
        <w:t>4</w:t>
      </w:r>
      <w:r>
        <w:rPr>
          <w:spacing w:val="-9"/>
          <w:sz w:val="21"/>
        </w:rPr>
        <w:t xml:space="preserve"> 月 </w:t>
      </w:r>
      <w:r>
        <w:rPr>
          <w:sz w:val="21"/>
        </w:rPr>
        <w:t>4</w:t>
      </w:r>
      <w:r>
        <w:rPr>
          <w:spacing w:val="-4"/>
          <w:sz w:val="21"/>
        </w:rPr>
        <w:t xml:space="preserve"> 日被定为日本的红豆</w:t>
      </w:r>
    </w:p>
    <w:p>
      <w:pPr>
        <w:pStyle w:val="BodyText"/>
        <w:spacing w:before="4" w:line="319" w:lineRule="auto"/>
        <w:ind w:left="2532" w:right="321"/>
        <w:jc w:val="both"/>
      </w:pPr>
      <w:r>
        <w:rPr>
          <w:spacing w:val="-3"/>
        </w:rPr>
        <w:t>包日。和果子中的卡斯特拉</w:t>
      </w:r>
      <w:r>
        <w:t>（</w:t>
      </w:r>
      <w:r>
        <w:rPr>
          <w:spacing w:val="-3"/>
        </w:rPr>
        <w:t>长崎蛋糕）</w:t>
      </w:r>
      <w:r>
        <w:rPr>
          <w:spacing w:val="-9"/>
        </w:rPr>
        <w:t xml:space="preserve">最初于 </w:t>
      </w:r>
      <w:r>
        <w:t>16</w:t>
      </w:r>
      <w:r>
        <w:rPr>
          <w:spacing w:val="-7"/>
        </w:rPr>
        <w:t xml:space="preserve"> 世纪由葡萄牙传教士传入，经过几百年的发展，目前经常作为结婚、婴儿出生、恭喜病愈、恭贺拜访、表达感谢等</w:t>
      </w:r>
      <w:r>
        <w:rPr>
          <w:spacing w:val="-5"/>
        </w:rPr>
        <w:t>多种场合的伴手礼。</w:t>
      </w:r>
    </w:p>
    <w:p>
      <w:pPr>
        <w:pStyle w:val="BodyText"/>
        <w:spacing w:before="160" w:line="319" w:lineRule="auto"/>
        <w:ind w:left="2532" w:right="320" w:firstLine="423"/>
        <w:jc w:val="both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3656710</wp:posOffset>
            </wp:positionH>
            <wp:positionV relativeFrom="paragraph">
              <wp:posOffset>1278127</wp:posOffset>
            </wp:positionV>
            <wp:extent cx="63500" cy="95250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我国糕点规模提升。</w:t>
      </w:r>
      <w:r>
        <w:t>过去我国的中式糕点多作为节令食品存在，南北差异化明</w:t>
      </w:r>
      <w:r>
        <w:rPr>
          <w:spacing w:val="3"/>
          <w:w w:val="100"/>
        </w:rPr>
        <w:t>显。</w:t>
      </w:r>
      <w:r>
        <w:rPr>
          <w:w w:val="100"/>
        </w:rPr>
        <w:t>2</w:t>
      </w:r>
      <w:r>
        <w:rPr>
          <w:spacing w:val="-3"/>
          <w:w w:val="100"/>
        </w:rPr>
        <w:t>0</w:t>
      </w:r>
      <w:r>
        <w:rPr>
          <w:w w:val="100"/>
        </w:rPr>
        <w:t>20</w:t>
      </w:r>
      <w:r>
        <w:rPr>
          <w:spacing w:val="-2"/>
        </w:rPr>
        <w:t xml:space="preserve"> </w:t>
      </w:r>
      <w:r>
        <w:rPr>
          <w:spacing w:val="-9"/>
          <w:w w:val="100"/>
        </w:rPr>
        <w:t xml:space="preserve">年后，“新中式烘焙”品牌以西点中做和零食化为主要产品创新方式，在 </w:t>
      </w:r>
      <w:r>
        <w:rPr>
          <w:spacing w:val="-9"/>
        </w:rPr>
        <w:t>“网红经济”和资本助推下，发展迅速，虽然后面很多品牌面临产品同质化严重、</w:t>
      </w:r>
      <w:r>
        <w:rPr>
          <w:spacing w:val="-3"/>
        </w:rPr>
        <w:t>竞争激烈、成本等问题，但是也出现了泸溪河这类持续增长的品牌，根据红餐大数</w:t>
      </w:r>
      <w:r>
        <w:rPr>
          <w:spacing w:val="-10"/>
        </w:rPr>
        <w:t xml:space="preserve">据显示，截至 </w:t>
      </w:r>
      <w:r>
        <w:t>2023</w:t>
      </w:r>
      <w:r>
        <w:rPr>
          <w:spacing w:val="-33"/>
        </w:rPr>
        <w:t xml:space="preserve"> 年 </w:t>
      </w:r>
      <w:r>
        <w:t>10</w:t>
      </w:r>
      <w:r>
        <w:rPr>
          <w:spacing w:val="-12"/>
        </w:rPr>
        <w:t xml:space="preserve"> 月，泸溪河全国门店数已超 </w:t>
      </w:r>
      <w:r>
        <w:t>370</w:t>
      </w:r>
      <w:r>
        <w:rPr>
          <w:spacing w:val="-24"/>
        </w:rPr>
        <w:t xml:space="preserve"> 家</w:t>
      </w:r>
      <w:r>
        <w:t>，2019</w:t>
      </w:r>
      <w:r>
        <w:rPr>
          <w:spacing w:val="-26"/>
        </w:rPr>
        <w:t xml:space="preserve"> 年</w:t>
      </w:r>
      <w:r>
        <w:t>-2023</w:t>
      </w:r>
      <w:r>
        <w:rPr>
          <w:spacing w:val="-33"/>
        </w:rPr>
        <w:t xml:space="preserve"> 年 </w:t>
      </w:r>
      <w:r>
        <w:t>10</w:t>
      </w:r>
      <w:r>
        <w:rPr>
          <w:spacing w:val="-24"/>
        </w:rPr>
        <w:t xml:space="preserve"> 月</w:t>
      </w:r>
      <w:r>
        <w:rPr>
          <w:spacing w:val="-10"/>
        </w:rPr>
        <w:t xml:space="preserve">的年复合增长率达到了 </w:t>
      </w:r>
      <w:r>
        <w:t>45</w:t>
      </w:r>
      <w:r>
        <w:rPr>
          <w:spacing w:val="-5"/>
        </w:rPr>
        <w:t xml:space="preserve">。另外，欧美国家的 </w:t>
      </w:r>
      <w:r>
        <w:t>Pastries</w:t>
      </w:r>
      <w:r>
        <w:rPr>
          <w:spacing w:val="-15"/>
        </w:rPr>
        <w:t xml:space="preserve"> 如牛角包、肉桂卷等在我</w:t>
      </w:r>
      <w:r>
        <w:rPr>
          <w:spacing w:val="-4"/>
        </w:rPr>
        <w:t xml:space="preserve">国的消费也逐步兴起。因此近年来随着我国中式糕点和西式 </w:t>
      </w:r>
      <w:r>
        <w:t>Pastries</w:t>
      </w:r>
      <w:r>
        <w:rPr>
          <w:spacing w:val="-6"/>
        </w:rPr>
        <w:t xml:space="preserve"> 需求的不断提升，糕点消费规模持续提升，根据欧睿咨询，我国糕点消费规模从 </w:t>
      </w:r>
      <w:r>
        <w:t>2018</w:t>
      </w:r>
      <w:r>
        <w:rPr>
          <w:spacing w:val="-22"/>
        </w:rPr>
        <w:t xml:space="preserve"> 年的 </w:t>
      </w:r>
      <w:r>
        <w:t>806</w:t>
      </w:r>
      <w:r>
        <w:rPr>
          <w:spacing w:val="-20"/>
        </w:rPr>
        <w:t xml:space="preserve"> 亿</w:t>
      </w:r>
    </w:p>
    <w:p>
      <w:pPr>
        <w:pStyle w:val="BodyText"/>
        <w:spacing w:before="9"/>
        <w:ind w:left="2532"/>
        <w:jc w:val="both"/>
      </w:pPr>
      <w:r>
        <w:t>元增长到 2023 年 996 亿元。</w:t>
      </w:r>
    </w:p>
    <w:p>
      <w:pPr>
        <w:spacing w:after="0"/>
        <w:jc w:val="both"/>
        <w:sectPr>
          <w:headerReference w:type="default" r:id="rId27"/>
          <w:footerReference w:type="default" r:id="rId28"/>
          <w:pgSz w:w="11910" w:h="16840"/>
          <w:pgMar w:top="1360" w:right="520" w:bottom="660" w:left="840" w:header="708" w:footer="708"/>
          <w:pgNumType w:start="10"/>
          <w:cols w:space="708"/>
        </w:sectPr>
      </w:pPr>
    </w:p>
    <w:p>
      <w:pPr>
        <w:pStyle w:val="Heading2"/>
        <w:spacing w:before="112"/>
        <w:ind w:left="0" w:right="405"/>
        <w:jc w:val="center"/>
      </w:pPr>
      <w:r>
        <w:pict>
          <v:shape id="_x0000_s1137" style="width:382.55pt;height:0.1pt;margin-top:22.48pt;margin-left:169.94pt;mso-position-horizontal-relative:page;mso-wrap-distance-left:0;mso-wrap-distance-right:0;position:absolute;z-index:-251607040" coordorigin="3399,450" coordsize="7651,0" path="m3399,450l11049,450e" filled="f" stroked="t" strokecolor="#013e96" strokeweight="0.48pt">
            <v:stroke dashstyle="solid"/>
            <v:path arrowok="t"/>
            <w10:wrap type="topAndBottom"/>
          </v:shape>
        </w:pict>
      </w:r>
      <w:r>
        <w:t xml:space="preserve">图表 </w:t>
      </w:r>
      <w:r>
        <w:rPr>
          <w:rFonts w:ascii="Arial" w:eastAsia="Arial"/>
        </w:rPr>
        <w:t>8</w:t>
      </w:r>
      <w:r>
        <w:t>：</w:t>
      </w:r>
      <w:r>
        <w:rPr>
          <w:rFonts w:ascii="Arial" w:eastAsia="Arial"/>
        </w:rPr>
        <w:t xml:space="preserve">2018-2023 </w:t>
      </w:r>
      <w:r>
        <w:t>年中国蛋糕和糕点市场规模提升</w:t>
      </w:r>
    </w:p>
    <w:p>
      <w:pPr>
        <w:tabs>
          <w:tab w:val="left" w:pos="9185"/>
        </w:tabs>
        <w:spacing w:before="88"/>
        <w:ind w:left="3332" w:right="0" w:firstLine="0"/>
        <w:jc w:val="left"/>
        <w:rPr>
          <w:sz w:val="16"/>
        </w:rPr>
      </w:pPr>
      <w:r>
        <w:rPr>
          <w:color w:val="585858"/>
          <w:sz w:val="16"/>
        </w:rPr>
        <w:t>1100</w:t>
        <w:tab/>
      </w:r>
      <w:r>
        <w:rPr>
          <w:color w:val="585858"/>
          <w:spacing w:val="-1"/>
          <w:sz w:val="16"/>
        </w:rPr>
        <w:t xml:space="preserve">15 </w:t>
      </w:r>
      <w:r>
        <w:rPr>
          <w:color w:val="585858"/>
          <w:w w:val="100"/>
          <w:sz w:val="16"/>
        </w:rPr>
        <w:drawing>
          <wp:inline distT="0" distB="0" distL="0" distR="0">
            <wp:extent cx="47625" cy="73025"/>
            <wp:effectExtent l="0" t="0" r="0" b="0"/>
            <wp:docPr id="3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13"/>
        </w:rPr>
      </w:pPr>
    </w:p>
    <w:p>
      <w:pPr>
        <w:tabs>
          <w:tab w:val="left" w:pos="9185"/>
        </w:tabs>
        <w:spacing w:before="0"/>
        <w:ind w:left="3332" w:right="0" w:firstLine="0"/>
        <w:jc w:val="left"/>
        <w:rPr>
          <w:sz w:val="16"/>
        </w:rPr>
      </w:pPr>
      <w:r>
        <w:pict>
          <v:group id="_x0000_s1138" style="width:264.05pt;height:70.35pt;margin-top:-7.5pt;margin-left:230.87pt;mso-position-horizontal-relative:page;position:absolute;z-index:-251610112" coordorigin="4617,-150" coordsize="5281,1407">
            <v:rect id="_x0000_s1139" style="width:197;height:711;left:4833;position:absolute;top:538" filled="t" fillcolor="#5b9bd4" stroked="f">
              <v:fill type="solid"/>
            </v:rect>
            <v:rect id="_x0000_s1140" style="width:200;height:408;left:5083;position:absolute;top:841" filled="t" fillcolor="#a4a4a4" stroked="f">
              <v:fill type="solid"/>
            </v:rect>
            <v:rect id="_x0000_s1141" style="width:197;height:1011;left:5714;position:absolute;top:238" filled="t" fillcolor="#5b9bd4" stroked="f">
              <v:fill type="solid"/>
            </v:rect>
            <v:rect id="_x0000_s1142" style="width:197;height:740;left:5964;position:absolute;top:510" filled="t" fillcolor="#a4a4a4" stroked="f">
              <v:fill type="solid"/>
            </v:rect>
            <v:rect id="_x0000_s1143" style="width:200;height:1090;left:6592;position:absolute;top:159" filled="t" fillcolor="#5b9bd4" stroked="f">
              <v:fill type="solid"/>
            </v:rect>
            <v:rect id="_x0000_s1144" style="width:197;height:804;left:6844;position:absolute;top:445" filled="t" fillcolor="#a4a4a4" stroked="f">
              <v:fill type="solid"/>
            </v:rect>
            <v:rect id="_x0000_s1145" style="width:197;height:1337;left:7473;position:absolute;top:-88" filled="t" fillcolor="#5b9bd4" stroked="f">
              <v:fill type="solid"/>
            </v:rect>
            <v:rect id="_x0000_s1146" style="width:200;height:1006;left:7723;position:absolute;top:243" filled="t" fillcolor="#a4a4a4" stroked="f">
              <v:fill type="solid"/>
            </v:rect>
            <v:rect id="_x0000_s1147" style="width:197;height:1174;left:8354;position:absolute;top:75" filled="t" fillcolor="#5b9bd4" stroked="f">
              <v:fill type="solid"/>
            </v:rect>
            <v:rect id="_x0000_s1148" style="width:197;height:867;left:8604;position:absolute;top:382" filled="t" fillcolor="#a4a4a4" stroked="f">
              <v:fill type="solid"/>
            </v:rect>
            <v:rect id="_x0000_s1149" style="width:200;height:1400;left:9232;position:absolute;top:-150" filled="t" fillcolor="#5b9bd4" stroked="f">
              <v:fill type="solid"/>
            </v:rect>
            <v:rect id="_x0000_s1150" style="width:197;height:1131;left:9484;position:absolute;top:118" filled="t" fillcolor="#a4a4a4" stroked="f">
              <v:fill type="solid"/>
            </v:rect>
            <v:line id="_x0000_s1151" style="position:absolute" from="4617,1249" to="9898,1249" stroked="t" strokecolor="#d9d9d9" strokeweight="0.75pt">
              <v:stroke dashstyle="solid"/>
            </v:line>
            <v:shape id="_x0000_s1152" style="width:3521;height:987;left:5937;position:absolute;top:190" coordorigin="5937,190" coordsize="3521,987" path="m5937,190l6818,704,7697,364,8578,1176,9458,419e" filled="f" stroked="t" strokecolor="#ec7c30" strokeweight="2.25pt">
              <v:stroke dashstyle="solid"/>
              <v:path arrowok="t"/>
            </v:shape>
            <v:shape id="_x0000_s1153" style="width:3521;height:1114;left:5937;position:absolute;top:40" coordorigin="5937,40" coordsize="3521,1114" path="m5937,40l6818,724,7697,426,8578,1154,9458,301e" filled="f" stroked="t" strokecolor="#ffc000" strokeweight="2.2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1000</w:t>
        <w:tab/>
      </w:r>
      <w:r>
        <w:rPr>
          <w:color w:val="585858"/>
          <w:spacing w:val="-1"/>
          <w:sz w:val="16"/>
        </w:rPr>
        <w:t xml:space="preserve">10 </w:t>
      </w:r>
      <w:r>
        <w:rPr>
          <w:color w:val="585858"/>
          <w:w w:val="100"/>
          <w:sz w:val="16"/>
        </w:rPr>
        <w:drawing>
          <wp:inline distT="0" distB="0" distL="0" distR="0">
            <wp:extent cx="47625" cy="73025"/>
            <wp:effectExtent l="0" t="0" r="0" b="0"/>
            <wp:docPr id="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3"/>
        </w:rPr>
      </w:pPr>
    </w:p>
    <w:p>
      <w:pPr>
        <w:tabs>
          <w:tab w:val="left" w:pos="9185"/>
        </w:tabs>
        <w:spacing w:before="1"/>
        <w:ind w:left="3412" w:right="0" w:firstLine="0"/>
        <w:jc w:val="left"/>
        <w:rPr>
          <w:sz w:val="1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6416294</wp:posOffset>
            </wp:positionH>
            <wp:positionV relativeFrom="paragraph">
              <wp:posOffset>29210</wp:posOffset>
            </wp:positionV>
            <wp:extent cx="47625" cy="73025"/>
            <wp:effectExtent l="0" t="0" r="0" b="0"/>
            <wp:wrapNone/>
            <wp:docPr id="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6"/>
        </w:rPr>
        <w:t>900</w:t>
        <w:tab/>
        <w:t>5</w:t>
      </w:r>
    </w:p>
    <w:p>
      <w:pPr>
        <w:pStyle w:val="BodyText"/>
        <w:spacing w:before="10"/>
        <w:rPr>
          <w:sz w:val="13"/>
        </w:rPr>
      </w:pPr>
    </w:p>
    <w:p>
      <w:pPr>
        <w:tabs>
          <w:tab w:val="left" w:pos="9185"/>
        </w:tabs>
        <w:spacing w:before="0"/>
        <w:ind w:left="3412" w:right="0" w:firstLine="0"/>
        <w:jc w:val="left"/>
        <w:rPr>
          <w:sz w:val="1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6416294</wp:posOffset>
            </wp:positionH>
            <wp:positionV relativeFrom="paragraph">
              <wp:posOffset>28574</wp:posOffset>
            </wp:positionV>
            <wp:extent cx="47625" cy="73025"/>
            <wp:effectExtent l="0" t="0" r="0" b="0"/>
            <wp:wrapNone/>
            <wp:docPr id="4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6"/>
        </w:rPr>
        <w:t>800</w:t>
        <w:tab/>
        <w:t>0</w:t>
      </w:r>
    </w:p>
    <w:p>
      <w:pPr>
        <w:spacing w:after="0"/>
        <w:jc w:val="left"/>
        <w:rPr>
          <w:sz w:val="16"/>
        </w:rPr>
        <w:sectPr>
          <w:headerReference w:type="default" r:id="rId30"/>
          <w:footerReference w:type="default" r:id="rId31"/>
          <w:pgSz w:w="11910" w:h="16840"/>
          <w:pgMar w:top="1360" w:right="520" w:bottom="660" w:left="840" w:header="708" w:footer="708"/>
          <w:pgNumType w:start="11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spacing w:before="1"/>
        <w:ind w:left="0" w:right="0" w:firstLine="0"/>
        <w:jc w:val="right"/>
        <w:rPr>
          <w:sz w:val="16"/>
        </w:rPr>
      </w:pPr>
      <w:r>
        <w:rPr>
          <w:color w:val="585858"/>
          <w:sz w:val="16"/>
        </w:rPr>
        <w:t>700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3"/>
        <w:rPr>
          <w:sz w:val="11"/>
        </w:rPr>
      </w:pPr>
    </w:p>
    <w:p>
      <w:pPr>
        <w:spacing w:before="0"/>
        <w:ind w:left="364" w:right="0" w:firstLine="0"/>
        <w:jc w:val="left"/>
        <w:rPr>
          <w:sz w:val="16"/>
        </w:rPr>
      </w:pPr>
      <w:r>
        <w:rPr>
          <w:color w:val="585858"/>
          <w:sz w:val="16"/>
        </w:rPr>
        <w:t>2018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3"/>
        <w:rPr>
          <w:sz w:val="11"/>
        </w:rPr>
      </w:pPr>
    </w:p>
    <w:p>
      <w:pPr>
        <w:spacing w:before="0"/>
        <w:ind w:left="520" w:right="0" w:firstLine="0"/>
        <w:jc w:val="left"/>
        <w:rPr>
          <w:sz w:val="16"/>
        </w:rPr>
      </w:pPr>
      <w:r>
        <w:rPr>
          <w:color w:val="585858"/>
          <w:sz w:val="16"/>
        </w:rPr>
        <w:t>2019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3"/>
        <w:rPr>
          <w:sz w:val="11"/>
        </w:rPr>
      </w:pPr>
    </w:p>
    <w:p>
      <w:pPr>
        <w:spacing w:before="0"/>
        <w:ind w:left="519" w:right="0" w:firstLine="0"/>
        <w:jc w:val="left"/>
        <w:rPr>
          <w:sz w:val="16"/>
        </w:rPr>
      </w:pPr>
      <w:r>
        <w:rPr>
          <w:color w:val="585858"/>
          <w:sz w:val="16"/>
        </w:rPr>
        <w:t>2020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3"/>
        <w:rPr>
          <w:sz w:val="11"/>
        </w:rPr>
      </w:pPr>
    </w:p>
    <w:p>
      <w:pPr>
        <w:spacing w:before="0"/>
        <w:ind w:left="519" w:right="0" w:firstLine="0"/>
        <w:jc w:val="left"/>
        <w:rPr>
          <w:sz w:val="16"/>
        </w:rPr>
      </w:pPr>
      <w:r>
        <w:rPr>
          <w:color w:val="585858"/>
          <w:sz w:val="16"/>
        </w:rPr>
        <w:t>2021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3"/>
        <w:rPr>
          <w:sz w:val="11"/>
        </w:rPr>
      </w:pPr>
    </w:p>
    <w:p>
      <w:pPr>
        <w:spacing w:before="0"/>
        <w:ind w:left="520" w:right="0" w:firstLine="0"/>
        <w:jc w:val="left"/>
        <w:rPr>
          <w:sz w:val="16"/>
        </w:rPr>
      </w:pPr>
      <w:r>
        <w:rPr>
          <w:color w:val="585858"/>
          <w:sz w:val="16"/>
        </w:rPr>
        <w:t>2022</w:t>
      </w:r>
    </w:p>
    <w:p>
      <w:pPr>
        <w:pStyle w:val="BodyText"/>
        <w:spacing w:before="10"/>
        <w:rPr>
          <w:sz w:val="13"/>
        </w:rPr>
      </w:pPr>
      <w:r>
        <w:br w:type="column"/>
      </w:r>
    </w:p>
    <w:p>
      <w:pPr>
        <w:spacing w:before="1" w:line="188" w:lineRule="exact"/>
        <w:ind w:left="503" w:right="383" w:firstLine="0"/>
        <w:jc w:val="center"/>
        <w:rPr>
          <w:sz w:val="16"/>
        </w:rPr>
      </w:pPr>
      <w:r>
        <w:rPr>
          <w:color w:val="585858"/>
          <w:spacing w:val="-1"/>
          <w:sz w:val="16"/>
        </w:rPr>
        <w:t xml:space="preserve">-5 </w:t>
      </w:r>
      <w:r>
        <w:rPr>
          <w:color w:val="585858"/>
          <w:w w:val="100"/>
          <w:sz w:val="16"/>
        </w:rPr>
        <w:drawing>
          <wp:inline distT="0" distB="0" distL="0" distR="0">
            <wp:extent cx="47625" cy="73025"/>
            <wp:effectExtent l="0" t="0" r="0" b="0"/>
            <wp:docPr id="4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88" w:lineRule="exact"/>
        <w:ind w:left="503" w:right="1747" w:firstLine="0"/>
        <w:jc w:val="center"/>
        <w:rPr>
          <w:sz w:val="16"/>
        </w:rPr>
      </w:pPr>
      <w:r>
        <w:rPr>
          <w:color w:val="585858"/>
          <w:sz w:val="16"/>
        </w:rPr>
        <w:t>2023</w:t>
      </w:r>
    </w:p>
    <w:p>
      <w:pPr>
        <w:spacing w:after="0" w:line="188" w:lineRule="exact"/>
        <w:jc w:val="center"/>
        <w:rPr>
          <w:sz w:val="16"/>
        </w:rPr>
        <w:sectPr>
          <w:headerReference w:type="default" r:id="rId32"/>
          <w:footerReference w:type="default" r:id="rId33"/>
          <w:type w:val="continuous"/>
          <w:pgSz w:w="11910" w:h="16840"/>
          <w:pgMar w:top="1360" w:right="520" w:bottom="660" w:left="840" w:header="708" w:footer="708"/>
          <w:pgNumType w:start="12"/>
          <w:cols w:num="7" w:space="708" w:equalWidth="0">
            <w:col w:w="3654" w:space="40"/>
            <w:col w:w="686" w:space="39"/>
            <w:col w:w="841" w:space="39"/>
            <w:col w:w="840" w:space="40"/>
            <w:col w:w="841" w:space="39"/>
            <w:col w:w="841" w:space="40"/>
            <w:col w:w="2610" w:space="0"/>
          </w:cols>
        </w:sectPr>
      </w:pPr>
    </w:p>
    <w:p>
      <w:pPr>
        <w:tabs>
          <w:tab w:val="left" w:pos="6866"/>
        </w:tabs>
        <w:spacing w:before="144"/>
        <w:ind w:left="4466" w:right="0" w:firstLine="0"/>
        <w:jc w:val="left"/>
        <w:rPr>
          <w:sz w:val="16"/>
        </w:rPr>
      </w:pPr>
      <w:r>
        <w:pict>
          <v:shape id="_x0000_s1154" type="#_x0000_t202" style="width:60pt;height:12pt;margin-top:36.85pt;margin-left:362.83pt;mso-position-horizontal-relative:page;mso-position-vertical-relative:page;position:absolute;z-index:-251606016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  <w:r>
        <w:pict>
          <v:line id="_x0000_s1155" style="mso-position-horizontal-relative:page;position:absolute;z-index:251726848" from="244pt,12.35pt" to="263.2pt,12.35pt" stroked="t" strokecolor="#5b9bd4" strokeweight="3.6pt">
            <v:stroke dashstyle="solid"/>
          </v:line>
        </w:pict>
      </w:r>
      <w:r>
        <w:pict>
          <v:line id="_x0000_s1156" style="mso-position-horizontal-relative:page;position:absolute;z-index:-251604992" from="364pt,12.35pt" to="383.2pt,12.35pt" stroked="t" strokecolor="#a4a4a4" strokeweight="3.6pt">
            <v:stroke dashstyle="solid"/>
          </v:line>
        </w:pict>
      </w:r>
      <w:r>
        <w:rPr>
          <w:color w:val="585858"/>
          <w:sz w:val="16"/>
        </w:rPr>
        <w:t>中国蛋</w:t>
      </w:r>
      <w:r>
        <w:rPr>
          <w:color w:val="585858"/>
          <w:spacing w:val="-4"/>
          <w:sz w:val="16"/>
        </w:rPr>
        <w:t>糕</w:t>
      </w:r>
      <w:r>
        <w:rPr>
          <w:color w:val="585858"/>
          <w:sz w:val="16"/>
        </w:rPr>
        <w:t>规模</w:t>
      </w:r>
      <w:r>
        <w:rPr>
          <w:color w:val="585858"/>
          <w:spacing w:val="-3"/>
          <w:sz w:val="16"/>
        </w:rPr>
        <w:t>（</w:t>
      </w:r>
      <w:r>
        <w:rPr>
          <w:color w:val="585858"/>
          <w:sz w:val="16"/>
        </w:rPr>
        <w:t>亿元）</w:t>
        <w:tab/>
        <w:t>中国糕</w:t>
      </w:r>
      <w:r>
        <w:rPr>
          <w:color w:val="585858"/>
          <w:spacing w:val="-4"/>
          <w:sz w:val="16"/>
        </w:rPr>
        <w:t>点</w:t>
      </w:r>
      <w:r>
        <w:rPr>
          <w:color w:val="585858"/>
          <w:sz w:val="16"/>
        </w:rPr>
        <w:t>消费</w:t>
      </w:r>
      <w:r>
        <w:rPr>
          <w:color w:val="585858"/>
          <w:spacing w:val="-3"/>
          <w:sz w:val="16"/>
        </w:rPr>
        <w:t>规</w:t>
      </w:r>
      <w:r>
        <w:rPr>
          <w:color w:val="585858"/>
          <w:sz w:val="16"/>
        </w:rPr>
        <w:t>模（</w:t>
      </w:r>
      <w:r>
        <w:rPr>
          <w:color w:val="585858"/>
          <w:spacing w:val="-3"/>
          <w:sz w:val="16"/>
        </w:rPr>
        <w:t>亿</w:t>
      </w:r>
      <w:r>
        <w:rPr>
          <w:color w:val="585858"/>
          <w:sz w:val="16"/>
        </w:rPr>
        <w:t>元）</w:t>
      </w:r>
    </w:p>
    <w:p>
      <w:pPr>
        <w:tabs>
          <w:tab w:val="left" w:pos="6866"/>
        </w:tabs>
        <w:spacing w:before="73"/>
        <w:ind w:left="4466" w:right="0" w:firstLine="0"/>
        <w:jc w:val="left"/>
        <w:rPr>
          <w:sz w:val="16"/>
        </w:rPr>
      </w:pPr>
      <w:r>
        <w:pict>
          <v:line id="_x0000_s1157" style="mso-position-horizontal-relative:page;position:absolute;z-index:251727872" from="244pt,8.75pt" to="263.2pt,8.75pt" stroked="t" strokecolor="#ec7c30" strokeweight="2.25pt">
            <v:stroke dashstyle="solid"/>
          </v:line>
        </w:pict>
      </w:r>
      <w:r>
        <w:pict>
          <v:line id="_x0000_s1158" style="mso-position-horizontal-relative:page;position:absolute;z-index:-251603968" from="364pt,8.75pt" to="383.2pt,8.75pt" stroked="t" strokecolor="#ffc000" strokeweight="2.25pt">
            <v:stroke dashstyle="solid"/>
          </v:line>
        </w:pict>
      </w:r>
      <w:r>
        <w:rPr>
          <w:color w:val="585858"/>
          <w:sz w:val="16"/>
        </w:rPr>
        <w:t>蛋糕规模YOY</w:t>
        <w:tab/>
        <w:t>糕点规模</w:t>
      </w:r>
      <w:r>
        <w:rPr>
          <w:color w:val="585858"/>
          <w:spacing w:val="-2"/>
          <w:sz w:val="16"/>
        </w:rPr>
        <w:t>YOY</w:t>
      </w:r>
    </w:p>
    <w:p>
      <w:pPr>
        <w:pStyle w:val="BodyText"/>
        <w:spacing w:before="12"/>
        <w:rPr>
          <w:sz w:val="7"/>
        </w:rPr>
      </w:pPr>
      <w:r>
        <w:pict>
          <v:shape id="_x0000_s1159" style="width:382.55pt;height:0.1pt;margin-top:7.29pt;margin-left:169.94pt;mso-position-horizontal-relative:page;mso-wrap-distance-left:0;mso-wrap-distance-right:0;position:absolute;z-index:-251592704" coordorigin="3399,146" coordsize="7651,0" path="m3399,146l11049,146e" filled="f" stroked="t" strokecolor="#013e96" strokeweight="0.48pt">
            <v:stroke dashstyle="solid"/>
            <v:path arrowok="t"/>
            <w10:wrap type="topAndBottom"/>
          </v:shape>
        </w:pict>
      </w:r>
    </w:p>
    <w:p>
      <w:pPr>
        <w:spacing w:before="0"/>
        <w:ind w:left="2666" w:right="0" w:firstLine="0"/>
        <w:jc w:val="left"/>
        <w:rPr>
          <w:sz w:val="15"/>
        </w:rPr>
      </w:pPr>
      <w:r>
        <w:t>数据来源：Euromonitor， ，注：2023 年数据截止 2023 年 12 月 21 日</w:t>
      </w:r>
    </w:p>
    <w:p>
      <w:pPr>
        <w:pStyle w:val="BodyText"/>
        <w:rPr>
          <w:sz w:val="26"/>
        </w:rPr>
      </w:pPr>
    </w:p>
    <w:p>
      <w:pPr>
        <w:pStyle w:val="Heading2"/>
        <w:spacing w:before="72" w:line="319" w:lineRule="auto"/>
        <w:ind w:right="320" w:firstLine="423"/>
        <w:jc w:val="both"/>
      </w:pPr>
      <w:r>
        <w:t>综上，由于在历史发展中，面包在欧美主要国家和日本中作为主食存在，因此人均消费量较高，而我国虽然目前面包作为早餐的主食化倾向明显，但是整体主食仍以米面制品为主，因此面包未来作为主食在我国的发展较为有限。糕点方面，日本已出现国民糕点红豆包、和果子等，不仅可在日常食用，且可用于多种场景，而2022</w:t>
      </w:r>
      <w:r>
        <w:rPr>
          <w:spacing w:val="-3"/>
        </w:rPr>
        <w:t xml:space="preserve"> 年我国的人均消费量远低于日本，但是我们认为中式糕点在我国有一定的文化基础，且需求广泛，近年来中式烘焙品牌不断加大产品创新，未来有望出现国民性</w:t>
      </w:r>
      <w:r>
        <w:t>糕点。蛋糕过去在我国主要作为生日蛋糕、节日伴手礼，但是近年来随着下午茶、</w:t>
      </w:r>
      <w:r>
        <w:rPr>
          <w:spacing w:val="-3"/>
        </w:rPr>
        <w:t>会友、悦己等消费场景的扩大，蛋糕小分化趋势明显，未来有望持续受益。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44"/>
        <w:ind w:left="2563" w:right="0" w:firstLine="0"/>
        <w:jc w:val="left"/>
        <w:rPr>
          <w:b/>
          <w:sz w:val="21"/>
        </w:rPr>
      </w:pPr>
      <w:bookmarkStart w:id="3" w:name="_TOC_250014"/>
      <w:r>
        <w:rPr>
          <w:rFonts w:ascii="Arial" w:eastAsia="Arial"/>
          <w:b/>
          <w:sz w:val="21"/>
        </w:rPr>
        <w:t xml:space="preserve">1.3 </w:t>
      </w:r>
      <w:bookmarkEnd w:id="3"/>
      <w:r>
        <w:rPr>
          <w:b/>
          <w:sz w:val="21"/>
        </w:rPr>
        <w:t>海外各国烘焙产品零售渠道发展各异</w:t>
      </w:r>
    </w:p>
    <w:p>
      <w:pPr>
        <w:pStyle w:val="BodyText"/>
        <w:spacing w:before="3"/>
        <w:rPr>
          <w:b/>
          <w:sz w:val="17"/>
        </w:rPr>
      </w:pPr>
    </w:p>
    <w:p>
      <w:pPr>
        <w:pStyle w:val="BodyText"/>
        <w:spacing w:line="319" w:lineRule="auto"/>
        <w:ind w:left="2532" w:right="320" w:firstLine="423"/>
        <w:jc w:val="both"/>
      </w:pPr>
      <w:r>
        <w:rPr>
          <w:b/>
        </w:rPr>
        <w:t>海外各国烘焙食品主要零售渠道差异在于本国渠道发展的差异。</w:t>
      </w:r>
      <w:r>
        <w:t>欧美多国商超渠道发达，商超在烘焙食品的销售中占据重要位置，其中美国的</w:t>
      </w:r>
      <w:r>
        <w:rPr>
          <w:rFonts w:ascii="Arial" w:eastAsia="Arial"/>
        </w:rPr>
        <w:t xml:space="preserve">Supermarkets </w:t>
      </w:r>
      <w:r>
        <w:t xml:space="preserve">购物便捷，性价比较高，拥有沃尔玛这类全球最大的连锁零售商；德国的折扣店模式虽品类有限，但是价格极低，有 </w:t>
      </w:r>
      <w:r>
        <w:rPr>
          <w:rFonts w:ascii="Arial" w:eastAsia="Arial"/>
        </w:rPr>
        <w:t xml:space="preserve">ALDL </w:t>
      </w:r>
      <w:r>
        <w:t>全球闻名的硬折扣经营超市；日本开创了现代便利店行业的经营模式，是 7-11、全家等多家头部连锁便利店企业的发源地，本土便利店密度高，服务便捷快速。</w:t>
      </w:r>
    </w:p>
    <w:p>
      <w:pPr>
        <w:pStyle w:val="BodyText"/>
        <w:spacing w:before="1"/>
        <w:rPr>
          <w:sz w:val="14"/>
        </w:rPr>
      </w:pPr>
    </w:p>
    <w:p>
      <w:pPr>
        <w:pStyle w:val="Heading2"/>
        <w:ind w:left="0" w:right="95"/>
        <w:jc w:val="center"/>
      </w:pPr>
      <w:r>
        <w:pict>
          <v:shape id="_x0000_s1160" style="width:382.55pt;height:0.1pt;margin-top:16.86pt;margin-left:169.94pt;mso-position-horizontal-relative:page;mso-wrap-distance-left:0;mso-wrap-distance-right:0;position:absolute;z-index:-251591680" coordorigin="3399,337" coordsize="7651,0" path="m3399,337l11049,337e" filled="f" stroked="t" strokecolor="#013e96" strokeweight="0.48pt">
            <v:stroke dashstyle="solid"/>
            <v:path arrowok="t"/>
            <w10:wrap type="topAndBottom"/>
          </v:shape>
        </w:pict>
      </w:r>
      <w:r>
        <w:pict>
          <v:group id="_x0000_s1161" style="width:320.05pt;height:124.4pt;margin-top:26.39pt;margin-left:208.55pt;mso-position-horizontal-relative:page;position:absolute;z-index:251728896" coordorigin="4171,528" coordsize="6401,2488">
            <v:rect id="_x0000_s1162" style="width:425;height:92;left:4500;position:absolute;top:2913" filled="t" fillcolor="#5b9bd4" stroked="f">
              <v:fill type="solid"/>
            </v:rect>
            <v:rect id="_x0000_s1163" style="width:425;height:351;left:5563;position:absolute;top:2654" filled="t" fillcolor="#5b9bd4" stroked="f">
              <v:fill type="solid"/>
            </v:rect>
            <v:rect id="_x0000_s1164" style="width:425;height:574;left:5563;position:absolute;top:2080" filled="t" fillcolor="#ec7c30" stroked="f">
              <v:fill type="solid"/>
            </v:rect>
            <v:rect id="_x0000_s1165" style="width:425;height:600;left:5563;position:absolute;top:1480" filled="t" fillcolor="#a4a4a4" stroked="f">
              <v:fill type="solid"/>
            </v:rect>
            <v:rect id="_x0000_s1166" style="width:425;height:336;left:5563;position:absolute;top:1144" filled="t" fillcolor="#ffc000" stroked="f">
              <v:fill type="solid"/>
            </v:rect>
            <v:line id="_x0000_s1167" style="position:absolute" from="5563,1143" to="5988,1143" stroked="t" strokecolor="#4471c4" strokeweight="0.12pt">
              <v:stroke dashstyle="solid"/>
            </v:line>
            <v:rect id="_x0000_s1168" style="width:425;height:185;left:5563;position:absolute;top:957" filled="t" fillcolor="#9dc3e6" stroked="f">
              <v:fill type="solid"/>
            </v:rect>
            <v:rect id="_x0000_s1169" style="width:425;height:168;left:5563;position:absolute;top:789" filled="t" fillcolor="#245e91" stroked="f">
              <v:fill type="solid"/>
            </v:rect>
            <v:rect id="_x0000_s1170" style="width:425;height:34;left:5563;position:absolute;top:755" filled="t" fillcolor="#9e470d" stroked="f">
              <v:fill type="solid"/>
            </v:rect>
            <v:rect id="_x0000_s1171" style="width:425;height:218;left:5563;position:absolute;top:537" filled="t" fillcolor="#997300" stroked="f">
              <v:fill type="solid"/>
            </v:rect>
            <v:shape id="_x0000_s1172" style="width:1491;height:107;left:6626;position:absolute;top:2899" coordorigin="6626,2899" coordsize="1491,107" path="m7051,2899l6626,2899,6626,3005,7051,3005,7051,2899m8117,2940l7690,2940,7690,3005,8117,3005,8117,2940e" filled="t" fillcolor="#5b9bd4" stroked="f">
              <v:fill type="solid"/>
              <v:path arrowok="t"/>
            </v:shape>
            <v:rect id="_x0000_s1173" style="width:428;height:387;left:7689;position:absolute;top:2553" filled="t" fillcolor="#ec7c30" stroked="f">
              <v:fill type="solid"/>
            </v:rect>
            <v:rect id="_x0000_s1174" style="width:428;height:260;left:7689;position:absolute;top:2294" filled="t" fillcolor="#a4a4a4" stroked="f">
              <v:fill type="solid"/>
            </v:rect>
            <v:rect id="_x0000_s1175" style="width:428;height:1061;left:7689;position:absolute;top:1233" filled="t" fillcolor="#ffc000" stroked="f">
              <v:fill type="solid"/>
            </v:rect>
            <v:rect id="_x0000_s1176" style="width:428;height:533;left:7689;position:absolute;top:700" filled="t" fillcolor="#9dc3e6" stroked="f">
              <v:fill type="solid"/>
            </v:rect>
            <v:rect id="_x0000_s1177" style="width:428;height:87;left:7689;position:absolute;top:614" filled="t" fillcolor="#245e91" stroked="f">
              <v:fill type="solid"/>
            </v:rect>
            <v:rect id="_x0000_s1178" style="width:428;height:68;left:7689;position:absolute;top:547" filled="t" fillcolor="#9e470d" stroked="f">
              <v:fill type="solid"/>
            </v:rect>
            <v:line id="_x0000_s1179" style="position:absolute" from="7690,542" to="8117,542" stroked="t" strokecolor="#997300" strokeweight="0.46pt">
              <v:stroke dashstyle="solid"/>
            </v:line>
            <v:rect id="_x0000_s1180" style="width:428;height:690;left:8752;position:absolute;top:2315" filled="t" fillcolor="#5b9bd4" stroked="f">
              <v:fill type="solid"/>
            </v:rect>
            <v:rect id="_x0000_s1181" style="width:428;height:620;left:8752;position:absolute;top:1696" filled="t" fillcolor="#ec7c30" stroked="f">
              <v:fill type="solid"/>
            </v:rect>
            <v:rect id="_x0000_s1182" style="width:428;height:351;left:8752;position:absolute;top:1346" filled="t" fillcolor="#a4a4a4" stroked="f">
              <v:fill type="solid"/>
            </v:rect>
            <v:line id="_x0000_s1183" style="position:absolute" from="8753,1339" to="9180,1339" stroked="t" strokecolor="#4471c4" strokeweight="0.72pt">
              <v:stroke dashstyle="solid"/>
            </v:line>
            <v:rect id="_x0000_s1184" style="width:428;height:447;left:8752;position:absolute;top:885" filled="t" fillcolor="#9dc3e6" stroked="f">
              <v:fill type="solid"/>
            </v:rect>
            <v:rect id="_x0000_s1185" style="width:428;height:29;left:8752;position:absolute;top:856" filled="t" fillcolor="#245e91" stroked="f">
              <v:fill type="solid"/>
            </v:rect>
            <v:rect id="_x0000_s1186" style="width:428;height:240;left:8752;position:absolute;top:616" filled="t" fillcolor="#9e470d" stroked="f">
              <v:fill type="solid"/>
            </v:rect>
            <v:rect id="_x0000_s1187" style="width:428;height:79;left:8752;position:absolute;top:537" filled="t" fillcolor="#997300" stroked="f">
              <v:fill type="solid"/>
            </v:rect>
            <v:rect id="_x0000_s1188" style="width:425;height:140;left:9818;position:absolute;top:2865" filled="t" fillcolor="#5b9bd4" stroked="f">
              <v:fill type="solid"/>
            </v:rect>
            <v:rect id="_x0000_s1189" style="width:425;height:291;left:9818;position:absolute;top:2575" filled="t" fillcolor="#ec7c30" stroked="f">
              <v:fill type="solid"/>
            </v:rect>
            <v:rect id="_x0000_s1190" style="width:425;height:420;left:9818;position:absolute;top:2155" filled="t" fillcolor="#a4a4a4" stroked="f">
              <v:fill type="solid"/>
            </v:rect>
            <v:rect id="_x0000_s1191" style="width:425;height:1268;left:9818;position:absolute;top:887" filled="t" fillcolor="#9dc3e6" stroked="f">
              <v:fill type="solid"/>
            </v:rect>
            <v:rect id="_x0000_s1192" style="width:425;height:41;left:9818;position:absolute;top:847" filled="t" fillcolor="#245e91" stroked="f">
              <v:fill type="solid"/>
            </v:rect>
            <v:line id="_x0000_s1193" style="position:absolute" from="9818,846" to="10243,846" stroked="t" strokecolor="#626262" strokeweight="0.12pt">
              <v:stroke dashstyle="solid"/>
            </v:line>
            <v:rect id="_x0000_s1194" style="width:425;height:307;left:9818;position:absolute;top:537" filled="t" fillcolor="#997300" stroked="f">
              <v:fill type="solid"/>
            </v:rect>
            <v:shape id="_x0000_s1195" style="width:6381;height:2468;left:4181;position:absolute;top:537" coordorigin="4181,538" coordsize="6381,2468" path="m4181,3005l4181,538m4181,3005l4221,3005m4181,2513l4221,2513m4181,2018l4221,2018m4181,1524l4221,1524m4181,1032l4221,1032m4181,538l4221,538m4181,3005l10562,3005m4181,2959l4181,3005m5244,2959l5244,3005m6307,2959l6307,3005m7370,2959l7370,3005m8436,2959l8436,3005m9499,2959l9499,3005m10562,2959l10562,3005e" filled="f" stroked="t" strokecolor="#e7e6e6" strokeweight="1pt">
              <v:stroke dashstyle="solid"/>
              <v:path arrowok="t"/>
            </v:shape>
          </v:group>
        </w:pict>
      </w:r>
      <w:r>
        <w:t xml:space="preserve">图表 </w:t>
      </w:r>
      <w:r>
        <w:rPr>
          <w:rFonts w:ascii="Arial" w:eastAsia="Arial"/>
        </w:rPr>
        <w:t>9</w:t>
      </w:r>
      <w:r>
        <w:t>：</w:t>
      </w:r>
      <w:r>
        <w:rPr>
          <w:rFonts w:ascii="Arial" w:eastAsia="Arial"/>
        </w:rPr>
        <w:t xml:space="preserve">2022 </w:t>
      </w:r>
      <w:r>
        <w:t>海外各国及中国烘焙产品各零售渠道占比</w:t>
      </w:r>
    </w:p>
    <w:p>
      <w:pPr>
        <w:spacing w:before="78"/>
        <w:ind w:left="2951" w:right="0" w:firstLine="0"/>
        <w:jc w:val="left"/>
        <w:rPr>
          <w:sz w:val="14"/>
        </w:rPr>
      </w:pPr>
      <w:r>
        <w:rPr>
          <w:color w:val="585858"/>
          <w:sz w:val="14"/>
        </w:rPr>
        <w:t xml:space="preserve">100 </w:t>
      </w:r>
      <w:r>
        <w:rPr>
          <w:color w:val="585858"/>
          <w:spacing w:val="2"/>
          <w:w w:val="99"/>
          <w:sz w:val="14"/>
        </w:rPr>
        <w:drawing>
          <wp:inline distT="0" distB="0" distL="0" distR="0">
            <wp:extent cx="44450" cy="63500"/>
            <wp:effectExtent l="0" t="0" r="0" b="0"/>
            <wp:docPr id="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8"/>
        </w:rPr>
      </w:pPr>
    </w:p>
    <w:p>
      <w:pPr>
        <w:spacing w:before="80"/>
        <w:ind w:left="3021" w:right="0" w:firstLine="0"/>
        <w:jc w:val="left"/>
        <w:rPr>
          <w:sz w:val="14"/>
        </w:rPr>
      </w:pPr>
      <w:r>
        <w:pict>
          <v:group id="_x0000_s1196" style="width:21.25pt;height:15.5pt;margin-top:-16.27pt;margin-left:225pt;mso-position-horizontal-relative:page;position:absolute;z-index:251729920" coordorigin="4500,-325" coordsize="425,310">
            <v:rect id="_x0000_s1197" style="width:425;height:125;left:4500;position:absolute;top:-141" filled="t" fillcolor="#9e470d" stroked="f">
              <v:fill type="solid"/>
            </v:rect>
            <v:line id="_x0000_s1198" style="position:absolute" from="4500,-143" to="4925,-143" stroked="t" strokecolor="#626262" strokeweight="0.24pt">
              <v:stroke dashstyle="solid"/>
            </v:line>
            <v:rect id="_x0000_s1199" style="width:425;height:180;left:4500;position:absolute;top:-326" filled="t" fillcolor="#997300" stroked="f">
              <v:fill type="solid"/>
            </v:rect>
          </v:group>
        </w:pict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2540507</wp:posOffset>
            </wp:positionH>
            <wp:positionV relativeFrom="paragraph">
              <wp:posOffset>76200</wp:posOffset>
            </wp:positionV>
            <wp:extent cx="44450" cy="63500"/>
            <wp:effectExtent l="0" t="0" r="0" b="0"/>
            <wp:wrapNone/>
            <wp:docPr id="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0" type="#_x0000_t202" style="width:27.55pt;height:105.45pt;margin-top:-0.81pt;margin-left:222.9pt;mso-position-horizontal-relative:page;position:absolute;z-index:2517370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2"/>
                      <w:jc w:val="left"/>
                    </w:trPr>
                    <w:tc>
                      <w:tcPr>
                        <w:tcW w:w="425" w:type="dxa"/>
                        <w:tcBorders>
                          <w:top w:val="single" w:sz="34" w:space="0" w:color="245E91"/>
                          <w:bottom w:val="single" w:sz="48" w:space="0" w:color="4471C4"/>
                        </w:tcBorders>
                        <w:shd w:val="clear" w:color="auto" w:fill="9DC3E6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4"/>
                      <w:jc w:val="left"/>
                    </w:trPr>
                    <w:tc>
                      <w:tcPr>
                        <w:tcW w:w="425" w:type="dxa"/>
                        <w:tcBorders>
                          <w:top w:val="single" w:sz="48" w:space="0" w:color="4471C4"/>
                        </w:tcBorders>
                        <w:shd w:val="clear" w:color="auto" w:fill="FFC000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9"/>
                      <w:jc w:val="left"/>
                    </w:trPr>
                    <w:tc>
                      <w:tcPr>
                        <w:tcW w:w="425" w:type="dxa"/>
                        <w:shd w:val="clear" w:color="auto" w:fill="A4A4A4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6"/>
                      <w:jc w:val="left"/>
                    </w:trPr>
                    <w:tc>
                      <w:tcPr>
                        <w:tcW w:w="425" w:type="dxa"/>
                        <w:shd w:val="clear" w:color="auto" w:fill="EC7C30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85858"/>
          <w:sz w:val="14"/>
        </w:rPr>
        <w:t>80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0"/>
        </w:rPr>
      </w:pPr>
    </w:p>
    <w:p>
      <w:pPr>
        <w:spacing w:before="0"/>
        <w:ind w:left="3021" w:right="0" w:firstLine="0"/>
        <w:jc w:val="left"/>
        <w:rPr>
          <w:sz w:val="14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2540507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60</w:t>
      </w:r>
    </w:p>
    <w:p>
      <w:pPr>
        <w:pStyle w:val="BodyText"/>
        <w:rPr>
          <w:sz w:val="14"/>
        </w:rPr>
      </w:pPr>
    </w:p>
    <w:p>
      <w:pPr>
        <w:pStyle w:val="BodyText"/>
        <w:spacing w:before="7"/>
        <w:rPr>
          <w:sz w:val="10"/>
        </w:rPr>
      </w:pPr>
    </w:p>
    <w:p>
      <w:pPr>
        <w:spacing w:before="0"/>
        <w:ind w:left="3021" w:right="0" w:firstLine="0"/>
        <w:jc w:val="left"/>
        <w:rPr>
          <w:sz w:val="14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2540507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40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0"/>
        </w:rPr>
      </w:pPr>
    </w:p>
    <w:p>
      <w:pPr>
        <w:spacing w:before="0"/>
        <w:ind w:left="3021" w:right="0" w:firstLine="0"/>
        <w:jc w:val="left"/>
        <w:rPr>
          <w:sz w:val="14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2540507</wp:posOffset>
            </wp:positionH>
            <wp:positionV relativeFrom="paragraph">
              <wp:posOffset>25399</wp:posOffset>
            </wp:positionV>
            <wp:extent cx="44450" cy="63500"/>
            <wp:effectExtent l="0" t="0" r="0" b="0"/>
            <wp:wrapNone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4"/>
        </w:rPr>
        <w:t>20</w:t>
      </w:r>
    </w:p>
    <w:p>
      <w:pPr>
        <w:pStyle w:val="BodyText"/>
        <w:spacing w:before="4"/>
        <w:rPr>
          <w:sz w:val="18"/>
        </w:rPr>
      </w:pPr>
    </w:p>
    <w:p>
      <w:pPr>
        <w:spacing w:before="80"/>
        <w:ind w:left="3091" w:right="0" w:firstLine="0"/>
        <w:jc w:val="left"/>
        <w:rPr>
          <w:sz w:val="14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2540761</wp:posOffset>
            </wp:positionH>
            <wp:positionV relativeFrom="paragraph">
              <wp:posOffset>76199</wp:posOffset>
            </wp:positionV>
            <wp:extent cx="44450" cy="63500"/>
            <wp:effectExtent l="0" t="0" r="0" b="0"/>
            <wp:wrapNone/>
            <wp:docPr id="5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1" type="#_x0000_t202" style="width:26.1pt;height:119.7pt;margin-top:-114.96pt;margin-left:329.71pt;mso-position-horizontal-relative:page;position:absolute;z-index:2517360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0"/>
                      <w:jc w:val="left"/>
                    </w:trPr>
                    <w:tc>
                      <w:tcPr>
                        <w:tcW w:w="425" w:type="dxa"/>
                        <w:tcBorders>
                          <w:top w:val="single" w:sz="34" w:space="0" w:color="997300"/>
                        </w:tcBorders>
                        <w:shd w:val="clear" w:color="auto" w:fill="245E91"/>
                      </w:tcPr>
                      <w:p>
                        <w:pPr>
                          <w:pStyle w:val="TableParagraph"/>
                          <w:rPr>
                            <w:sz w:val="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88"/>
                      <w:jc w:val="left"/>
                    </w:trPr>
                    <w:tc>
                      <w:tcPr>
                        <w:tcW w:w="425" w:type="dxa"/>
                        <w:tcBorders>
                          <w:bottom w:val="single" w:sz="48" w:space="0" w:color="FFC000"/>
                        </w:tcBorders>
                        <w:shd w:val="clear" w:color="auto" w:fill="9DC3E6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5"/>
                      <w:jc w:val="left"/>
                    </w:trPr>
                    <w:tc>
                      <w:tcPr>
                        <w:tcW w:w="425" w:type="dxa"/>
                        <w:tcBorders>
                          <w:top w:val="single" w:sz="48" w:space="0" w:color="FFC000"/>
                        </w:tcBorders>
                        <w:shd w:val="clear" w:color="auto" w:fill="A4A4A4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2"/>
                      <w:jc w:val="left"/>
                    </w:trPr>
                    <w:tc>
                      <w:tcPr>
                        <w:tcW w:w="425" w:type="dxa"/>
                        <w:shd w:val="clear" w:color="auto" w:fill="EC7C30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85858"/>
          <w:sz w:val="14"/>
        </w:rPr>
        <w:t>0</w:t>
      </w:r>
    </w:p>
    <w:p>
      <w:pPr>
        <w:tabs>
          <w:tab w:val="left" w:pos="4777"/>
          <w:tab w:val="left" w:pos="5841"/>
          <w:tab w:val="left" w:pos="6904"/>
          <w:tab w:val="left" w:pos="7968"/>
          <w:tab w:val="left" w:pos="9032"/>
        </w:tabs>
        <w:spacing w:before="3" w:line="165" w:lineRule="exact"/>
        <w:ind w:left="3713" w:right="0" w:firstLine="0"/>
        <w:jc w:val="left"/>
        <w:rPr>
          <w:sz w:val="16"/>
        </w:rPr>
      </w:pPr>
      <w:r>
        <w:rPr>
          <w:color w:val="585858"/>
          <w:sz w:val="16"/>
        </w:rPr>
        <w:t>美国</w:t>
        <w:tab/>
        <w:t>英国</w:t>
        <w:tab/>
        <w:t>法国</w:t>
        <w:tab/>
        <w:t>德国</w:t>
        <w:tab/>
        <w:t>日本</w:t>
        <w:tab/>
        <w:t>中国</w:t>
      </w:r>
    </w:p>
    <w:p>
      <w:pPr>
        <w:tabs>
          <w:tab w:val="left" w:pos="6968"/>
        </w:tabs>
        <w:spacing w:before="0" w:line="138" w:lineRule="exact"/>
        <w:ind w:left="3743" w:right="0" w:firstLine="0"/>
        <w:jc w:val="left"/>
        <w:rPr>
          <w:sz w:val="16"/>
        </w:rPr>
      </w:pPr>
      <w:r>
        <w:pict>
          <v:rect id="_x0000_s1202" style="width:3.6pt;height:3.6pt;margin-top:1.28pt;margin-left:224.09pt;mso-position-horizontal-relative:page;position:absolute;z-index:251730944" filled="t" fillcolor="#5b9bd4" stroked="f">
            <v:fill type="solid"/>
          </v:rect>
        </w:pict>
      </w:r>
      <w:r>
        <w:pict>
          <v:rect id="_x0000_s1203" style="width:3.6pt;height:3.6pt;margin-top:1.28pt;margin-left:385.3pt;mso-position-horizontal-relative:page;position:absolute;z-index:-251597824" filled="t" fillcolor="#ec7c30" stroked="f">
            <v:fill type="solid"/>
          </v:rect>
        </w:pict>
      </w:r>
      <w:r>
        <w:rPr>
          <w:color w:val="585858"/>
          <w:sz w:val="16"/>
        </w:rPr>
        <w:t>Convenience</w:t>
      </w:r>
      <w:r>
        <w:rPr>
          <w:color w:val="585858"/>
          <w:spacing w:val="-4"/>
          <w:sz w:val="16"/>
        </w:rPr>
        <w:t xml:space="preserve"> </w:t>
      </w:r>
      <w:r>
        <w:rPr>
          <w:color w:val="585858"/>
          <w:sz w:val="16"/>
        </w:rPr>
        <w:t>Retail</w:t>
        <w:tab/>
        <w:t>Supermakets</w:t>
      </w:r>
    </w:p>
    <w:p>
      <w:pPr>
        <w:tabs>
          <w:tab w:val="left" w:pos="6968"/>
        </w:tabs>
        <w:spacing w:before="0" w:line="151" w:lineRule="exact"/>
        <w:ind w:left="3743" w:right="0" w:firstLine="0"/>
        <w:jc w:val="left"/>
        <w:rPr>
          <w:sz w:val="16"/>
        </w:rPr>
      </w:pPr>
      <w:r>
        <w:pict>
          <v:rect id="_x0000_s1204" style="width:3.6pt;height:3.6pt;margin-top:1.93pt;margin-left:224.09pt;mso-position-horizontal-relative:page;position:absolute;z-index:251731968" filled="t" fillcolor="#a4a4a4" stroked="f">
            <v:fill type="solid"/>
          </v:rect>
        </w:pict>
      </w:r>
      <w:r>
        <w:pict>
          <v:rect id="_x0000_s1205" style="width:3.6pt;height:3.6pt;margin-top:1.93pt;margin-left:385.3pt;mso-position-horizontal-relative:page;position:absolute;z-index:-251596800" filled="t" fillcolor="#ffc000" stroked="f">
            <v:fill type="solid"/>
          </v:rect>
        </w:pict>
      </w:r>
      <w:r>
        <w:rPr>
          <w:color w:val="585858"/>
          <w:sz w:val="16"/>
        </w:rPr>
        <w:t>Hypermarkets</w:t>
        <w:tab/>
        <w:t>Discounters</w:t>
      </w:r>
    </w:p>
    <w:p>
      <w:pPr>
        <w:tabs>
          <w:tab w:val="left" w:pos="6968"/>
        </w:tabs>
        <w:spacing w:before="0" w:line="151" w:lineRule="exact"/>
        <w:ind w:left="3743" w:right="0" w:firstLine="0"/>
        <w:jc w:val="left"/>
        <w:rPr>
          <w:sz w:val="16"/>
        </w:rPr>
      </w:pPr>
      <w:r>
        <w:pict>
          <v:rect id="_x0000_s1206" style="width:3.6pt;height:3.6pt;margin-top:1.92pt;margin-left:224.09pt;mso-position-horizontal-relative:page;position:absolute;z-index:251732992" filled="t" fillcolor="#4471c4" stroked="f">
            <v:fill type="solid"/>
          </v:rect>
        </w:pict>
      </w:r>
      <w:r>
        <w:pict>
          <v:rect id="_x0000_s1207" style="width:3.6pt;height:3.6pt;margin-top:1.92pt;margin-left:385.3pt;mso-position-horizontal-relative:page;position:absolute;z-index:-251595776" filled="t" fillcolor="#9dc3e6" stroked="f">
            <v:fill type="solid"/>
          </v:rect>
        </w:pict>
      </w:r>
      <w:r>
        <w:rPr>
          <w:color w:val="585858"/>
          <w:sz w:val="16"/>
        </w:rPr>
        <w:t>Warehouse</w:t>
      </w:r>
      <w:r>
        <w:rPr>
          <w:color w:val="585858"/>
          <w:spacing w:val="-6"/>
          <w:sz w:val="16"/>
        </w:rPr>
        <w:t xml:space="preserve"> </w:t>
      </w:r>
      <w:r>
        <w:rPr>
          <w:color w:val="585858"/>
          <w:sz w:val="16"/>
        </w:rPr>
        <w:t>Clubs</w:t>
        <w:tab/>
        <w:t>Food/drink/tobacco</w:t>
      </w:r>
      <w:r>
        <w:rPr>
          <w:color w:val="585858"/>
          <w:spacing w:val="-3"/>
          <w:sz w:val="16"/>
        </w:rPr>
        <w:t xml:space="preserve"> </w:t>
      </w:r>
      <w:r>
        <w:rPr>
          <w:color w:val="585858"/>
          <w:sz w:val="16"/>
        </w:rPr>
        <w:t>specialists</w:t>
      </w:r>
    </w:p>
    <w:p>
      <w:pPr>
        <w:tabs>
          <w:tab w:val="left" w:pos="6968"/>
        </w:tabs>
        <w:spacing w:before="0" w:line="151" w:lineRule="exact"/>
        <w:ind w:left="3743" w:right="0" w:firstLine="0"/>
        <w:jc w:val="left"/>
        <w:rPr>
          <w:sz w:val="16"/>
        </w:rPr>
      </w:pPr>
      <w:r>
        <w:pict>
          <v:rect id="_x0000_s1208" style="width:3.6pt;height:3.6pt;margin-top:1.91pt;margin-left:224.09pt;mso-position-horizontal-relative:page;position:absolute;z-index:251734016" filled="t" fillcolor="#245e91" stroked="f">
            <v:fill type="solid"/>
          </v:rect>
        </w:pict>
      </w:r>
      <w:r>
        <w:pict>
          <v:rect id="_x0000_s1209" style="width:3.6pt;height:3.6pt;margin-top:1.91pt;margin-left:385.3pt;mso-position-horizontal-relative:page;position:absolute;z-index:-251594752" filled="t" fillcolor="#9e470d" stroked="f">
            <v:fill type="solid"/>
          </v:rect>
        </w:pict>
      </w:r>
      <w:r>
        <w:rPr>
          <w:color w:val="585858"/>
          <w:sz w:val="16"/>
        </w:rPr>
        <w:t>Small</w:t>
      </w:r>
      <w:r>
        <w:rPr>
          <w:color w:val="585858"/>
          <w:spacing w:val="-5"/>
          <w:sz w:val="16"/>
        </w:rPr>
        <w:t xml:space="preserve"> </w:t>
      </w:r>
      <w:r>
        <w:rPr>
          <w:color w:val="585858"/>
          <w:sz w:val="16"/>
        </w:rPr>
        <w:t>Local</w:t>
      </w:r>
      <w:r>
        <w:rPr>
          <w:color w:val="585858"/>
          <w:spacing w:val="-4"/>
          <w:sz w:val="16"/>
        </w:rPr>
        <w:t xml:space="preserve"> </w:t>
      </w:r>
      <w:r>
        <w:rPr>
          <w:color w:val="585858"/>
          <w:sz w:val="16"/>
        </w:rPr>
        <w:t>Grocers</w:t>
        <w:tab/>
        <w:t>Non-Grocery Retailers</w:t>
      </w:r>
    </w:p>
    <w:p>
      <w:pPr>
        <w:tabs>
          <w:tab w:val="left" w:pos="6968"/>
        </w:tabs>
        <w:spacing w:before="0" w:line="178" w:lineRule="exact"/>
        <w:ind w:left="3743" w:right="0" w:firstLine="0"/>
        <w:jc w:val="left"/>
        <w:rPr>
          <w:sz w:val="16"/>
        </w:rPr>
        <w:sectPr>
          <w:headerReference w:type="default" r:id="rId34"/>
          <w:footerReference w:type="default" r:id="rId35"/>
          <w:type w:val="continuous"/>
          <w:pgSz w:w="11910" w:h="16840"/>
          <w:pgMar w:top="1360" w:right="520" w:bottom="660" w:left="840" w:header="708" w:footer="708"/>
          <w:pgNumType w:start="13"/>
          <w:cols w:space="708"/>
        </w:sectPr>
      </w:pPr>
      <w:r>
        <w:pict>
          <v:shape id="_x0000_s1210" style="width:382.55pt;height:0.1pt;margin-top:10.88pt;margin-left:169.94pt;mso-position-horizontal-relative:page;mso-wrap-distance-left:0;mso-wrap-distance-right:0;position:absolute;z-index:-251590656" coordorigin="3399,218" coordsize="7651,0" path="m3399,218l11049,218e" filled="f" stroked="t" strokecolor="#013e96" strokeweight="0.48pt">
            <v:stroke dashstyle="solid"/>
            <v:path arrowok="t"/>
            <w10:wrap type="topAndBottom"/>
          </v:shape>
        </w:pict>
      </w:r>
      <w:r>
        <w:pict>
          <v:rect id="_x0000_s1211" style="width:3.6pt;height:3.6pt;margin-top:1.91pt;margin-left:224.09pt;mso-position-horizontal-relative:page;position:absolute;z-index:251735040" filled="t" fillcolor="#626262" stroked="f">
            <v:fill type="solid"/>
          </v:rect>
        </w:pict>
      </w:r>
      <w:r>
        <w:pict>
          <v:rect id="_x0000_s1212" style="width:3.6pt;height:3.6pt;margin-top:1.91pt;margin-left:385.3pt;mso-position-horizontal-relative:page;position:absolute;z-index:-251593728" filled="t" fillcolor="#997300" stroked="f">
            <v:fill type="solid"/>
          </v:rect>
        </w:pict>
      </w:r>
      <w:r>
        <w:rPr>
          <w:color w:val="585858"/>
          <w:sz w:val="16"/>
        </w:rPr>
        <w:t>Vending</w:t>
        <w:tab/>
        <w:t>Retail</w:t>
      </w:r>
      <w:r>
        <w:rPr>
          <w:color w:val="585858"/>
          <w:spacing w:val="-3"/>
          <w:sz w:val="16"/>
        </w:rPr>
        <w:t xml:space="preserve"> </w:t>
      </w:r>
      <w:r>
        <w:rPr>
          <w:color w:val="585858"/>
          <w:sz w:val="16"/>
        </w:rPr>
        <w:t>E-Commerce</w:t>
      </w:r>
    </w:p>
    <w:p>
      <w:pPr>
        <w:spacing w:before="0"/>
        <w:ind w:left="2666" w:right="0" w:firstLine="0"/>
        <w:jc w:val="left"/>
        <w:rPr>
          <w:sz w:val="15"/>
        </w:rPr>
      </w:pPr>
      <w:r>
        <w:t xml:space="preserve">数据来源：Euromonitor， </w:t>
      </w:r>
    </w:p>
    <w:p>
      <w:pPr>
        <w:spacing w:after="0"/>
        <w:jc w:val="left"/>
        <w:rPr>
          <w:sz w:val="15"/>
        </w:rPr>
        <w:sectPr>
          <w:headerReference w:type="default" r:id="rId36"/>
          <w:footerReference w:type="default" r:id="rId37"/>
          <w:type w:val="nextPage"/>
          <w:pgSz w:w="11910" w:h="16840"/>
          <w:pgMar w:top="1360" w:right="520" w:bottom="660" w:left="840" w:header="708" w:footer="708"/>
          <w:pgNumType w:start="14"/>
          <w:cols w:space="708"/>
          <w:titlePg w:val="0"/>
        </w:sectPr>
      </w:pPr>
    </w:p>
    <w:p>
      <w:pPr>
        <w:spacing w:before="109"/>
        <w:ind w:left="2955" w:right="0" w:firstLine="0"/>
        <w:jc w:val="left"/>
        <w:rPr>
          <w:sz w:val="21"/>
        </w:rPr>
      </w:pPr>
      <w:r>
        <w:pict>
          <v:shape id="_x0000_s1213" type="#_x0000_t202" style="width:60pt;height:12pt;margin-top:36.85pt;margin-left:362.83pt;mso-position-horizontal-relative:page;mso-position-vertical-relative:page;position:absolute;z-index:-251578368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丨公司名称</w:t>
                  </w:r>
                </w:p>
              </w:txbxContent>
            </v:textbox>
          </v:shape>
        </w:pict>
      </w:r>
      <w:r>
        <w:rPr>
          <w:b/>
          <w:sz w:val="21"/>
        </w:rPr>
        <w:t>商超渠道是美、英、德烘焙产品的主要零售渠道。2</w:t>
      </w:r>
      <w:r>
        <w:rPr>
          <w:sz w:val="21"/>
        </w:rPr>
        <w:t>022 年美、英、德商超渠道</w:t>
      </w:r>
    </w:p>
    <w:p>
      <w:pPr>
        <w:pStyle w:val="BodyText"/>
        <w:spacing w:before="120" w:line="348" w:lineRule="auto"/>
        <w:ind w:left="2532" w:right="114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2409698</wp:posOffset>
            </wp:positionH>
            <wp:positionV relativeFrom="paragraph">
              <wp:posOffset>362711</wp:posOffset>
            </wp:positionV>
            <wp:extent cx="63500" cy="95250"/>
            <wp:effectExtent l="0" t="0" r="0" b="0"/>
            <wp:wrapNone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2877995</wp:posOffset>
            </wp:positionH>
            <wp:positionV relativeFrom="paragraph">
              <wp:posOffset>362711</wp:posOffset>
            </wp:positionV>
            <wp:extent cx="63500" cy="95250"/>
            <wp:effectExtent l="0" t="0" r="0" b="0"/>
            <wp:wrapNone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3345815</wp:posOffset>
            </wp:positionH>
            <wp:positionV relativeFrom="paragraph">
              <wp:posOffset>362711</wp:posOffset>
            </wp:positionV>
            <wp:extent cx="63500" cy="95250"/>
            <wp:effectExtent l="0" t="0" r="0" b="0"/>
            <wp:wrapNone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5150533</wp:posOffset>
            </wp:positionH>
            <wp:positionV relativeFrom="paragraph">
              <wp:posOffset>609599</wp:posOffset>
            </wp:positionV>
            <wp:extent cx="63500" cy="95250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4145963</wp:posOffset>
            </wp:positionH>
            <wp:positionV relativeFrom="paragraph">
              <wp:posOffset>1353311</wp:posOffset>
            </wp:positionV>
            <wp:extent cx="63500" cy="95250"/>
            <wp:effectExtent l="0" t="0" r="0" b="0"/>
            <wp:wrapNone/>
            <wp:docPr id="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4681141</wp:posOffset>
            </wp:positionH>
            <wp:positionV relativeFrom="paragraph">
              <wp:posOffset>2095499</wp:posOffset>
            </wp:positionV>
            <wp:extent cx="63500" cy="95250"/>
            <wp:effectExtent l="0" t="0" r="0" b="0"/>
            <wp:wrapNone/>
            <wp:docPr id="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5149009</wp:posOffset>
            </wp:positionH>
            <wp:positionV relativeFrom="paragraph">
              <wp:posOffset>2095499</wp:posOffset>
            </wp:positionV>
            <wp:extent cx="63500" cy="95250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5616828</wp:posOffset>
            </wp:positionH>
            <wp:positionV relativeFrom="paragraph">
              <wp:posOffset>2095499</wp:posOffset>
            </wp:positionV>
            <wp:extent cx="63500" cy="95250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（Supermakets</w:t>
      </w:r>
      <w:r>
        <w:rPr>
          <w:spacing w:val="16"/>
        </w:rPr>
        <w:t>、</w:t>
      </w:r>
      <w:r>
        <w:t>Hypermarkets</w:t>
      </w:r>
      <w:r>
        <w:rPr>
          <w:spacing w:val="16"/>
        </w:rPr>
        <w:t>、</w:t>
      </w:r>
      <w:r>
        <w:t>Discounters）</w:t>
      </w:r>
      <w:r>
        <w:rPr>
          <w:spacing w:val="13"/>
        </w:rPr>
        <w:t>销售额在零售渠道的占比分别为68.7、61.3</w:t>
      </w:r>
      <w:r>
        <w:rPr>
          <w:spacing w:val="-3"/>
        </w:rPr>
        <w:t>、</w:t>
      </w:r>
      <w:r>
        <w:t>69.1</w:t>
      </w:r>
      <w:r>
        <w:rPr>
          <w:spacing w:val="-3"/>
        </w:rPr>
        <w:t>，为主要的烘焙食品零售渠道。在商超渠道的细分渠道中，</w:t>
      </w:r>
      <w:r>
        <w:rPr>
          <w:spacing w:val="-115"/>
        </w:rPr>
        <w:t>美</w:t>
      </w:r>
      <w:r>
        <w:t>国占比最高的是supermakets，2022</w:t>
      </w:r>
      <w:r>
        <w:rPr>
          <w:spacing w:val="1"/>
        </w:rPr>
        <w:t xml:space="preserve"> 年占比为 </w:t>
      </w:r>
      <w:r>
        <w:t>45.6。美国的Supermakets</w:t>
      </w:r>
      <w:r>
        <w:rPr>
          <w:spacing w:val="-24"/>
        </w:rPr>
        <w:t>购物便捷，</w:t>
      </w:r>
      <w:r>
        <w:rPr>
          <w:spacing w:val="-103"/>
        </w:rPr>
        <w:t xml:space="preserve"> </w:t>
      </w:r>
      <w:r>
        <w:t xml:space="preserve">性价比较高，以沃尔玛为例，沃尔玛作为美国最大的食品零售商，以“始终低价”  战略著称，超过 </w:t>
      </w:r>
      <w:r>
        <w:rPr>
          <w:rFonts w:ascii="Arial" w:eastAsia="Arial" w:hAnsi="Arial"/>
        </w:rPr>
        <w:t>90%</w:t>
      </w:r>
      <w:r>
        <w:rPr>
          <w:spacing w:val="-2"/>
        </w:rPr>
        <w:t xml:space="preserve">的美国人住在沃尔玛门店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49"/>
        </w:rPr>
        <w:t xml:space="preserve"> </w:t>
      </w:r>
      <w:r>
        <w:rPr>
          <w:spacing w:val="-3"/>
        </w:rPr>
        <w:t>英里范围内。德国商超渠道中占比最高的是Discounters</w:t>
      </w:r>
      <w:r>
        <w:rPr>
          <w:spacing w:val="2"/>
        </w:rPr>
        <w:t xml:space="preserve">，为 </w:t>
      </w:r>
      <w:r>
        <w:t>42.9，</w:t>
      </w:r>
      <w:r>
        <w:rPr>
          <w:spacing w:val="-3"/>
        </w:rPr>
        <w:t>硬折扣模式最先在德国出现，这种模式下的折扣店虽然品类</w:t>
      </w:r>
      <w:r>
        <w:rPr>
          <w:spacing w:val="3"/>
        </w:rPr>
        <w:t>有</w:t>
      </w:r>
      <w:r>
        <w:t>限，但是价格极低，在德国占据了食品杂货零售行</w:t>
      </w:r>
      <w:r>
        <w:rPr>
          <w:spacing w:val="3"/>
        </w:rPr>
        <w:t>业</w:t>
      </w:r>
      <w:r>
        <w:rPr>
          <w:spacing w:val="4"/>
        </w:rPr>
        <w:t>将</w:t>
      </w:r>
      <w:r>
        <w:t>近</w:t>
      </w:r>
      <w:r>
        <w:rPr>
          <w:spacing w:val="90"/>
        </w:rPr>
        <w:t xml:space="preserve"> </w:t>
      </w:r>
      <w:r>
        <w:t>50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份</w:t>
      </w:r>
      <w:r>
        <w:rPr>
          <w:spacing w:val="4"/>
        </w:rPr>
        <w:t>额</w:t>
      </w:r>
      <w:r>
        <w:t>， 位于德国总部的ALDL是全球硬折扣经营的领导者。英国商超渠道中Hypermarkets、Supermakets</w:t>
      </w:r>
      <w:r>
        <w:rPr>
          <w:spacing w:val="-3"/>
        </w:rPr>
        <w:t>、</w:t>
      </w:r>
      <w:r>
        <w:t>Discounters</w:t>
      </w:r>
      <w:r>
        <w:rPr>
          <w:spacing w:val="3"/>
        </w:rPr>
        <w:t xml:space="preserve">分别占比 </w:t>
      </w:r>
      <w:r>
        <w:t>24.40、23.3、13.6，</w:t>
      </w:r>
      <w:r>
        <w:rPr>
          <w:spacing w:val="-15"/>
        </w:rPr>
        <w:t>传统超市占比相较于</w:t>
      </w:r>
      <w:r>
        <w:t xml:space="preserve">折扣店占比较高，主要由于ALDL等折扣店缺乏在线供应且产品选择范围有限，顾客  </w:t>
      </w:r>
      <w:r>
        <w:rPr>
          <w:spacing w:val="-3"/>
        </w:rPr>
        <w:t>更青睐传统超市。</w:t>
      </w:r>
    </w:p>
    <w:p>
      <w:pPr>
        <w:pStyle w:val="BodyText"/>
        <w:spacing w:before="157" w:line="348" w:lineRule="auto"/>
        <w:ind w:left="2532" w:right="320" w:firstLine="423"/>
        <w:jc w:val="both"/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5888530</wp:posOffset>
            </wp:positionH>
            <wp:positionV relativeFrom="paragraph">
              <wp:posOffset>384683</wp:posOffset>
            </wp:positionV>
            <wp:extent cx="63500" cy="95250"/>
            <wp:effectExtent l="0" t="0" r="0" b="0"/>
            <wp:wrapNone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6155182</wp:posOffset>
            </wp:positionH>
            <wp:positionV relativeFrom="paragraph">
              <wp:posOffset>1128395</wp:posOffset>
            </wp:positionV>
            <wp:extent cx="63500" cy="95250"/>
            <wp:effectExtent l="0" t="0" r="0" b="0"/>
            <wp:wrapNone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"/>
        </w:rPr>
        <w:t>烘焙门店是法国烘焙食品销售的主要零售渠道，承担一定的社交功能。</w:t>
      </w:r>
      <w:r>
        <w:t>2022</w:t>
      </w:r>
      <w:r>
        <w:rPr>
          <w:spacing w:val="-1"/>
        </w:rPr>
        <w:t xml:space="preserve"> 年法国Food/drink/tobacco </w:t>
      </w:r>
      <w:r>
        <w:t>specialists</w:t>
      </w:r>
      <w:r>
        <w:rPr>
          <w:spacing w:val="-8"/>
        </w:rPr>
        <w:t xml:space="preserve">渠道销售额占比约为 </w:t>
      </w:r>
      <w:r>
        <w:t>64.9</w:t>
      </w:r>
      <w:r>
        <w:rPr>
          <w:spacing w:val="-16"/>
        </w:rPr>
        <w:t>，法棍是法国最主</w:t>
      </w:r>
      <w:r>
        <w:t>要的主食，去面包店购买法棍是法国人日常生活的重要组成部分。根据法国政府的规定，传统手工艺制作的法棍只能由面包店制作。同时面包店也是产生社会联系的</w:t>
      </w:r>
      <w:r>
        <w:rPr>
          <w:spacing w:val="-3"/>
        </w:rPr>
        <w:t>地方，拥有一定的社交属性。根据美国金融服务公司的调查显示</w:t>
      </w:r>
      <w:r>
        <w:t>，22</w:t>
      </w:r>
      <w:r>
        <w:rPr>
          <w:spacing w:val="-20"/>
        </w:rPr>
        <w:t>的法国受访者</w:t>
      </w:r>
      <w:r>
        <w:rPr>
          <w:spacing w:val="-3"/>
        </w:rPr>
        <w:t>每天都去面包店，三分之一的法国受访者每星期至少去三次面包店。</w:t>
      </w:r>
    </w:p>
    <w:p>
      <w:pPr>
        <w:pStyle w:val="BodyText"/>
        <w:spacing w:before="155" w:line="348" w:lineRule="auto"/>
        <w:ind w:left="2532" w:right="112" w:firstLine="423"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6456982</wp:posOffset>
            </wp:positionH>
            <wp:positionV relativeFrom="paragraph">
              <wp:posOffset>383667</wp:posOffset>
            </wp:positionV>
            <wp:extent cx="63500" cy="95250"/>
            <wp:effectExtent l="0" t="0" r="0" b="0"/>
            <wp:wrapNone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6956854</wp:posOffset>
            </wp:positionH>
            <wp:positionV relativeFrom="paragraph">
              <wp:posOffset>383667</wp:posOffset>
            </wp:positionV>
            <wp:extent cx="63500" cy="95250"/>
            <wp:effectExtent l="0" t="0" r="0" b="0"/>
            <wp:wrapNone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日本便利店门店密度较高，便利店渠道占比最高。</w:t>
      </w:r>
      <w:r>
        <w:t xml:space="preserve">日本最主要的烘焙产品零售 </w:t>
      </w:r>
      <w:r>
        <w:rPr>
          <w:spacing w:val="-8"/>
        </w:rPr>
        <w:t xml:space="preserve">渠道是便利店，占比为 </w:t>
      </w:r>
      <w:r>
        <w:rPr>
          <w:rFonts w:ascii="Arial" w:eastAsia="Arial" w:hAnsi="Arial"/>
        </w:rPr>
        <w:t>27.9%</w:t>
      </w:r>
      <w:r>
        <w:t>，高于Supermakets</w:t>
      </w:r>
      <w:r>
        <w:rPr>
          <w:spacing w:val="2"/>
        </w:rPr>
        <w:t xml:space="preserve">和 </w:t>
      </w:r>
      <w:r>
        <w:t>Hypermarkets</w:t>
      </w:r>
      <w:r>
        <w:rPr>
          <w:spacing w:val="-25"/>
        </w:rPr>
        <w:t xml:space="preserve">的 </w:t>
      </w:r>
      <w:r>
        <w:t>25.1</w:t>
      </w:r>
      <w:r>
        <w:rPr>
          <w:spacing w:val="-26"/>
        </w:rPr>
        <w:t xml:space="preserve">和 </w:t>
      </w:r>
      <w:r>
        <w:rPr>
          <w:spacing w:val="-37"/>
        </w:rPr>
        <w:t xml:space="preserve">14.2， </w:t>
      </w:r>
      <w:r>
        <w:t>主要是由于日本的便利店密度高，服务便捷快速，已经成为日本居民日常生活不可  或缺的一部分。日本是全球多家头部连锁便利店企业的发源地，开创了现代便利店  行业的经营模式。目前日本的便利店已经接近饱和状态，2016-2021</w:t>
      </w:r>
      <w:r>
        <w:rPr>
          <w:spacing w:val="12"/>
        </w:rPr>
        <w:t xml:space="preserve"> 年便利店数量保</w:t>
      </w:r>
      <w:r>
        <w:rPr>
          <w:spacing w:val="-11"/>
        </w:rPr>
        <w:t xml:space="preserve">持在约 </w:t>
      </w:r>
      <w:r>
        <w:t>5.6</w:t>
      </w:r>
      <w:r>
        <w:rPr>
          <w:spacing w:val="-9"/>
        </w:rPr>
        <w:t xml:space="preserve"> 万家左右，渗透率高居世界前列</w:t>
      </w:r>
      <w:r>
        <w:t>，2021</w:t>
      </w:r>
      <w:r>
        <w:rPr>
          <w:spacing w:val="-8"/>
        </w:rPr>
        <w:t xml:space="preserve"> 年渗透率约为中国的四倍。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2"/>
        <w:ind w:left="2563"/>
      </w:pPr>
      <w:bookmarkStart w:id="4" w:name="_TOC_250013"/>
      <w:r>
        <w:rPr>
          <w:rFonts w:ascii="Arial" w:eastAsia="Arial"/>
        </w:rPr>
        <w:t xml:space="preserve">1.4 </w:t>
      </w:r>
      <w:bookmarkEnd w:id="4"/>
      <w:r>
        <w:t>渠道多元化趋势显现，把握新渠道机遇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BodyText"/>
        <w:spacing w:line="348" w:lineRule="auto"/>
        <w:ind w:left="2532" w:right="320" w:firstLine="423"/>
        <w:jc w:val="both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4550077</wp:posOffset>
            </wp:positionH>
            <wp:positionV relativeFrom="paragraph">
              <wp:posOffset>1277492</wp:posOffset>
            </wp:positionV>
            <wp:extent cx="63500" cy="95250"/>
            <wp:effectExtent l="0" t="0" r="0" b="0"/>
            <wp:wrapNone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传统饼房渠道占比下降。</w:t>
      </w:r>
      <w:r>
        <w:t>烘焙门店的选址主要在商场、沿街等，具备一定便利性，可以为消费者提供较为广泛的产品选择，因此过去发展迅速，但是目前烘焙门店面临成本较高和商超、便利店、茶饮餐饮和线上等新兴渠道的竞争等问题，烘焙</w:t>
      </w:r>
      <w:r>
        <w:rPr>
          <w:spacing w:val="-1"/>
        </w:rPr>
        <w:t>门店数量减少，我国烘焙门店数量由</w:t>
      </w:r>
      <w:r>
        <w:t>2019</w:t>
      </w:r>
      <w:r>
        <w:rPr>
          <w:spacing w:val="-10"/>
        </w:rPr>
        <w:t xml:space="preserve"> 年的</w:t>
      </w:r>
      <w:r>
        <w:t>47.9</w:t>
      </w:r>
      <w:r>
        <w:rPr>
          <w:spacing w:val="-7"/>
        </w:rPr>
        <w:t xml:space="preserve"> 万家下降至</w:t>
      </w:r>
      <w:r>
        <w:t>2023</w:t>
      </w:r>
      <w:r>
        <w:rPr>
          <w:spacing w:val="-14"/>
        </w:rPr>
        <w:t xml:space="preserve"> 年</w:t>
      </w:r>
      <w:r>
        <w:t>10</w:t>
      </w:r>
      <w:r>
        <w:rPr>
          <w:spacing w:val="-10"/>
        </w:rPr>
        <w:t xml:space="preserve"> 月的</w:t>
      </w:r>
      <w:r>
        <w:t>43.7 万家。同时烘焙门店更新迭代较快，存活率也较低，根据美团数据统计显示，我国烘焙</w:t>
      </w:r>
      <w:r>
        <w:rPr>
          <w:spacing w:val="-3"/>
        </w:rPr>
        <w:t>门</w:t>
      </w:r>
      <w:r>
        <w:t>店</w:t>
      </w:r>
      <w:r>
        <w:rPr>
          <w:spacing w:val="-3"/>
        </w:rPr>
        <w:t>平</w:t>
      </w:r>
      <w:r>
        <w:t>均</w:t>
      </w:r>
      <w:r>
        <w:rPr>
          <w:spacing w:val="-3"/>
        </w:rPr>
        <w:t>存</w:t>
      </w:r>
      <w:r>
        <w:t>活时长</w:t>
      </w:r>
      <w:r>
        <w:rPr>
          <w:spacing w:val="-33"/>
        </w:rPr>
        <w:t xml:space="preserve"> </w:t>
      </w:r>
      <w:r>
        <w:t>32</w:t>
      </w:r>
      <w:r>
        <w:rPr>
          <w:spacing w:val="-29"/>
        </w:rPr>
        <w:t xml:space="preserve"> </w:t>
      </w:r>
      <w:r>
        <w:t>个月，有</w:t>
      </w:r>
      <w:r>
        <w:rPr>
          <w:spacing w:val="-29"/>
        </w:rPr>
        <w:t xml:space="preserve"> </w:t>
      </w:r>
      <w:r>
        <w:t>57.7的</w:t>
      </w:r>
      <w:r>
        <w:rPr>
          <w:spacing w:val="-3"/>
        </w:rPr>
        <w:t>门店</w:t>
      </w:r>
      <w:r>
        <w:t>在</w:t>
      </w:r>
      <w:r>
        <w:rPr>
          <w:spacing w:val="-30"/>
        </w:rPr>
        <w:t xml:space="preserve"> </w:t>
      </w:r>
      <w:r>
        <w:t>2</w:t>
      </w:r>
      <w:r>
        <w:rPr>
          <w:spacing w:val="-30"/>
        </w:rPr>
        <w:t xml:space="preserve"> </w:t>
      </w:r>
      <w:r>
        <w:t>年内</w:t>
      </w:r>
      <w:r>
        <w:rPr>
          <w:spacing w:val="-3"/>
        </w:rPr>
        <w:t>倒</w:t>
      </w:r>
      <w:r>
        <w:t>闭</w:t>
      </w:r>
      <w:r>
        <w:rPr>
          <w:spacing w:val="-3"/>
        </w:rPr>
        <w:t>，</w:t>
      </w:r>
      <w:r>
        <w:t>只有</w:t>
      </w:r>
      <w:r>
        <w:rPr>
          <w:spacing w:val="-29"/>
        </w:rPr>
        <w:t xml:space="preserve"> </w:t>
      </w:r>
      <w:r>
        <w:t>23.8</w:t>
      </w:r>
      <w:r>
        <w:rPr>
          <w:spacing w:val="-105"/>
        </w:rPr>
        <w:t xml:space="preserve"> 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</w:t>
      </w:r>
      <w:r>
        <w:rPr>
          <w:spacing w:val="-3"/>
        </w:rPr>
        <w:t>烘</w:t>
      </w:r>
      <w:r>
        <w:rPr>
          <w:spacing w:val="-101"/>
        </w:rPr>
        <w:t>焙</w:t>
      </w:r>
    </w:p>
    <w:p>
      <w:pPr>
        <w:pStyle w:val="BodyText"/>
        <w:spacing w:line="348" w:lineRule="auto"/>
        <w:ind w:left="2532" w:right="311"/>
        <w:jc w:val="both"/>
      </w:pPr>
      <w:r>
        <w:rPr>
          <w:spacing w:val="13"/>
        </w:rPr>
        <w:t xml:space="preserve">店能活 </w:t>
      </w:r>
      <w:r>
        <w:t>4</w:t>
      </w:r>
      <w:r>
        <w:rPr>
          <w:spacing w:val="11"/>
        </w:rPr>
        <w:t xml:space="preserve"> 年以上。因此近年来我国烘焙门店在烘焙食品渠道的占比下降，根据Euromonitor，我国Food/drink/tobacco</w:t>
      </w:r>
      <w:r>
        <w:rPr>
          <w:spacing w:val="23"/>
        </w:rPr>
        <w:t xml:space="preserve"> </w:t>
      </w:r>
      <w:r>
        <w:t>specialists</w:t>
      </w:r>
      <w:r>
        <w:rPr>
          <w:spacing w:val="-3"/>
        </w:rPr>
        <w:t>渠道销售额在零售渠道的占比从</w:t>
      </w:r>
      <w:r>
        <w:rPr>
          <w:spacing w:val="-53"/>
        </w:rPr>
        <w:t xml:space="preserve"> </w:t>
      </w:r>
      <w:r>
        <w:t>2018</w:t>
      </w:r>
      <w:r>
        <w:rPr>
          <w:spacing w:val="-52"/>
        </w:rPr>
        <w:t xml:space="preserve"> </w:t>
      </w:r>
      <w:r>
        <w:rPr>
          <w:spacing w:val="-3"/>
        </w:rPr>
        <w:t>年</w:t>
      </w:r>
      <w:r>
        <w:t>的</w:t>
      </w:r>
      <w:r>
        <w:rPr>
          <w:spacing w:val="-52"/>
        </w:rPr>
        <w:t xml:space="preserve"> </w:t>
      </w:r>
      <w:r>
        <w:t>55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下</w:t>
      </w:r>
      <w:r>
        <w:t>降至</w:t>
      </w:r>
      <w:r>
        <w:rPr>
          <w:spacing w:val="-53"/>
        </w:rPr>
        <w:t xml:space="preserve"> </w:t>
      </w:r>
      <w:r>
        <w:t>2022</w:t>
      </w:r>
      <w:r>
        <w:rPr>
          <w:spacing w:val="-53"/>
        </w:rPr>
        <w:t xml:space="preserve"> </w:t>
      </w:r>
      <w:r>
        <w:rPr>
          <w:spacing w:val="-3"/>
        </w:rPr>
        <w:t>年</w:t>
      </w:r>
      <w:r>
        <w:t>的</w:t>
      </w:r>
      <w:r>
        <w:rPr>
          <w:spacing w:val="-52"/>
        </w:rPr>
        <w:t xml:space="preserve"> </w:t>
      </w:r>
      <w:r>
        <w:t>51.3</w:t>
      </w:r>
      <w:r>
        <w:rPr>
          <w:spacing w:val="-105"/>
        </w:rPr>
        <w:t xml:space="preserve"> </w:t>
      </w:r>
      <w:r>
        <w:rPr>
          <w:spacing w:val="-1"/>
          <w:w w:val="100"/>
        </w:rPr>
        <w:drawing>
          <wp:inline distT="0" distB="0" distL="0" distR="0">
            <wp:extent cx="63500" cy="95250"/>
            <wp:effectExtent l="0" t="0" r="0" b="0"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</w:p>
    <w:p>
      <w:pPr>
        <w:spacing w:after="0" w:line="348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https://d.book118.com/818040006125006034</w:t>
        </w:r>
      </w:hyperlink>
    </w:p>
    <w:p>
      <w:pPr>
        <w:spacing w:after="0" w:line="348" w:lineRule="auto"/>
        <w:jc w:val="both"/>
      </w:pPr>
    </w:p>
    <w:sectPr>
      <w:headerReference w:type="default" r:id="rId39"/>
      <w:footerReference w:type="default" r:id="rId40"/>
      <w:pgSz w:w="11910" w:h="16840"/>
      <w:pgMar w:top="1360" w:right="520" w:bottom="660" w:left="84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03DE8"/>
    <w:multiLevelType w:val="hybridMultilevel"/>
    <w:tmpl w:val="00000000"/>
    <w:lvl w:ilvl="0">
      <w:start w:val="2"/>
      <w:numFmt w:val="decimal"/>
      <w:lvlText w:val="%1"/>
      <w:lvlJc w:val="left"/>
      <w:pPr>
        <w:ind w:left="2482" w:hanging="370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2482" w:hanging="370"/>
        <w:jc w:val="left"/>
      </w:pPr>
      <w:rPr>
        <w:rFonts w:ascii="楷体" w:eastAsia="楷体" w:hAnsi="楷体" w:cs="楷体" w:hint="default"/>
        <w:b/>
        <w:bCs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093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99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06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3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19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6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33" w:hanging="370"/>
      </w:pPr>
      <w:rPr>
        <w:rFonts w:hint="default"/>
        <w:lang w:val="zh-CN" w:eastAsia="zh-CN" w:bidi="zh-CN"/>
      </w:rPr>
    </w:lvl>
  </w:abstractNum>
  <w:abstractNum w:abstractNumId="1">
    <w:nsid w:val="1A5BC0B8"/>
    <w:multiLevelType w:val="hybridMultilevel"/>
    <w:tmpl w:val="00000000"/>
    <w:lvl w:ilvl="0">
      <w:start w:val="3"/>
      <w:numFmt w:val="decimal"/>
      <w:lvlText w:val="%1."/>
      <w:lvlJc w:val="left"/>
      <w:pPr>
        <w:ind w:left="2324" w:hanging="213"/>
        <w:jc w:val="left"/>
      </w:pPr>
      <w:rPr>
        <w:rFonts w:ascii="楷体" w:eastAsia="楷体" w:hAnsi="楷体" w:cs="楷体" w:hint="default"/>
        <w:b/>
        <w:bCs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2"/>
      <w:lvlJc w:val="left"/>
      <w:pPr>
        <w:ind w:left="2765" w:hanging="202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2.%3"/>
      <w:lvlJc w:val="left"/>
      <w:pPr>
        <w:ind w:left="2914" w:hanging="351"/>
        <w:jc w:val="left"/>
      </w:pPr>
      <w:rPr>
        <w:rFonts w:ascii="Arial" w:eastAsia="Arial" w:hAnsi="Arial" w:cs="Arial" w:hint="default"/>
        <w:b/>
        <w:bCs/>
        <w:spacing w:val="-1"/>
        <w:w w:val="100"/>
        <w:sz w:val="21"/>
        <w:szCs w:val="21"/>
        <w:lang w:val="zh-CN" w:eastAsia="zh-CN" w:bidi="zh-CN"/>
      </w:rPr>
    </w:lvl>
    <w:lvl w:ilvl="3">
      <w:start w:val="1"/>
      <w:numFmt w:val="decimal"/>
      <w:lvlText w:val="%4）"/>
      <w:lvlJc w:val="left"/>
      <w:pPr>
        <w:ind w:left="2532" w:hanging="330"/>
        <w:jc w:val="left"/>
      </w:pPr>
      <w:rPr>
        <w:rFonts w:ascii="Arial" w:eastAsia="Arial" w:hAnsi="Arial" w:cs="Arial" w:hint="default"/>
        <w:w w:val="100"/>
        <w:sz w:val="19"/>
        <w:szCs w:val="19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09" w:hanging="33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98" w:hanging="33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88" w:hanging="33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77" w:hanging="33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67" w:hanging="330"/>
      </w:pPr>
      <w:rPr>
        <w:rFonts w:hint="default"/>
        <w:lang w:val="zh-CN" w:eastAsia="zh-CN" w:bidi="zh-CN"/>
      </w:rPr>
    </w:lvl>
  </w:abstractNum>
  <w:abstractNum w:abstractNumId="2">
    <w:nsid w:val="27DB7F2F"/>
    <w:multiLevelType w:val="hybridMultilevel"/>
    <w:tmpl w:val="00000000"/>
    <w:lvl w:ilvl="0">
      <w:start w:val="1"/>
      <w:numFmt w:val="decimal"/>
      <w:lvlText w:val="%1）"/>
      <w:lvlJc w:val="left"/>
      <w:pPr>
        <w:ind w:left="2532" w:hanging="330"/>
        <w:jc w:val="left"/>
      </w:pPr>
      <w:rPr>
        <w:rFonts w:ascii="Arial" w:eastAsia="Arial" w:hAnsi="Arial" w:cs="Arial" w:hint="default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340" w:hanging="33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141" w:hanging="33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41" w:hanging="33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42" w:hanging="33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43" w:hanging="33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43" w:hanging="33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4" w:hanging="33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45" w:hanging="330"/>
      </w:pPr>
      <w:rPr>
        <w:rFonts w:hint="default"/>
        <w:lang w:val="zh-CN" w:eastAsia="zh-CN" w:bidi="zh-CN"/>
      </w:rPr>
    </w:lvl>
  </w:abstractNum>
  <w:abstractNum w:abstractNumId="3">
    <w:nsid w:val="3117AF4C"/>
    <w:multiLevelType w:val="hybridMultilevel"/>
    <w:tmpl w:val="00000000"/>
    <w:lvl w:ilvl="0">
      <w:start w:val="3"/>
      <w:numFmt w:val="decimal"/>
      <w:lvlText w:val="%1."/>
      <w:lvlJc w:val="left"/>
      <w:pPr>
        <w:ind w:left="2324" w:hanging="213"/>
        <w:jc w:val="left"/>
      </w:pPr>
      <w:rPr>
        <w:rFonts w:ascii="楷体" w:eastAsia="楷体" w:hAnsi="楷体" w:cs="楷体" w:hint="default"/>
        <w:b/>
        <w:bCs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2"/>
      <w:lvlJc w:val="left"/>
      <w:pPr>
        <w:ind w:left="2765" w:hanging="202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2.%3"/>
      <w:lvlJc w:val="left"/>
      <w:pPr>
        <w:ind w:left="2914" w:hanging="351"/>
        <w:jc w:val="left"/>
      </w:pPr>
      <w:rPr>
        <w:rFonts w:ascii="Arial" w:eastAsia="Arial" w:hAnsi="Arial" w:cs="Arial" w:hint="default"/>
        <w:b/>
        <w:bCs/>
        <w:spacing w:val="-1"/>
        <w:w w:val="100"/>
        <w:sz w:val="21"/>
        <w:szCs w:val="21"/>
        <w:lang w:val="zh-CN" w:eastAsia="zh-CN" w:bidi="zh-CN"/>
      </w:rPr>
    </w:lvl>
    <w:lvl w:ilvl="3">
      <w:start w:val="1"/>
      <w:numFmt w:val="decimal"/>
      <w:lvlText w:val="%4）"/>
      <w:lvlJc w:val="left"/>
      <w:pPr>
        <w:ind w:left="2532" w:hanging="330"/>
        <w:jc w:val="left"/>
      </w:pPr>
      <w:rPr>
        <w:rFonts w:ascii="Arial" w:eastAsia="Arial" w:hAnsi="Arial" w:cs="Arial" w:hint="default"/>
        <w:w w:val="100"/>
        <w:sz w:val="19"/>
        <w:szCs w:val="19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09" w:hanging="33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98" w:hanging="33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88" w:hanging="33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77" w:hanging="33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67" w:hanging="330"/>
      </w:pPr>
      <w:rPr>
        <w:rFonts w:hint="default"/>
        <w:lang w:val="zh-CN" w:eastAsia="zh-CN" w:bidi="zh-CN"/>
      </w:rPr>
    </w:lvl>
  </w:abstractNum>
  <w:abstractNum w:abstractNumId="4">
    <w:nsid w:val="341691FF"/>
    <w:multiLevelType w:val="hybridMultilevel"/>
    <w:tmpl w:val="00000000"/>
    <w:lvl w:ilvl="0">
      <w:start w:val="1"/>
      <w:numFmt w:val="decimal"/>
      <w:lvlText w:val="%1）"/>
      <w:lvlJc w:val="left"/>
      <w:pPr>
        <w:ind w:left="2532" w:hanging="330"/>
        <w:jc w:val="left"/>
      </w:pPr>
      <w:rPr>
        <w:rFonts w:ascii="Arial" w:eastAsia="Arial" w:hAnsi="Arial" w:cs="Arial" w:hint="default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340" w:hanging="33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141" w:hanging="33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41" w:hanging="33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42" w:hanging="33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43" w:hanging="33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43" w:hanging="33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4" w:hanging="33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45" w:hanging="330"/>
      </w:pPr>
      <w:rPr>
        <w:rFonts w:hint="default"/>
        <w:lang w:val="zh-CN" w:eastAsia="zh-CN" w:bidi="zh-CN"/>
      </w:rPr>
    </w:lvl>
  </w:abstractNum>
  <w:abstractNum w:abstractNumId="5">
    <w:nsid w:val="3B0C4147"/>
    <w:multiLevelType w:val="hybridMultilevel"/>
    <w:tmpl w:val="00000000"/>
    <w:lvl w:ilvl="0">
      <w:start w:val="2"/>
      <w:numFmt w:val="decimal"/>
      <w:lvlText w:val="%1"/>
      <w:lvlJc w:val="left"/>
      <w:pPr>
        <w:ind w:left="2905" w:hanging="342"/>
        <w:jc w:val="left"/>
      </w:pPr>
      <w:rPr>
        <w:rFonts w:hint="default"/>
        <w:lang w:val="zh-CN" w:eastAsia="zh-CN" w:bidi="zh-CN"/>
      </w:rPr>
    </w:lvl>
    <w:lvl w:ilvl="1">
      <w:start w:val="8"/>
      <w:numFmt w:val="decimal"/>
      <w:lvlText w:val="%1.%2"/>
      <w:lvlJc w:val="left"/>
      <w:pPr>
        <w:ind w:left="2905" w:hanging="342"/>
        <w:jc w:val="left"/>
      </w:pPr>
      <w:rPr>
        <w:rFonts w:ascii="Arial" w:eastAsia="Arial" w:hAnsi="Arial" w:cs="Arial" w:hint="default"/>
        <w:b/>
        <w:bCs/>
        <w:spacing w:val="-1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429" w:hanging="3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193" w:hanging="3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958" w:hanging="3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23" w:hanging="3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87" w:hanging="3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52" w:hanging="3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17" w:hanging="342"/>
      </w:pPr>
      <w:rPr>
        <w:rFonts w:hint="default"/>
        <w:lang w:val="zh-CN" w:eastAsia="zh-CN" w:bidi="zh-CN"/>
      </w:rPr>
    </w:lvl>
  </w:abstractNum>
  <w:abstractNum w:abstractNumId="6">
    <w:nsid w:val="53E21DF0"/>
    <w:multiLevelType w:val="hybridMultilevel"/>
    <w:tmpl w:val="00000000"/>
    <w:lvl w:ilvl="0">
      <w:start w:val="1"/>
      <w:numFmt w:val="decimal"/>
      <w:lvlText w:val="%1"/>
      <w:lvlJc w:val="left"/>
      <w:pPr>
        <w:ind w:left="2323" w:hanging="212"/>
        <w:jc w:val="left"/>
      </w:pPr>
      <w:rPr>
        <w:rFonts w:ascii="楷体" w:eastAsia="楷体" w:hAnsi="楷体" w:cs="楷体" w:hint="default"/>
        <w:b/>
        <w:bCs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82" w:hanging="370"/>
        <w:jc w:val="left"/>
      </w:pPr>
      <w:rPr>
        <w:rFonts w:ascii="楷体" w:eastAsia="楷体" w:hAnsi="楷体" w:cs="楷体" w:hint="default"/>
        <w:b/>
        <w:bCs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76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72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168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065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961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57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753" w:hanging="370"/>
      </w:pPr>
      <w:rPr>
        <w:rFonts w:hint="default"/>
        <w:lang w:val="zh-CN" w:eastAsia="zh-CN" w:bidi="zh-CN"/>
      </w:rPr>
    </w:lvl>
  </w:abstractNum>
  <w:abstractNum w:abstractNumId="7">
    <w:nsid w:val="6336016D"/>
    <w:multiLevelType w:val="hybridMultilevel"/>
    <w:tmpl w:val="00000000"/>
    <w:lvl w:ilvl="0">
      <w:start w:val="1"/>
      <w:numFmt w:val="lowerLetter"/>
      <w:lvlText w:val="%1)"/>
      <w:lvlJc w:val="left"/>
      <w:pPr>
        <w:ind w:left="2532" w:hanging="189"/>
        <w:jc w:val="left"/>
      </w:pPr>
      <w:rPr>
        <w:rFonts w:ascii="Arial" w:eastAsia="Arial" w:hAnsi="Arial" w:cs="Arial" w:hint="default"/>
        <w:spacing w:val="-1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340" w:hanging="18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141" w:hanging="18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41" w:hanging="18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42" w:hanging="18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43" w:hanging="18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43" w:hanging="18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4" w:hanging="18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45" w:hanging="189"/>
      </w:pPr>
      <w:rPr>
        <w:rFonts w:hint="default"/>
        <w:lang w:val="zh-CN" w:eastAsia="zh-CN" w:bidi="zh-CN"/>
      </w:rPr>
    </w:lvl>
  </w:abstractNum>
  <w:abstractNum w:abstractNumId="8">
    <w:nsid w:val="77B1BE9D"/>
    <w:multiLevelType w:val="hybridMultilevel"/>
    <w:tmpl w:val="00000000"/>
    <w:lvl w:ilvl="0">
      <w:start w:val="3"/>
      <w:numFmt w:val="decimal"/>
      <w:lvlText w:val="%1."/>
      <w:lvlJc w:val="left"/>
      <w:pPr>
        <w:ind w:left="2324" w:hanging="213"/>
        <w:jc w:val="left"/>
      </w:pPr>
      <w:rPr>
        <w:rFonts w:ascii="楷体" w:eastAsia="楷体" w:hAnsi="楷体" w:cs="楷体" w:hint="default"/>
        <w:b/>
        <w:bCs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2"/>
      <w:lvlJc w:val="left"/>
      <w:pPr>
        <w:ind w:left="2765" w:hanging="202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2.%3"/>
      <w:lvlJc w:val="left"/>
      <w:pPr>
        <w:ind w:left="2914" w:hanging="351"/>
        <w:jc w:val="left"/>
      </w:pPr>
      <w:rPr>
        <w:rFonts w:ascii="Arial" w:eastAsia="Arial" w:hAnsi="Arial" w:cs="Arial" w:hint="default"/>
        <w:b/>
        <w:bCs/>
        <w:spacing w:val="-1"/>
        <w:w w:val="100"/>
        <w:sz w:val="21"/>
        <w:szCs w:val="21"/>
        <w:lang w:val="zh-CN" w:eastAsia="zh-CN" w:bidi="zh-CN"/>
      </w:rPr>
    </w:lvl>
    <w:lvl w:ilvl="3">
      <w:start w:val="1"/>
      <w:numFmt w:val="decimal"/>
      <w:lvlText w:val="%4）"/>
      <w:lvlJc w:val="left"/>
      <w:pPr>
        <w:ind w:left="2532" w:hanging="330"/>
        <w:jc w:val="left"/>
      </w:pPr>
      <w:rPr>
        <w:rFonts w:ascii="Arial" w:eastAsia="Arial" w:hAnsi="Arial" w:cs="Arial" w:hint="default"/>
        <w:w w:val="100"/>
        <w:sz w:val="19"/>
        <w:szCs w:val="19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09" w:hanging="33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98" w:hanging="33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88" w:hanging="33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77" w:hanging="33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67" w:hanging="330"/>
      </w:pPr>
      <w:rPr>
        <w:rFonts w:hint="default"/>
        <w:lang w:val="zh-CN" w:eastAsia="zh-CN" w:bidi="zh-CN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ind w:left="2755" w:hanging="203"/>
      <w:jc w:val="both"/>
      <w:outlineLvl w:val="0"/>
    </w:pPr>
    <w:rPr>
      <w:rFonts w:ascii="楷体" w:eastAsia="楷体" w:hAnsi="楷体" w:cs="楷体"/>
      <w:b/>
      <w:bCs/>
      <w:sz w:val="24"/>
      <w:szCs w:val="24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2532"/>
      <w:outlineLvl w:val="1"/>
    </w:pPr>
    <w:rPr>
      <w:rFonts w:ascii="楷体" w:eastAsia="楷体" w:hAnsi="楷体" w:cs="楷体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53"/>
      <w:ind w:left="2112"/>
    </w:pPr>
    <w:rPr>
      <w:rFonts w:ascii="楷体" w:eastAsia="楷体" w:hAnsi="楷体" w:cs="楷体"/>
      <w:b/>
      <w:bCs/>
      <w:sz w:val="28"/>
      <w:szCs w:val="28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43"/>
      <w:ind w:left="2112"/>
    </w:pPr>
    <w:rPr>
      <w:rFonts w:ascii="楷体" w:eastAsia="楷体" w:hAnsi="楷体" w:cs="楷体"/>
      <w:b/>
      <w:bCs/>
      <w:sz w:val="21"/>
      <w:szCs w:val="21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43"/>
      <w:ind w:left="2482" w:hanging="370"/>
    </w:pPr>
    <w:rPr>
      <w:rFonts w:ascii="楷体" w:eastAsia="楷体" w:hAnsi="楷体" w:cs="楷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yperlink" Target="https://d.book118.com/818040006125006034" TargetMode="External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footer" Target="footer15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2024-01-30T03:45:31Z</dcterms:created>
  <dcterms:modified xsi:type="dcterms:W3CDTF">2024-01-30T03:45:31Z</dcterms:modified>
</cp:coreProperties>
</file>