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33DA" w:rsidP="00D033DA">
      <w:pPr>
        <w:pStyle w:val="NormalWeb"/>
        <w:spacing w:before="0" w:beforeAutospacing="0" w:after="0" w:afterAutospacing="0"/>
        <w:jc w:val="center"/>
        <w:rPr>
          <w:color w:val="000000"/>
          <w:sz w:val="44"/>
          <w:szCs w:val="44"/>
        </w:rPr>
      </w:pPr>
      <w:r>
        <w:rPr>
          <w:rFonts w:hint="eastAsia"/>
          <w:color w:val="000000"/>
          <w:sz w:val="44"/>
          <w:szCs w:val="44"/>
        </w:rPr>
        <w:t>﻿2024吉林建筑安全员﻿考试题库</w:t>
      </w:r>
    </w:p>
    <w:p w:rsidR="00D033DA" w:rsidP="00D033DA">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D033DA" w:rsidP="00D033DA">
      <w:pPr>
        <w:jc w:val="left"/>
        <w:rPr>
          <w:rFonts w:ascii="宋体" w:hAnsi="宋体" w:cs="宋体"/>
          <w:sz w:val="24"/>
          <w:szCs w:val="24"/>
        </w:rPr>
      </w:pPr>
      <w:r>
        <w:rPr>
          <w:rFonts w:ascii="Times New Roman" w:hAnsi="Times New Roman" w:cs="Times New Roman"/>
          <w:color w:val="000000"/>
          <w:sz w:val="27"/>
          <w:szCs w:val="27"/>
        </w:rPr>
        <w:br/>
      </w:r>
    </w:p>
    <w:p w:rsidR="00D033DA" w:rsidP="00D033DA">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D033DA" w:rsidP="00D033DA">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门型脚手架水平加固杆设置要求不正确的是（</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当脚手架高度超过</w:t>
      </w:r>
      <w:r>
        <w:rPr>
          <w:rFonts w:ascii="Times New Roman" w:hAnsi="Times New Roman" w:cs="Times New Roman"/>
          <w:color w:val="000000"/>
          <w:sz w:val="27"/>
          <w:szCs w:val="27"/>
        </w:rPr>
        <w:t>24m</w:t>
      </w:r>
      <w:r>
        <w:rPr>
          <w:rFonts w:ascii="Times New Roman" w:hAnsi="Times New Roman" w:cs="Times New Roman"/>
          <w:color w:val="000000"/>
          <w:sz w:val="27"/>
          <w:szCs w:val="27"/>
        </w:rPr>
        <w:t>时，应在脚手架外侧每隔</w:t>
      </w:r>
      <w:r>
        <w:rPr>
          <w:rFonts w:ascii="Times New Roman" w:hAnsi="Times New Roman" w:cs="Times New Roman"/>
          <w:color w:val="000000"/>
          <w:sz w:val="27"/>
          <w:szCs w:val="27"/>
        </w:rPr>
        <w:t>4</w:t>
      </w:r>
      <w:r>
        <w:rPr>
          <w:rFonts w:ascii="Times New Roman" w:hAnsi="Times New Roman" w:cs="Times New Roman"/>
          <w:color w:val="000000"/>
          <w:sz w:val="27"/>
          <w:szCs w:val="27"/>
        </w:rPr>
        <w:t>步设置一道，并宜在有连墙件的水平层设置。</w:t>
      </w:r>
      <w:r>
        <w:rPr>
          <w:rFonts w:ascii="Times New Roman" w:hAnsi="Times New Roman" w:cs="Times New Roman"/>
          <w:color w:val="000000"/>
          <w:sz w:val="27"/>
          <w:szCs w:val="27"/>
        </w:rPr>
        <w:br/>
        <w:t>B.</w:t>
      </w:r>
      <w:r>
        <w:rPr>
          <w:rFonts w:ascii="Times New Roman" w:hAnsi="Times New Roman" w:cs="Times New Roman"/>
          <w:color w:val="000000"/>
          <w:sz w:val="27"/>
          <w:szCs w:val="27"/>
        </w:rPr>
        <w:t>设置纵向水平加固杆应连续，并形成水平闭合圈。</w:t>
      </w:r>
      <w:r>
        <w:rPr>
          <w:rFonts w:ascii="Times New Roman" w:hAnsi="Times New Roman" w:cs="Times New Roman"/>
          <w:color w:val="000000"/>
          <w:sz w:val="27"/>
          <w:szCs w:val="27"/>
        </w:rPr>
        <w:br/>
        <w:t>C.</w:t>
      </w:r>
      <w:r>
        <w:rPr>
          <w:rFonts w:ascii="Times New Roman" w:hAnsi="Times New Roman" w:cs="Times New Roman"/>
          <w:color w:val="000000"/>
          <w:sz w:val="27"/>
          <w:szCs w:val="27"/>
        </w:rPr>
        <w:t>在脚手架的底部门架下端应加封口杆，门架的内、外两侧应设通长扫地杆。</w:t>
      </w:r>
      <w:r>
        <w:rPr>
          <w:rFonts w:ascii="Times New Roman" w:hAnsi="Times New Roman" w:cs="Times New Roman"/>
          <w:color w:val="000000"/>
          <w:sz w:val="27"/>
          <w:szCs w:val="27"/>
        </w:rPr>
        <w:br/>
        <w:t>D.</w:t>
      </w:r>
      <w:r>
        <w:rPr>
          <w:rFonts w:ascii="Times New Roman" w:hAnsi="Times New Roman" w:cs="Times New Roman"/>
          <w:color w:val="000000"/>
          <w:sz w:val="27"/>
          <w:szCs w:val="27"/>
        </w:rPr>
        <w:t>水平加固杆应采用扣件与门架立杆扣牢</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生产经营单位应当向从业人员如实告知作业场所和工作岗位存在的</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防范措施及事故应急措施</w:t>
      </w:r>
      <w:r>
        <w:rPr>
          <w:rFonts w:ascii="Times New Roman" w:hAnsi="Times New Roman" w:cs="Times New Roman"/>
          <w:color w:val="000000"/>
          <w:sz w:val="27"/>
          <w:szCs w:val="27"/>
        </w:rPr>
        <w:br/>
        <w:t>A.</w:t>
      </w:r>
      <w:r>
        <w:rPr>
          <w:rFonts w:ascii="Times New Roman" w:hAnsi="Times New Roman" w:cs="Times New Roman"/>
          <w:color w:val="000000"/>
          <w:sz w:val="27"/>
          <w:szCs w:val="27"/>
        </w:rPr>
        <w:t>危险因素</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事故隐患</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设备缺陷</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管理不足</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一般场所开关箱中漏电保护器，其额定漏电动作电流为（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w:t>
      </w:r>
      <w:r>
        <w:rPr>
          <w:rFonts w:ascii="Times New Roman" w:hAnsi="Times New Roman" w:cs="Times New Roman"/>
          <w:color w:val="000000"/>
          <w:sz w:val="27"/>
          <w:szCs w:val="27"/>
        </w:rPr>
        <w:br/>
        <w:t>A.10mA B.20mA C.30≥mA D.≤30mA</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w:t>
      </w:r>
      <w:r>
        <w:rPr>
          <w:rFonts w:ascii="Times New Roman" w:hAnsi="Times New Roman" w:cs="Times New Roman"/>
          <w:color w:val="000000"/>
          <w:sz w:val="27"/>
          <w:szCs w:val="27"/>
        </w:rPr>
        <w:t>A</w:t>
      </w:r>
      <w:r>
        <w:rPr>
          <w:rFonts w:ascii="Times New Roman" w:hAnsi="Times New Roman" w:cs="Times New Roman"/>
          <w:color w:val="000000"/>
          <w:sz w:val="27"/>
          <w:szCs w:val="27"/>
        </w:rPr>
        <w:t>）对建筑工程的质量、安全事故、质量缺陷、安全隐患等都有权像建设行政主管部门或者其他有关部门进行检举、控告、投诉。</w:t>
      </w:r>
      <w:r>
        <w:rPr>
          <w:rFonts w:ascii="Times New Roman" w:hAnsi="Times New Roman" w:cs="Times New Roman"/>
          <w:color w:val="000000"/>
          <w:sz w:val="27"/>
          <w:szCs w:val="27"/>
        </w:rPr>
        <w:br/>
        <w:t>A.</w:t>
      </w:r>
      <w:r>
        <w:rPr>
          <w:rFonts w:ascii="Times New Roman" w:hAnsi="Times New Roman" w:cs="Times New Roman"/>
          <w:color w:val="000000"/>
          <w:sz w:val="27"/>
          <w:szCs w:val="27"/>
        </w:rPr>
        <w:t>任何单位和个人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建设单位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监理单位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项目经理</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焊机二次侧电源线长度最大不得超过（</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t>m</w:t>
      </w:r>
      <w:r>
        <w:rPr>
          <w:rFonts w:ascii="Times New Roman" w:hAnsi="Times New Roman" w:cs="Times New Roman"/>
          <w:color w:val="000000"/>
          <w:sz w:val="27"/>
          <w:szCs w:val="27"/>
        </w:rPr>
        <w:t>。</w:t>
      </w:r>
      <w:r>
        <w:rPr>
          <w:rFonts w:ascii="Times New Roman" w:hAnsi="Times New Roman" w:cs="Times New Roman"/>
          <w:color w:val="000000"/>
          <w:sz w:val="27"/>
          <w:szCs w:val="27"/>
        </w:rPr>
        <w:br/>
      </w:r>
    </w:p>
    <w:p w:rsidR="00D033DA" w:rsidP="00D033DA">
      <w:pPr>
        <w:rPr>
          <w:rFonts w:ascii="宋体" w:hAnsi="宋体" w:cs="宋体"/>
          <w:sz w:val="24"/>
          <w:szCs w:val="24"/>
        </w:rPr>
      </w:pPr>
      <w:r>
        <w:rPr>
          <w:rFonts w:ascii="Times New Roman" w:hAnsi="Times New Roman" w:cs="Times New Roman"/>
          <w:color w:val="000000"/>
          <w:sz w:val="27"/>
          <w:szCs w:val="27"/>
        </w:rPr>
        <w:t>A.20 B.30 C.40 D.50</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钢筋切断机切短料时，手和切刀之间的距离应保持在</w:t>
      </w:r>
      <w:r>
        <w:rPr>
          <w:rFonts w:ascii="Times New Roman" w:hAnsi="Times New Roman" w:cs="Times New Roman"/>
          <w:color w:val="000000"/>
          <w:sz w:val="27"/>
          <w:szCs w:val="27"/>
        </w:rPr>
        <w:t>150mm</w:t>
      </w:r>
      <w:r>
        <w:rPr>
          <w:rFonts w:ascii="Times New Roman" w:hAnsi="Times New Roman" w:cs="Times New Roman"/>
          <w:color w:val="000000"/>
          <w:sz w:val="27"/>
          <w:szCs w:val="27"/>
        </w:rPr>
        <w:t>以上，如手握端小于（</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）时，应采用套管或夹具。</w:t>
      </w:r>
      <w:r>
        <w:rPr>
          <w:rFonts w:ascii="Times New Roman" w:hAnsi="Times New Roman" w:cs="Times New Roman"/>
          <w:color w:val="000000"/>
          <w:sz w:val="27"/>
          <w:szCs w:val="27"/>
        </w:rPr>
        <w:br/>
        <w:t>A.150mm B.200mm C.400mm D.500mm</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纵向水平杆（大横杆）的对接扣件应符合下列规定（</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应交错布置，两根相邻杆的接头，在不同步或不同跨的水平方向错开的距离应不小于</w:t>
      </w:r>
      <w:r>
        <w:rPr>
          <w:rFonts w:ascii="Times New Roman" w:hAnsi="Times New Roman" w:cs="Times New Roman"/>
          <w:color w:val="000000"/>
          <w:sz w:val="27"/>
          <w:szCs w:val="27"/>
        </w:rPr>
        <w:t>500mm</w:t>
      </w:r>
      <w:r>
        <w:rPr>
          <w:rFonts w:ascii="Times New Roman" w:hAnsi="Times New Roman" w:cs="Times New Roman"/>
          <w:color w:val="000000"/>
          <w:sz w:val="27"/>
          <w:szCs w:val="27"/>
        </w:rPr>
        <w:t>，各接头中心距最近的主节点的距离不大于纵距的</w:t>
      </w:r>
      <w:r>
        <w:rPr>
          <w:rFonts w:ascii="Times New Roman" w:hAnsi="Times New Roman" w:cs="Times New Roman"/>
          <w:color w:val="000000"/>
          <w:sz w:val="27"/>
          <w:szCs w:val="27"/>
        </w:rPr>
        <w:t>1/3</w:t>
      </w:r>
      <w:r>
        <w:rPr>
          <w:rFonts w:ascii="Times New Roman" w:hAnsi="Times New Roman" w:cs="Times New Roman"/>
          <w:color w:val="000000"/>
          <w:sz w:val="27"/>
          <w:szCs w:val="27"/>
        </w:rPr>
        <w:br/>
        <w:t>B.</w:t>
      </w:r>
      <w:r>
        <w:rPr>
          <w:rFonts w:ascii="Times New Roman" w:hAnsi="Times New Roman" w:cs="Times New Roman"/>
          <w:color w:val="000000"/>
          <w:sz w:val="27"/>
          <w:szCs w:val="27"/>
        </w:rPr>
        <w:t>两根相邻杆的接头，应在同一步和同一跨内布置</w:t>
      </w:r>
      <w:r>
        <w:rPr>
          <w:rFonts w:ascii="Times New Roman" w:hAnsi="Times New Roman" w:cs="Times New Roman"/>
          <w:color w:val="000000"/>
          <w:sz w:val="27"/>
          <w:szCs w:val="27"/>
        </w:rPr>
        <w:br/>
        <w:t>C.</w:t>
      </w:r>
      <w:r>
        <w:rPr>
          <w:rFonts w:ascii="Times New Roman" w:hAnsi="Times New Roman" w:cs="Times New Roman"/>
          <w:color w:val="000000"/>
          <w:sz w:val="27"/>
          <w:szCs w:val="27"/>
        </w:rPr>
        <w:t>两根相邻杆的接头，可在同一个竖向平面内</w:t>
      </w:r>
      <w:r>
        <w:rPr>
          <w:rFonts w:ascii="Times New Roman" w:hAnsi="Times New Roman" w:cs="Times New Roman"/>
          <w:color w:val="000000"/>
          <w:sz w:val="27"/>
          <w:szCs w:val="27"/>
        </w:rPr>
        <w:br/>
        <w:t>D.</w:t>
      </w:r>
      <w:r>
        <w:rPr>
          <w:rFonts w:ascii="Times New Roman" w:hAnsi="Times New Roman" w:cs="Times New Roman"/>
          <w:color w:val="000000"/>
          <w:sz w:val="27"/>
          <w:szCs w:val="27"/>
        </w:rPr>
        <w:t>两根相邻杆的接头，在水平方向的接头可在</w:t>
      </w:r>
      <w:r>
        <w:rPr>
          <w:rFonts w:ascii="Times New Roman" w:hAnsi="Times New Roman" w:cs="Times New Roman"/>
          <w:color w:val="000000"/>
          <w:sz w:val="27"/>
          <w:szCs w:val="27"/>
        </w:rPr>
        <w:t>200mm</w:t>
      </w:r>
      <w:r>
        <w:rPr>
          <w:rFonts w:ascii="Times New Roman" w:hAnsi="Times New Roman" w:cs="Times New Roman"/>
          <w:color w:val="000000"/>
          <w:sz w:val="27"/>
          <w:szCs w:val="27"/>
        </w:rPr>
        <w:t>以内</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工程式总承包单位为某建设工程项目中从事危险作业的人员办理意外伤害保险，该保险责任期限到该项目（</w:t>
      </w:r>
      <w:r>
        <w:rPr>
          <w:rFonts w:ascii="Times New Roman" w:hAnsi="Times New Roman" w:cs="Times New Roman"/>
          <w:color w:val="000000"/>
          <w:sz w:val="27"/>
          <w:szCs w:val="27"/>
        </w:rPr>
        <w:t>B</w:t>
      </w:r>
      <w:r>
        <w:rPr>
          <w:rFonts w:ascii="Times New Roman" w:hAnsi="Times New Roman" w:cs="Times New Roman"/>
          <w:color w:val="000000"/>
          <w:sz w:val="27"/>
          <w:szCs w:val="27"/>
        </w:rPr>
        <w:t>）之日为止。</w:t>
      </w:r>
      <w:r>
        <w:rPr>
          <w:rFonts w:ascii="Times New Roman" w:hAnsi="Times New Roman" w:cs="Times New Roman"/>
          <w:color w:val="000000"/>
          <w:sz w:val="27"/>
          <w:szCs w:val="27"/>
        </w:rPr>
        <w:br/>
        <w:t>A.</w:t>
      </w:r>
      <w:r>
        <w:rPr>
          <w:rFonts w:ascii="Times New Roman" w:hAnsi="Times New Roman" w:cs="Times New Roman"/>
          <w:color w:val="000000"/>
          <w:sz w:val="27"/>
          <w:szCs w:val="27"/>
        </w:rPr>
        <w:t>提交竣工验收报告</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竣工验收合格</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竣工验收备案</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交付使用</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《安全生产法》规定</w:t>
      </w:r>
      <w:r>
        <w:rPr>
          <w:rFonts w:ascii="Times New Roman" w:hAnsi="Times New Roman" w:cs="Times New Roman"/>
          <w:color w:val="000000"/>
          <w:sz w:val="27"/>
          <w:szCs w:val="27"/>
        </w:rPr>
        <w:t>,</w:t>
      </w:r>
      <w:r>
        <w:rPr>
          <w:rFonts w:ascii="Times New Roman" w:hAnsi="Times New Roman" w:cs="Times New Roman"/>
          <w:color w:val="000000"/>
          <w:sz w:val="27"/>
          <w:szCs w:val="27"/>
        </w:rPr>
        <w:t>生产经营单位采用新工艺、新技术、新材料或者使用新设备时</w:t>
      </w:r>
      <w:r>
        <w:rPr>
          <w:rFonts w:ascii="Times New Roman" w:hAnsi="Times New Roman" w:cs="Times New Roman"/>
          <w:color w:val="000000"/>
          <w:sz w:val="27"/>
          <w:szCs w:val="27"/>
        </w:rPr>
        <w:t>,</w:t>
      </w:r>
      <w:r>
        <w:rPr>
          <w:rFonts w:ascii="Times New Roman" w:hAnsi="Times New Roman" w:cs="Times New Roman"/>
          <w:color w:val="000000"/>
          <w:sz w:val="27"/>
          <w:szCs w:val="27"/>
        </w:rPr>
        <w:t>必须对从业人员进行</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的安全生产教育培训。</w:t>
      </w:r>
      <w:r>
        <w:rPr>
          <w:rFonts w:ascii="Times New Roman" w:hAnsi="Times New Roman" w:cs="Times New Roman"/>
          <w:color w:val="000000"/>
          <w:sz w:val="27"/>
          <w:szCs w:val="27"/>
        </w:rPr>
        <w:br/>
        <w:t>A.</w:t>
      </w:r>
      <w:r>
        <w:rPr>
          <w:rFonts w:ascii="Times New Roman" w:hAnsi="Times New Roman" w:cs="Times New Roman"/>
          <w:color w:val="000000"/>
          <w:sz w:val="27"/>
          <w:szCs w:val="27"/>
        </w:rPr>
        <w:t>班组级</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车间级</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专门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三级</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宿舍、（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）防火等级应符合有关消防安全技术规范要求。</w:t>
      </w:r>
      <w:r>
        <w:rPr>
          <w:rFonts w:ascii="Times New Roman" w:hAnsi="Times New Roman" w:cs="Times New Roman"/>
          <w:color w:val="000000"/>
          <w:sz w:val="27"/>
          <w:szCs w:val="27"/>
        </w:rPr>
        <w:br/>
        <w:t>A.</w:t>
      </w:r>
      <w:r>
        <w:rPr>
          <w:rFonts w:ascii="Times New Roman" w:hAnsi="Times New Roman" w:cs="Times New Roman"/>
          <w:color w:val="000000"/>
          <w:sz w:val="27"/>
          <w:szCs w:val="27"/>
        </w:rPr>
        <w:t>库房</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钢筋加工房</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办公用房</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食堂</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边长在（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）以上的洞口，四周设防护栏杆，洞口下张设安全平网。</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https://d.book118.com/818046034073006043</w:t>
        </w:r>
      </w:hyperlink>
    </w:p>
    <w:p w:rsidR="00D033DA" w:rsidP="00D033DA">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52B44"/>
    <w:rsid w:val="00852B44"/>
    <w:rsid w:val="00BE351B"/>
    <w:rsid w:val="00D033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033D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18046034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5575</Words>
  <Characters>31778</Characters>
  <Application>Microsoft Office Word</Application>
  <DocSecurity>0</DocSecurity>
  <Lines>264</Lines>
  <Paragraphs>74</Paragraphs>
  <ScaleCrop>false</ScaleCrop>
  <Company/>
  <LinksUpToDate>false</LinksUpToDate>
  <CharactersWithSpaces>37279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2024-03-07T18:03:00Z</dcterms:created>
  <dcterms:modified xsi:type="dcterms:W3CDTF">2024-03-07T18:03:00Z</dcterms:modified>
</cp:coreProperties>
</file>