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再生资源回收网络优化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913797780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再生资源回收网络概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现有回收网络分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网络优化目标设</w:t>
            </w:r>
            <w:r>
              <w:rPr>
                <w:spacing w:val="-10"/>
              </w:rPr>
              <w:t>定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数据驱动的决策模</w:t>
            </w:r>
            <w:r>
              <w:rPr>
                <w:spacing w:val="-10"/>
              </w:rPr>
              <w:t>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回收点布局优化策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物流路径规划方</w:t>
            </w:r>
            <w:r>
              <w:rPr>
                <w:spacing w:val="-10"/>
              </w:rPr>
              <w:t>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成本效益分析框</w:t>
            </w:r>
            <w:r>
              <w:rPr>
                <w:spacing w:val="-10"/>
              </w:rPr>
              <w:t>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政策与市场影响评</w:t>
            </w:r>
            <w:r>
              <w:rPr>
                <w:spacing w:val="-10"/>
              </w:rPr>
              <w:t>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25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再</w:t>
      </w:r>
      <w:r>
        <w:t>生</w:t>
      </w:r>
      <w:r>
        <w:t>资</w:t>
      </w:r>
      <w:r>
        <w:t>源</w:t>
      </w:r>
      <w:r>
        <w:t>回</w:t>
      </w:r>
      <w:r>
        <w:t>收</w:t>
      </w:r>
      <w:r>
        <w:t>网</w:t>
      </w:r>
      <w:r>
        <w:t>络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0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right="-29"/>
              <w:rPr>
                <w:sz w:val="21"/>
              </w:rPr>
            </w:pPr>
            <w:r>
              <w:rPr>
                <w:spacing w:val="-6"/>
                <w:sz w:val="21"/>
              </w:rPr>
              <w:t>【再生资源回收网络概述】：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定义与重要性：再生资源回收网络是指一系列相互关联</w:t>
            </w:r>
            <w:r>
              <w:rPr>
                <w:spacing w:val="-2"/>
                <w:sz w:val="21"/>
              </w:rPr>
              <w:t>的设施，包括收集点、分拣中心、处理工厂等，它们共同</w:t>
            </w:r>
            <w:r>
              <w:rPr>
                <w:spacing w:val="-2"/>
                <w:sz w:val="21"/>
              </w:rPr>
              <w:t>负责从废弃物品中提取有价值物质并重新投入生产过程。</w:t>
            </w:r>
            <w:r>
              <w:rPr>
                <w:spacing w:val="-2"/>
                <w:sz w:val="21"/>
              </w:rPr>
              <w:t>这一网络对于实现资源的循环利用、减少环境污染、降低</w:t>
            </w:r>
            <w:r>
              <w:rPr>
                <w:spacing w:val="-2"/>
                <w:sz w:val="21"/>
              </w:rPr>
              <w:t>对原始资源的依赖具有至关重要的作用。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68" w:lineRule="exact"/>
              <w:ind w:left="370" w:right="0" w:hanging="263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组成要素：再生资源回收网络主要由以下几个部分构成：</w:t>
            </w:r>
          </w:p>
          <w:p>
            <w:pPr>
              <w:pStyle w:val="TableParagraph"/>
              <w:spacing w:before="43" w:line="278" w:lineRule="auto"/>
              <w:ind w:right="-15"/>
              <w:jc w:val="both"/>
              <w:rPr>
                <w:sz w:val="21"/>
              </w:rPr>
            </w:pPr>
            <w:r>
              <w:rPr>
                <w:spacing w:val="2"/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2"/>
                <w:sz w:val="21"/>
              </w:rPr>
              <w:t>）收集点，如社区回收站、商业回收点等；（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pacing w:val="2"/>
                <w:sz w:val="21"/>
              </w:rPr>
              <w:t>）</w:t>
            </w:r>
            <w:r>
              <w:rPr>
                <w:spacing w:val="1"/>
                <w:sz w:val="21"/>
              </w:rPr>
              <w:t>分拣</w:t>
            </w:r>
            <w:r>
              <w:rPr>
                <w:spacing w:val="-3"/>
                <w:sz w:val="21"/>
              </w:rPr>
              <w:t>中心，用于分类不同类型的废弃物；</w:t>
            </w: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）处理工厂，负责对分拣后的废弃物进行进一步加工处理；（</w:t>
            </w:r>
            <w:r>
              <w:rPr>
                <w:rFonts w:ascii="Times New Roman" w:eastAsia="Times New Roman"/>
                <w:sz w:val="21"/>
              </w:rPr>
              <w:t>4</w:t>
            </w:r>
            <w:r>
              <w:rPr>
                <w:sz w:val="21"/>
              </w:rPr>
              <w:t>）物流系统，</w:t>
            </w:r>
            <w:r>
              <w:rPr>
                <w:spacing w:val="-4"/>
                <w:sz w:val="21"/>
              </w:rPr>
              <w:t>确保废弃物能够高效地从收集点到分拣中心再到处理工厂；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sz w:val="21"/>
              </w:rPr>
              <w:t>）</w:t>
            </w:r>
            <w:r>
              <w:rPr>
                <w:spacing w:val="-1"/>
                <w:sz w:val="21"/>
              </w:rPr>
              <w:t>信息管理系统，用于追踪废弃物的流向和处理情况。</w:t>
            </w:r>
          </w:p>
          <w:p>
            <w:pPr>
              <w:pStyle w:val="TableParagraph"/>
              <w:spacing w:before="43" w:line="278" w:lineRule="auto"/>
              <w:ind w:right="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3. </w:t>
            </w:r>
            <w:r>
              <w:rPr>
                <w:sz w:val="21"/>
              </w:rPr>
              <w:t>发展趋势：随着环保意识的提高和技术的进步，再生资</w:t>
            </w:r>
            <w:r>
              <w:rPr>
                <w:spacing w:val="-2"/>
                <w:sz w:val="21"/>
              </w:rPr>
              <w:t>源回收网络正朝着自动化、智能化方向发展。例如，智能</w:t>
            </w:r>
            <w:r>
              <w:rPr>
                <w:spacing w:val="-2"/>
                <w:sz w:val="21"/>
              </w:rPr>
              <w:t>垃圾分类技术、物联网</w:t>
            </w:r>
            <w:r>
              <w:rPr>
                <w:rFonts w:ascii="Times New Roman" w:eastAsia="Times New Roman"/>
                <w:spacing w:val="-2"/>
                <w:sz w:val="21"/>
              </w:rPr>
              <w:t>(IoT)</w:t>
            </w:r>
            <w:r>
              <w:rPr>
                <w:spacing w:val="-2"/>
                <w:sz w:val="21"/>
              </w:rPr>
              <w:t>在物流跟踪中的应用以及大数</w:t>
            </w:r>
            <w:r>
              <w:rPr>
                <w:spacing w:val="-2"/>
                <w:sz w:val="21"/>
              </w:rPr>
              <w:t>据分析在决策支持中的运用，都在不断提高回收网络的效</w:t>
            </w:r>
            <w:r>
              <w:rPr>
                <w:spacing w:val="-2"/>
                <w:sz w:val="21"/>
              </w:rPr>
              <w:t>率和效果。此外，政府政策的支持和社会资本的投入也为</w:t>
            </w:r>
            <w:r>
              <w:rPr>
                <w:spacing w:val="-2"/>
                <w:sz w:val="21"/>
              </w:rPr>
              <w:t>再生资源回收网络的发展提供了有力保障。</w:t>
            </w:r>
          </w:p>
          <w:p>
            <w:pPr>
              <w:pStyle w:val="TableParagraph"/>
              <w:spacing w:line="268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【再生资源回收网络优化】：</w:t>
            </w:r>
          </w:p>
        </w:tc>
      </w:tr>
    </w:tbl>
    <w:p>
      <w:pPr>
        <w:pStyle w:val="BodyText"/>
        <w:spacing w:before="135"/>
        <w:ind w:left="680"/>
      </w:pPr>
      <w:r>
        <w:rPr>
          <w:spacing w:val="-1"/>
        </w:rPr>
        <w:t>再生资源回收网络优化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2"/>
        </w:rPr>
        <w:t>摘要：随着全球资源的日益枯竭和环境问题的加剧，再生资源的回收</w:t>
      </w:r>
      <w:r>
        <w:rPr>
          <w:spacing w:val="-2"/>
        </w:rPr>
        <w:t xml:space="preserve"> </w:t>
      </w:r>
      <w:r>
        <w:rPr>
          <w:spacing w:val="-8"/>
        </w:rPr>
        <w:t>与利用成为了解决这些问题的重要途径。本文旨在探讨再生资源回收</w:t>
      </w:r>
      <w:r>
        <w:rPr>
          <w:spacing w:val="-2"/>
        </w:rPr>
        <w:t xml:space="preserve"> </w:t>
      </w:r>
      <w:r>
        <w:rPr>
          <w:spacing w:val="-2"/>
        </w:rPr>
        <w:t>网络的优化问题，通过分析现有回收网络的结构特点及存在的问题，</w:t>
      </w:r>
      <w:r>
        <w:rPr>
          <w:spacing w:val="-2"/>
        </w:rPr>
        <w:t xml:space="preserve">提出相应的优化策略和方法，以期提高回收效率，降低环境成本，促 </w:t>
      </w:r>
      <w:r>
        <w:rPr>
          <w:spacing w:val="-2"/>
        </w:rPr>
        <w:t>进可持续发展。</w:t>
      </w:r>
    </w:p>
    <w:p>
      <w:pPr>
        <w:pStyle w:val="BodyText"/>
        <w:spacing w:line="358" w:lineRule="exact"/>
      </w:pPr>
      <w:r>
        <w:rPr>
          <w:spacing w:val="-1"/>
        </w:rPr>
        <w:t>一、再生资源回收网络概述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再生资源回收网络是指由各种回收站点、分拣中心、处理设施以及运</w:t>
      </w:r>
      <w:r>
        <w:rPr>
          <w:spacing w:val="-10"/>
        </w:rPr>
        <w:t>输路线等组成的复杂系统。该系统的目标是将废弃的再生资源从产生</w:t>
      </w:r>
      <w:r>
        <w:rPr>
          <w:spacing w:val="-5"/>
        </w:rPr>
        <w:t>地有效收集、分类、运输和处理，最终转化为可再次使用的资源。再</w:t>
      </w:r>
    </w:p>
    <w:p>
      <w:pPr>
        <w:spacing w:after="0" w:line="417" w:lineRule="auto"/>
        <w:jc w:val="both"/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生资源回收网络主要包括以下几个部分：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回收站点：这是再生资源回收网络的起点，负责收集居民和企业</w:t>
      </w:r>
      <w:r>
        <w:rPr>
          <w:spacing w:val="-4"/>
          <w:sz w:val="28"/>
        </w:rPr>
        <w:t>产生的废弃物。回收站点可以是固定的，也可以是移动的，如回收车</w:t>
      </w:r>
      <w:r>
        <w:rPr>
          <w:spacing w:val="-6"/>
          <w:sz w:val="28"/>
        </w:rPr>
        <w:t>等。</w:t>
      </w: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分拣中心：负责对回收站点收集到的废弃物进行分类和初步处理，</w:t>
      </w:r>
      <w:r>
        <w:rPr>
          <w:spacing w:val="-2"/>
          <w:sz w:val="28"/>
        </w:rPr>
        <w:t>以便于后续的进一步处理。</w:t>
      </w: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处理设施：对分拣中心送来的再生资源进行深度加工，使其达到</w:t>
      </w:r>
      <w:r>
        <w:rPr>
          <w:spacing w:val="-2"/>
          <w:sz w:val="28"/>
        </w:rPr>
        <w:t>再利用的标准。</w:t>
      </w: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运输路线：连接上述各个部分的物流通道，包括收集车辆、运输</w:t>
      </w:r>
      <w:r>
        <w:rPr>
          <w:spacing w:val="-4"/>
          <w:sz w:val="28"/>
        </w:rPr>
        <w:t>车辆等。</w:t>
      </w:r>
    </w:p>
    <w:p>
      <w:pPr>
        <w:pStyle w:val="BodyText"/>
        <w:spacing w:line="358" w:lineRule="exact"/>
      </w:pPr>
      <w:r>
        <w:rPr>
          <w:spacing w:val="-1"/>
        </w:rPr>
        <w:t>二、再生资源回收网络优化的必要性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提高资源利用率：通过对再生资源回收网络的优化，可以提高资</w:t>
      </w:r>
      <w:r>
        <w:rPr>
          <w:spacing w:val="-2"/>
          <w:sz w:val="28"/>
        </w:rPr>
        <w:t>源的回收率和再利用率，减少资源的浪费。</w:t>
      </w: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降低环境成本：优化后的回收网络可以减少废弃物的排放，降低</w:t>
      </w:r>
      <w:r>
        <w:rPr>
          <w:spacing w:val="-2"/>
          <w:sz w:val="28"/>
        </w:rPr>
        <w:t>环境污染，从而降低环境治理的成本。</w:t>
      </w: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促进可持续发展：再生资源的回收与利用是实施循环经济、实现</w:t>
      </w:r>
      <w:r>
        <w:rPr>
          <w:spacing w:val="-2"/>
          <w:sz w:val="28"/>
        </w:rPr>
        <w:t>可持续发展的重要手段，优化回收网络有助于推动这一进程。</w:t>
      </w:r>
    </w:p>
    <w:p>
      <w:pPr>
        <w:pStyle w:val="BodyText"/>
        <w:spacing w:line="358" w:lineRule="exact"/>
      </w:pPr>
      <w:r>
        <w:rPr>
          <w:spacing w:val="-1"/>
        </w:rPr>
        <w:t>三、再生资源回收网络优化的策略与方法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建立完善的回收体系：完善回收站点布局，提高回收站点的覆盖</w:t>
      </w:r>
      <w:r>
        <w:rPr>
          <w:spacing w:val="-2"/>
          <w:sz w:val="28"/>
        </w:rPr>
        <w:t>率；加强回收站点的管理，提高回收效率。</w:t>
      </w: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提高分拣中心的处理能力：引进先进的分拣设备和技术，提高分</w:t>
      </w:r>
      <w:r>
        <w:rPr>
          <w:spacing w:val="-2"/>
          <w:sz w:val="28"/>
        </w:rPr>
        <w:t>拣速度和准确性；加强对分拣人员的培训，提高分拣质量。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7"/>
          <w:pgSz w:w="11910" w:h="16840"/>
          <w:pgMar w:top="1520" w:right="1420" w:bottom="1380" w:left="1680" w:header="0" w:footer="1198"/>
          <w:pgNumType w:start="3"/>
          <w:cols w:space="708"/>
        </w:sectPr>
      </w:pP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37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提升处理设施的工艺水平：采用先进的处理技术，提高再生资源</w:t>
      </w:r>
      <w:r>
        <w:rPr>
          <w:spacing w:val="-2"/>
          <w:sz w:val="28"/>
        </w:rPr>
        <w:t>的再利用率；加强技术研发，不断改进处理工艺。</w:t>
      </w: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优化运输路线：运用物流优化理论，合理规划运输路线，降低运</w:t>
      </w:r>
      <w:r>
        <w:rPr>
          <w:spacing w:val="-2"/>
          <w:sz w:val="28"/>
        </w:rPr>
        <w:t>输成本；采用环保型运输工具，减少运输过程中的污染。</w:t>
      </w:r>
    </w:p>
    <w:p>
      <w:pPr>
        <w:pStyle w:val="ListParagraph"/>
        <w:numPr>
          <w:ilvl w:val="0"/>
          <w:numId w:val="3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引入信息技术：利用大数据、云计算等技术，对再生资源回收网</w:t>
      </w:r>
      <w:r>
        <w:rPr>
          <w:spacing w:val="-2"/>
          <w:sz w:val="28"/>
        </w:rPr>
        <w:t>络进行实时监控和管理，提高网络的运行效率。</w:t>
      </w:r>
    </w:p>
    <w:p>
      <w:pPr>
        <w:pStyle w:val="BodyText"/>
        <w:spacing w:line="358" w:lineRule="exact"/>
      </w:pPr>
      <w:r>
        <w:rPr>
          <w:spacing w:val="-3"/>
        </w:rPr>
        <w:t>四、结论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2"/>
        </w:rPr>
        <w:t>再生资源回收网络的优化是一个系统工程，需要政府、企业和社会各</w:t>
      </w:r>
      <w:r>
        <w:rPr>
          <w:spacing w:val="-2"/>
        </w:rPr>
        <w:t xml:space="preserve"> </w:t>
      </w:r>
      <w:r>
        <w:rPr>
          <w:spacing w:val="-2"/>
        </w:rPr>
        <w:t>界的共同努力。通过优化回收网络，不仅可以提高资源的再利用率，</w:t>
      </w:r>
      <w:r>
        <w:rPr>
          <w:spacing w:val="-2"/>
        </w:rPr>
        <w:t>降低环境成本，还可以促进循环经济的发展，为实现可持续发展做出</w:t>
      </w:r>
      <w:r>
        <w:rPr>
          <w:spacing w:val="-2"/>
        </w:rPr>
        <w:t xml:space="preserve"> </w:t>
      </w:r>
      <w:r>
        <w:rPr>
          <w:spacing w:val="-4"/>
        </w:rPr>
        <w:t>贡献。</w:t>
      </w:r>
    </w:p>
    <w:p>
      <w:pPr>
        <w:pStyle w:val="BodyText"/>
        <w:ind w:left="0"/>
      </w:pPr>
    </w:p>
    <w:p>
      <w:pPr>
        <w:pStyle w:val="Heading1"/>
        <w:tabs>
          <w:tab w:val="left" w:pos="1725"/>
        </w:tabs>
        <w:spacing w:before="237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现</w:t>
      </w:r>
      <w:r>
        <w:t>有</w:t>
      </w:r>
      <w:r>
        <w:t>回</w:t>
      </w:r>
      <w:r>
        <w:t>收</w:t>
      </w:r>
      <w:r>
        <w:t>网</w:t>
      </w:r>
      <w:r>
        <w:t>络</w:t>
      </w:r>
      <w:r>
        <w:t>分</w:t>
      </w:r>
      <w:bookmarkEnd w:id="1"/>
      <w:r>
        <w:rPr>
          <w:spacing w:val="-10"/>
        </w:rPr>
        <w:t>析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6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回收网络设计原则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效率最大化：回收网络的设计应考虑如何最小化收集、</w:t>
            </w:r>
            <w:r>
              <w:rPr>
                <w:spacing w:val="-2"/>
                <w:sz w:val="21"/>
              </w:rPr>
              <w:t>分类、运输和处理资源的成本，同时确保资源能够高效地流向处理设施。这包括优化路线规划、减少中转次数以及</w:t>
            </w:r>
            <w:r>
              <w:rPr>
                <w:spacing w:val="-2"/>
                <w:sz w:val="21"/>
              </w:rPr>
              <w:t>采用先进的物流管理系统。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环境影响最小化：在设计回收网络时，需要评估并尽量</w:t>
            </w:r>
            <w:r>
              <w:rPr>
                <w:spacing w:val="-2"/>
                <w:sz w:val="21"/>
              </w:rPr>
              <w:t>减少对环境的影响。例如，选择低排放的交通工具，使用环保材料包装，以及在处理过程中降低能源消耗和废物排</w:t>
            </w:r>
            <w:r>
              <w:rPr>
                <w:spacing w:val="-6"/>
                <w:sz w:val="21"/>
              </w:rPr>
              <w:t>放。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可持续性考量：回收网络的设计应当支持长期的环境和</w:t>
            </w:r>
            <w:r>
              <w:rPr>
                <w:spacing w:val="-2"/>
                <w:sz w:val="21"/>
              </w:rPr>
              <w:t>经济可持续性。这意味着要考虑资源的循环利用，鼓励消</w:t>
            </w:r>
            <w:r>
              <w:rPr>
                <w:spacing w:val="-2"/>
                <w:sz w:val="21"/>
              </w:rPr>
              <w:t>费者参与回收活动，以及促进相关技术的研发和创新。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回收点布局策略</w:t>
            </w:r>
          </w:p>
        </w:tc>
        <w:tc>
          <w:tcPr>
            <w:tcW w:w="5535" w:type="dxa"/>
          </w:tcPr>
          <w:p>
            <w:pPr>
              <w:pStyle w:val="TableParagraph"/>
              <w:spacing w:before="18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2"/>
              </w:tabs>
              <w:spacing w:before="0" w:after="0" w:line="310" w:lineRule="atLeast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人口分布与需求分析：根据人口密度和消费模式来确定</w:t>
            </w:r>
            <w:r>
              <w:rPr>
                <w:spacing w:val="-2"/>
                <w:sz w:val="21"/>
              </w:rPr>
              <w:t>回收点的位置，以确保方便用户访问并提高回收率。此外，</w:t>
            </w:r>
          </w:p>
        </w:tc>
      </w:tr>
    </w:tbl>
    <w:p>
      <w:pPr>
        <w:spacing w:after="0" w:line="310" w:lineRule="atLeast"/>
        <w:jc w:val="left"/>
        <w:rPr>
          <w:sz w:val="21"/>
        </w:rPr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还需考虑不同区域对特定类型再生资源的需求差异。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2"/>
              </w:tabs>
              <w:spacing w:before="43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交通流量与可达性：回收点的布局应考虑到交通流量和</w:t>
            </w:r>
            <w:r>
              <w:rPr>
                <w:spacing w:val="-2"/>
                <w:sz w:val="21"/>
              </w:rPr>
              <w:t>可达性，以减少运输成本和碳排放。这可能涉及到对交通</w:t>
            </w:r>
            <w:r>
              <w:rPr>
                <w:spacing w:val="-2"/>
                <w:sz w:val="21"/>
              </w:rPr>
              <w:t>枢纽附近地点的选择，以及对公共交通系统的整合。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政策与激励措施：政府政策和激励措施可以影响回收点</w:t>
            </w:r>
            <w:r>
              <w:rPr>
                <w:spacing w:val="-2"/>
                <w:sz w:val="21"/>
              </w:rPr>
              <w:t>的布局。例如，通过税收优惠或补贴来鼓励在特定地区设立回收点，或者通过立法规定企业必须在其运营范围内设</w:t>
            </w:r>
            <w:r>
              <w:rPr>
                <w:spacing w:val="-2"/>
                <w:sz w:val="21"/>
              </w:rPr>
              <w:t>置回收设施。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67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回收技术进步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自动化分拣技术：随着机器视觉和人工智能的发展，自</w:t>
            </w:r>
            <w:r>
              <w:rPr>
                <w:spacing w:val="-2"/>
                <w:sz w:val="21"/>
              </w:rPr>
              <w:t>动化分拣技术在回收领域得到了广泛应用。这些技术可以提高分拣速度和准确性，从而提升整个回收网络的效率和</w:t>
            </w:r>
            <w:r>
              <w:rPr>
                <w:spacing w:val="-2"/>
                <w:sz w:val="21"/>
              </w:rPr>
              <w:t>产出质量。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物理化学处理方法：物理化学处理方法如机械分离、生</w:t>
            </w:r>
            <w:r>
              <w:rPr>
                <w:spacing w:val="-2"/>
                <w:sz w:val="21"/>
              </w:rPr>
              <w:t>物降解和热化学转化等，对于提高资源回收率和产品质量至关重要。这些方法的应用有助于从复杂混合物中提取有</w:t>
            </w:r>
            <w:r>
              <w:rPr>
                <w:spacing w:val="-2"/>
                <w:sz w:val="21"/>
              </w:rPr>
              <w:t>价值的成分，并降低环境污染风险。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新材料开发：新型材料的开发，如生物基材料和纳米材</w:t>
            </w:r>
            <w:r>
              <w:rPr>
                <w:spacing w:val="-2"/>
                <w:sz w:val="21"/>
              </w:rPr>
              <w:t>料，为回收网络提供了新的机遇和挑战。这些材料可能具有更高的回收价值，但同时也可能需要特殊的处理技术和</w:t>
            </w:r>
            <w:r>
              <w:rPr>
                <w:spacing w:val="-4"/>
                <w:sz w:val="21"/>
              </w:rPr>
              <w:t>设备。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供应链协同管理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2"/>
              </w:tabs>
              <w:spacing w:before="0" w:after="0" w:line="278" w:lineRule="auto"/>
              <w:ind w:left="108" w:right="-15" w:firstLine="0"/>
              <w:jc w:val="both"/>
              <w:rPr>
                <w:sz w:val="21"/>
              </w:rPr>
            </w:pPr>
            <w:r>
              <w:rPr>
                <w:sz w:val="21"/>
              </w:rPr>
              <w:t>信息共享平台：建立一个跨企业的信息共享平台，以便</w:t>
            </w:r>
            <w:r>
              <w:rPr>
                <w:spacing w:val="1"/>
                <w:sz w:val="21"/>
              </w:rPr>
              <w:t>于跟踪和管理回收物资在整个供应链中的流动。这有助于</w:t>
            </w:r>
            <w:r>
              <w:rPr>
                <w:spacing w:val="-4"/>
                <w:sz w:val="21"/>
              </w:rPr>
              <w:t>实时监控库存水平，预测需求变化，并做出更有效的决策。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合作伙伴关系建立：通过建立战略伙伴关系，回收网络</w:t>
            </w:r>
            <w:r>
              <w:rPr>
                <w:spacing w:val="-2"/>
                <w:sz w:val="21"/>
              </w:rPr>
              <w:t>中的企业可以实现资源共享和风险共担。这种合作可以降低交易成本，提高响应市场变化的能力，并共同推动技术</w:t>
            </w:r>
            <w:r>
              <w:rPr>
                <w:spacing w:val="-4"/>
                <w:sz w:val="21"/>
              </w:rPr>
              <w:t>创新。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标准化与认证体系：实施统一的标准化和认证体系，以</w:t>
            </w:r>
            <w:r>
              <w:rPr>
                <w:spacing w:val="-2"/>
                <w:sz w:val="21"/>
              </w:rPr>
              <w:t>确保回收物资的质量和可追溯性。这有助于增强消费者对</w:t>
            </w:r>
            <w:r>
              <w:rPr>
                <w:spacing w:val="-2"/>
                <w:sz w:val="21"/>
              </w:rPr>
              <w:t>回收产品的信心，并为制造商提供稳定的原材料来源。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8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法规与政策支持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强制性回收法规：政府可以通过制定强制性回收法规，设定回收目标和标准，以推动回收网络的发展和完善。这些法规可以涵盖各种再生资源的种类，并对企业和个人的</w:t>
            </w:r>
            <w:r>
              <w:rPr>
                <w:spacing w:val="-2"/>
                <w:sz w:val="21"/>
              </w:rPr>
              <w:t>回收行为进行规范。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经济激励措施：为了鼓励更多的参与者加入回收网络，政府可以提供一系列的经济激励措施，如税收减免、补贴和贷款担保等。这些措施可以降低参与者的成本负担，增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加其收益预期。</w:t>
            </w:r>
          </w:p>
        </w:tc>
      </w:tr>
    </w:tbl>
    <w:p>
      <w:pPr>
        <w:spacing w:after="0" w:line="269" w:lineRule="exact"/>
        <w:rPr>
          <w:sz w:val="21"/>
        </w:rPr>
        <w:sectPr>
          <w:footerReference w:type="default" r:id="rId9"/>
          <w:type w:val="continuous"/>
          <w:pgSz w:w="11910" w:h="16840"/>
          <w:pgMar w:top="1400" w:right="1420" w:bottom="1380" w:left="1680" w:header="0" w:footer="1198"/>
          <w:pgNumType w:start="5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spacing w:before="23" w:line="278" w:lineRule="auto"/>
              <w:ind w:right="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3. </w:t>
            </w:r>
            <w:r>
              <w:rPr>
                <w:sz w:val="21"/>
              </w:rPr>
              <w:t>教育与公众意识：通过教育和宣传活动，提高公众对再</w:t>
            </w:r>
            <w:r>
              <w:rPr>
                <w:spacing w:val="-2"/>
                <w:sz w:val="21"/>
              </w:rPr>
              <w:t>生资源和回收重要性的认识。这有助于培养消费者的环保习惯，增加回收物资的供应，并促进整个社会对循环经济</w:t>
            </w:r>
            <w:r>
              <w:rPr>
                <w:spacing w:val="-2"/>
                <w:sz w:val="21"/>
              </w:rPr>
              <w:t>的接受度。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新兴市场与国际合作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全球回收市场动态：随着全球化的发展，回收网络需要</w:t>
            </w:r>
            <w:r>
              <w:rPr>
                <w:spacing w:val="-2"/>
                <w:sz w:val="21"/>
              </w:rPr>
              <w:t>适应全球市场的变化。这包括关注国际回收标准的演变，</w:t>
            </w:r>
            <w:r>
              <w:rPr>
                <w:spacing w:val="-2"/>
                <w:sz w:val="21"/>
              </w:rPr>
              <w:t>以及跨国公司在回收领域的投资和合作动向。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区域贸易协定影响：区域贸易协定可能会对回收网络的</w:t>
            </w:r>
            <w:r>
              <w:rPr>
                <w:spacing w:val="-2"/>
                <w:sz w:val="21"/>
              </w:rPr>
              <w:t>布局和运作产生影响。例如，自由贸易区内的企业可能受益于更低的关税和更简化的跨境流程，从而提高回收物资</w:t>
            </w:r>
            <w:r>
              <w:rPr>
                <w:spacing w:val="-2"/>
                <w:sz w:val="21"/>
              </w:rPr>
              <w:t>的流通效率。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8" w:right="30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可持续发展目标对接：联合国可持续发展目标</w:t>
            </w:r>
            <w:r>
              <w:rPr>
                <w:spacing w:val="-2"/>
                <w:sz w:val="21"/>
              </w:rPr>
              <w:t>（</w:t>
            </w:r>
            <w:r>
              <w:rPr>
                <w:rFonts w:ascii="Times New Roman" w:eastAsia="Times New Roman"/>
                <w:spacing w:val="-2"/>
                <w:sz w:val="21"/>
              </w:rPr>
              <w:t>SDGs</w:t>
            </w:r>
            <w:r>
              <w:rPr>
                <w:spacing w:val="-2"/>
                <w:sz w:val="21"/>
              </w:rPr>
              <w:t>）</w:t>
            </w:r>
            <w:r>
              <w:rPr>
                <w:spacing w:val="-2"/>
                <w:sz w:val="21"/>
              </w:rPr>
              <w:t>为回收网络的发展提供了框架和指导。通过与国际组织和其他国家的合作，可以共享最佳实践，协调政策，并共同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应对全球环境挑战。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right="378" w:firstLine="560"/>
        <w:jc w:val="both"/>
      </w:pPr>
      <w:r>
        <w:rPr>
          <w:spacing w:val="-6"/>
        </w:rPr>
        <w:t>再生资源回收网络的优化是实现可持续发展的重要环节，它涉及</w:t>
      </w:r>
      <w:r>
        <w:rPr>
          <w:spacing w:val="-4"/>
        </w:rPr>
        <w:t>到资源的循环利用、环境保护以及经济效益的提升。本文将针对现有</w:t>
      </w:r>
      <w:r>
        <w:rPr>
          <w:spacing w:val="-9"/>
        </w:rPr>
        <w:t>的再生资源回收网络进行分析，探讨其存在的问题并提出相应的优化</w:t>
      </w:r>
      <w:r>
        <w:rPr>
          <w:spacing w:val="-4"/>
        </w:rPr>
        <w:t>策略。</w:t>
      </w:r>
    </w:p>
    <w:p>
      <w:pPr>
        <w:pStyle w:val="BodyText"/>
        <w:spacing w:line="358" w:lineRule="exact"/>
      </w:pPr>
      <w:r>
        <w:rPr>
          <w:spacing w:val="-1"/>
        </w:rPr>
        <w:t>一、现有回收网络概述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2"/>
        </w:rPr>
        <w:t>再生资源回收网络是指由回收站点、分拣中心、处理设施以及运输系</w:t>
      </w:r>
      <w:r>
        <w:rPr>
          <w:spacing w:val="-2"/>
        </w:rPr>
        <w:t xml:space="preserve"> </w:t>
      </w:r>
      <w:r>
        <w:rPr>
          <w:spacing w:val="-12"/>
        </w:rPr>
        <w:t>统等组成的有机整体。该网络的主要功能是将废弃物品从产生地收集</w:t>
      </w:r>
      <w:r>
        <w:rPr>
          <w:spacing w:val="-2"/>
        </w:rPr>
        <w:t xml:space="preserve"> </w:t>
      </w:r>
      <w:r>
        <w:rPr>
          <w:spacing w:val="-2"/>
        </w:rPr>
        <w:t>起来，经过分类、分拣、加工等环节，最终转化为可再利用的资源。</w:t>
      </w:r>
      <w:r>
        <w:rPr>
          <w:spacing w:val="-2"/>
        </w:rPr>
        <w:t>现有的回收网络主要包括以下几个部分：</w:t>
      </w:r>
    </w:p>
    <w:p>
      <w:pPr>
        <w:pStyle w:val="ListParagraph"/>
        <w:numPr>
          <w:ilvl w:val="0"/>
          <w:numId w:val="28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回收站点：这是再生资源回收网络的起点，负责收集居民、企业</w:t>
      </w:r>
      <w:r>
        <w:rPr>
          <w:spacing w:val="-2"/>
          <w:sz w:val="28"/>
        </w:rPr>
        <w:t>产生的废弃物。常见的回收站点包括社区回收站、商业回收点等。</w:t>
      </w:r>
    </w:p>
    <w:p>
      <w:pPr>
        <w:pStyle w:val="ListParagraph"/>
        <w:numPr>
          <w:ilvl w:val="0"/>
          <w:numId w:val="28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分拣中心：负责对回收物品进行分类、分拣，以便于后续的处理</w:t>
      </w:r>
      <w:r>
        <w:rPr>
          <w:spacing w:val="-4"/>
          <w:sz w:val="28"/>
        </w:rPr>
        <w:t>与利用。分拣中心通常设有不同类别的存储区，如纸张、塑料、金属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0"/>
          <w:type w:val="continuous"/>
          <w:pgSz w:w="11910" w:h="16840"/>
          <w:pgMar w:top="140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37"/>
      </w:pPr>
      <w:r>
        <w:rPr>
          <w:spacing w:val="-5"/>
        </w:rPr>
        <w:t>等。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处理设施：对分拣后的再生资源进行加工处理，使其恢复原有价</w:t>
      </w:r>
      <w:r>
        <w:rPr>
          <w:spacing w:val="-4"/>
          <w:sz w:val="28"/>
        </w:rPr>
        <w:t>值或转化为其他有价值的物质。例如，废纸可以加工成再生纸，废塑</w:t>
      </w:r>
      <w:r>
        <w:rPr>
          <w:spacing w:val="-2"/>
          <w:sz w:val="28"/>
        </w:rPr>
        <w:t>料可以加工成塑料制品等。</w:t>
      </w:r>
    </w:p>
    <w:p>
      <w:pPr>
        <w:pStyle w:val="ListParagraph"/>
        <w:numPr>
          <w:ilvl w:val="0"/>
          <w:numId w:val="28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运输系统：连接上述各个节点，确保再生资源能够高效、低成本</w:t>
      </w:r>
      <w:r>
        <w:rPr>
          <w:spacing w:val="-2"/>
          <w:sz w:val="28"/>
        </w:rPr>
        <w:t>地从产生地转移到处理地。</w:t>
      </w:r>
    </w:p>
    <w:p>
      <w:pPr>
        <w:pStyle w:val="BodyText"/>
        <w:spacing w:line="358" w:lineRule="exact"/>
      </w:pPr>
      <w:r>
        <w:rPr>
          <w:spacing w:val="-1"/>
        </w:rPr>
        <w:t>二、现有回收网络的问题分析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98"/>
      </w:pPr>
      <w:r>
        <w:rPr>
          <w:spacing w:val="-2"/>
        </w:rPr>
        <w:t>尽管现有的再生资源回收网络在一定程度上实现了资源的循环利用，</w:t>
      </w:r>
      <w:r>
        <w:rPr>
          <w:spacing w:val="-2"/>
        </w:rPr>
        <w:t>但仍然存在一些问题亟待解决：</w:t>
      </w:r>
    </w:p>
    <w:p>
      <w:pPr>
        <w:pStyle w:val="ListParagraph"/>
        <w:numPr>
          <w:ilvl w:val="0"/>
          <w:numId w:val="2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回收率低：由于公众的环保意识不强，以及对再生资源价值的认</w:t>
      </w:r>
      <w:r>
        <w:rPr>
          <w:spacing w:val="-2"/>
          <w:sz w:val="28"/>
        </w:rPr>
        <w:t>识不足，导致许多有价值的废弃物未能得到有效的回收。</w:t>
      </w:r>
    </w:p>
    <w:p>
      <w:pPr>
        <w:pStyle w:val="ListParagraph"/>
        <w:numPr>
          <w:ilvl w:val="0"/>
          <w:numId w:val="2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分类不准确：由于缺乏专业的分拣人员以及高效的分拣设备，使</w:t>
      </w:r>
      <w:r>
        <w:rPr>
          <w:spacing w:val="-2"/>
          <w:sz w:val="28"/>
        </w:rPr>
        <w:t>得回收物品分类准确性不高，影响了后续的处理效率和质量。</w:t>
      </w:r>
    </w:p>
    <w:p>
      <w:pPr>
        <w:pStyle w:val="ListParagraph"/>
        <w:numPr>
          <w:ilvl w:val="0"/>
          <w:numId w:val="2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处理能力不足：现有的处理设施规模较小，技术水平较低，难以</w:t>
      </w:r>
      <w:r>
        <w:rPr>
          <w:spacing w:val="-2"/>
          <w:sz w:val="28"/>
        </w:rPr>
        <w:t>满足日益增长的再生资源处理需求。</w:t>
      </w:r>
    </w:p>
    <w:p>
      <w:pPr>
        <w:pStyle w:val="ListParagraph"/>
        <w:numPr>
          <w:ilvl w:val="0"/>
          <w:numId w:val="2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运输成本高：由于回收网络布局不合理，以及运输方式的选择不</w:t>
      </w:r>
      <w:r>
        <w:rPr>
          <w:spacing w:val="-2"/>
          <w:sz w:val="28"/>
        </w:rPr>
        <w:t>当，导致运输成本较高，降低了整个回收网络的效益。</w:t>
      </w:r>
    </w:p>
    <w:p>
      <w:pPr>
        <w:pStyle w:val="BodyText"/>
        <w:spacing w:line="358" w:lineRule="exact"/>
      </w:pPr>
      <w:r>
        <w:rPr>
          <w:spacing w:val="-2"/>
        </w:rPr>
        <w:t>三、优化策略建议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8"/>
        </w:rPr>
        <w:t>针对现有再生资源回收网络存在的问题，可以从以下几个方面进行优</w:t>
      </w:r>
      <w:r>
        <w:rPr>
          <w:spacing w:val="-6"/>
        </w:rPr>
        <w:t>化：</w:t>
      </w:r>
    </w:p>
    <w:p>
      <w:pPr>
        <w:pStyle w:val="ListParagraph"/>
        <w:numPr>
          <w:ilvl w:val="0"/>
          <w:numId w:val="2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提高公众参与度：通过宣传教育活动，提高公众的环保意识，引</w:t>
      </w:r>
      <w:r>
        <w:rPr>
          <w:spacing w:val="-2"/>
          <w:sz w:val="28"/>
        </w:rPr>
        <w:t>导他们积极参与到再生资源的回收中来。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p>
      <w:pPr>
        <w:pStyle w:val="ListParagraph"/>
        <w:numPr>
          <w:ilvl w:val="0"/>
          <w:numId w:val="26"/>
        </w:numPr>
        <w:tabs>
          <w:tab w:val="left" w:pos="542"/>
        </w:tabs>
        <w:spacing w:before="37" w:after="0" w:line="417" w:lineRule="auto"/>
        <w:ind w:left="120" w:right="104" w:firstLine="0"/>
        <w:jc w:val="left"/>
        <w:rPr>
          <w:sz w:val="28"/>
        </w:rPr>
      </w:pPr>
      <w:r>
        <w:rPr>
          <w:spacing w:val="-2"/>
          <w:sz w:val="28"/>
        </w:rPr>
        <w:t>完善回收体系：建立更加完善的回收站点网络，提高回收站点的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覆盖率和服务水平；引入先进的分拣技术，提高分拣效率和准确性。</w:t>
      </w:r>
    </w:p>
    <w:p>
      <w:pPr>
        <w:pStyle w:val="ListParagraph"/>
        <w:numPr>
          <w:ilvl w:val="0"/>
          <w:numId w:val="2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扩大处理规模：加大投资力度，建设大型的处理设施，提高再生</w:t>
      </w:r>
      <w:r>
        <w:rPr>
          <w:spacing w:val="-2"/>
          <w:sz w:val="28"/>
        </w:rPr>
        <w:t>资源的处理能力和技术水平。</w:t>
      </w:r>
    </w:p>
    <w:p>
      <w:pPr>
        <w:pStyle w:val="ListParagraph"/>
        <w:numPr>
          <w:ilvl w:val="0"/>
          <w:numId w:val="2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优化运输系统：合理规划回收网络的布局，选择经济合理的运输</w:t>
      </w:r>
      <w:r>
        <w:rPr>
          <w:spacing w:val="-2"/>
          <w:sz w:val="28"/>
        </w:rPr>
        <w:t>方式，降低运输成本。</w:t>
      </w:r>
    </w:p>
    <w:p>
      <w:pPr>
        <w:pStyle w:val="ListParagraph"/>
        <w:numPr>
          <w:ilvl w:val="0"/>
          <w:numId w:val="26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政策支持：政府应出台相关政策，鼓励和支持再生资源回收行业</w:t>
      </w:r>
      <w:r>
        <w:rPr>
          <w:spacing w:val="-2"/>
          <w:sz w:val="28"/>
        </w:rPr>
        <w:t>的发展，为回收网络的优化提供良好的政策环境。</w:t>
      </w:r>
    </w:p>
    <w:p>
      <w:pPr>
        <w:pStyle w:val="BodyText"/>
        <w:spacing w:line="417" w:lineRule="auto"/>
        <w:ind w:right="238"/>
      </w:pPr>
      <w:r>
        <w:rPr>
          <w:spacing w:val="-2"/>
        </w:rPr>
        <w:t>综上所述，通过对现有再生资源回收网络的分析，我们可以发现其在</w:t>
      </w:r>
      <w:r>
        <w:rPr>
          <w:spacing w:val="-18"/>
        </w:rPr>
        <w:t>回收率、分类准确性、处理能力以及运输成本等方面存在问题。因此，</w:t>
      </w:r>
      <w:r>
        <w:rPr>
          <w:spacing w:val="-9"/>
        </w:rPr>
        <w:t>我们需要采取相应的优化策略，以提高再生资源回收网络的运行效率</w:t>
      </w:r>
      <w:r>
        <w:rPr>
          <w:spacing w:val="-2"/>
        </w:rPr>
        <w:t>和经济效益，为实现可持续发展做出贡献。</w:t>
      </w:r>
    </w:p>
    <w:p>
      <w:pPr>
        <w:pStyle w:val="BodyText"/>
        <w:ind w:left="0"/>
      </w:pPr>
    </w:p>
    <w:p>
      <w:pPr>
        <w:pStyle w:val="Heading1"/>
        <w:tabs>
          <w:tab w:val="left" w:pos="1725"/>
        </w:tabs>
        <w:spacing w:before="235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网</w:t>
      </w:r>
      <w:r>
        <w:t>络</w:t>
      </w:r>
      <w:r>
        <w:t>优</w:t>
      </w:r>
      <w:r>
        <w:t>化</w:t>
      </w:r>
      <w:r>
        <w:t>目</w:t>
      </w:r>
      <w:r>
        <w:t>标</w:t>
      </w:r>
      <w:r>
        <w:t>设</w:t>
      </w:r>
      <w:bookmarkEnd w:id="2"/>
      <w:r>
        <w:rPr>
          <w:spacing w:val="-10"/>
        </w:rPr>
        <w:t>定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67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【网络优化目标设定】：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效率提升：通过优化再生资源回收网络的布局，减少运</w:t>
            </w:r>
            <w:r>
              <w:rPr>
                <w:spacing w:val="-2"/>
                <w:sz w:val="21"/>
              </w:rPr>
              <w:t>输距离和时间，提高整体回收效率。这包括对现有回收站</w:t>
            </w:r>
            <w:r>
              <w:rPr>
                <w:spacing w:val="-2"/>
                <w:sz w:val="21"/>
              </w:rPr>
              <w:t>点的合理分布进行研究，以及引入先进的物流管理系统来</w:t>
            </w:r>
            <w:r>
              <w:rPr>
                <w:spacing w:val="-2"/>
                <w:sz w:val="21"/>
              </w:rPr>
              <w:t>实时监控和调整运输路线。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成本降低：优化目标是实现回收网络运营成本的降低，</w:t>
            </w:r>
            <w:r>
              <w:rPr>
                <w:spacing w:val="-2"/>
                <w:sz w:val="21"/>
              </w:rPr>
              <w:t>这可以通过减少不必要的中间环节、采用更经济的运输方</w:t>
            </w:r>
            <w:r>
              <w:rPr>
                <w:spacing w:val="-2"/>
                <w:sz w:val="21"/>
              </w:rPr>
              <w:t>式、以及提高回收站的作业效率来实现。此外，还可以通</w:t>
            </w:r>
            <w:r>
              <w:rPr>
                <w:spacing w:val="-2"/>
                <w:sz w:val="21"/>
              </w:rPr>
              <w:t>过引入自动化技术来降低人力成本。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环境影响最小化：在优化过程中考虑环境因素，如减少</w:t>
            </w:r>
            <w:r>
              <w:rPr>
                <w:spacing w:val="-2"/>
                <w:sz w:val="21"/>
              </w:rPr>
              <w:t>碳排放、降低能源消耗等，以实现可持续发展。这可能涉</w:t>
            </w:r>
            <w:r>
              <w:rPr>
                <w:spacing w:val="-2"/>
                <w:sz w:val="21"/>
              </w:rPr>
              <w:t>及到使用环保材料、改进废物处理工艺，以及推广绿色运</w:t>
            </w:r>
            <w:r>
              <w:rPr>
                <w:spacing w:val="-4"/>
                <w:sz w:val="21"/>
              </w:rPr>
              <w:t>输工具。</w:t>
            </w:r>
          </w:p>
          <w:p>
            <w:pPr>
              <w:pStyle w:val="TableParagraph"/>
              <w:spacing w:line="268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【再生资源分类与处理】：</w:t>
            </w:r>
          </w:p>
        </w:tc>
      </w:tr>
    </w:tbl>
    <w:p>
      <w:pPr>
        <w:spacing w:after="0" w:line="268" w:lineRule="exact"/>
        <w:rPr>
          <w:sz w:val="21"/>
        </w:rPr>
        <w:sectPr>
          <w:footerReference w:type="default" r:id="rId12"/>
          <w:pgSz w:w="11910" w:h="16840"/>
          <w:pgMar w:top="1520" w:right="1420" w:bottom="1380" w:left="1680" w:header="0" w:footer="1198"/>
          <w:pgNumType w:start="8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再生资源回收网络优化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摘要：随着全球资源的日益紧张和环境问题的加剧，再生资源的回收</w:t>
      </w:r>
      <w:r>
        <w:rPr>
          <w:spacing w:val="-8"/>
        </w:rPr>
        <w:t>与利用成为解决这些问题的重要途径。本文旨在探讨再生资源回收网</w:t>
      </w:r>
      <w:r>
        <w:rPr>
          <w:spacing w:val="-4"/>
        </w:rPr>
        <w:t>络优化的目标设定，通过分析现有网络的运行效率、成本效益以及环</w:t>
      </w:r>
      <w:r>
        <w:rPr>
          <w:spacing w:val="-4"/>
        </w:rPr>
        <w:t>境影响，提出科学合理的优化策略，以实现资源的最大化利用和环境</w:t>
      </w:r>
      <w:r>
        <w:rPr>
          <w:spacing w:val="-2"/>
        </w:rPr>
        <w:t>的可持续发展。</w:t>
      </w:r>
    </w:p>
    <w:p>
      <w:pPr>
        <w:pStyle w:val="BodyText"/>
        <w:spacing w:line="417" w:lineRule="auto"/>
        <w:ind w:right="1685"/>
      </w:pPr>
      <w:r>
        <w:rPr>
          <w:spacing w:val="-2"/>
        </w:rPr>
        <w:t>关键词：再生资源；回收网络；优化目标；环境可持续性</w:t>
      </w:r>
      <w:r>
        <w:rPr>
          <w:spacing w:val="-4"/>
        </w:rPr>
        <w:t>一、引言</w:t>
      </w:r>
    </w:p>
    <w:p>
      <w:pPr>
        <w:pStyle w:val="BodyText"/>
        <w:spacing w:line="417" w:lineRule="auto"/>
        <w:ind w:right="378"/>
        <w:jc w:val="both"/>
      </w:pPr>
      <w:r>
        <w:rPr>
          <w:spacing w:val="-4"/>
        </w:rPr>
        <w:t>再生资源回收网络是连接资源产生者、回收商、处理商和最终用户的</w:t>
      </w:r>
      <w:r>
        <w:rPr>
          <w:spacing w:val="-4"/>
        </w:rPr>
        <w:t>重要环节。有效的网络优化可以提高资源回收率，降低运营成本，减</w:t>
      </w:r>
      <w:r>
        <w:rPr>
          <w:spacing w:val="-4"/>
        </w:rPr>
        <w:t>少环境污染，从而实现经济效益和环境效益的双赢。因此，明确网络</w:t>
      </w:r>
      <w:r>
        <w:rPr>
          <w:spacing w:val="-2"/>
        </w:rPr>
        <w:t>优化的目标对于指导整个回收过程具有重要意义。</w:t>
      </w:r>
    </w:p>
    <w:p>
      <w:pPr>
        <w:pStyle w:val="BodyText"/>
        <w:spacing w:line="358" w:lineRule="exact"/>
      </w:pPr>
      <w:r>
        <w:rPr>
          <w:spacing w:val="-1"/>
        </w:rPr>
        <w:t>二、网络优化目标设定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提高资源回收率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238"/>
      </w:pPr>
      <w:r>
        <w:rPr>
          <w:spacing w:val="-6"/>
        </w:rPr>
        <w:t>资源回收率是衡量再生资源回收网络运行效果的关键指标。优化目标</w:t>
      </w:r>
      <w:r>
        <w:rPr>
          <w:spacing w:val="-2"/>
        </w:rPr>
        <w:t>应首先关注如何提高资源回收率，包括增加回收渠道、提高回收技术</w:t>
      </w:r>
      <w:r>
        <w:rPr>
          <w:spacing w:val="-18"/>
        </w:rPr>
        <w:t>水平和提升回收质量等方面。例如，通过引入先进的分拣技术和设备，</w:t>
      </w:r>
      <w:r>
        <w:rPr>
          <w:spacing w:val="-2"/>
        </w:rPr>
        <w:t>可以更有效地将混合废弃物分离为有价值的再生资源。此外，加强与</w:t>
      </w:r>
      <w:r>
        <w:rPr>
          <w:spacing w:val="-2"/>
        </w:rPr>
        <w:t>社区、企业和政府的合作，扩大回收网络的覆盖范围，也有助于提高</w:t>
      </w:r>
      <w:r>
        <w:rPr>
          <w:spacing w:val="-2"/>
        </w:rPr>
        <w:t>资源回收率。</w:t>
      </w:r>
    </w:p>
    <w:p>
      <w:pPr>
        <w:pStyle w:val="ListParagraph"/>
        <w:numPr>
          <w:ilvl w:val="0"/>
          <w:numId w:val="24"/>
        </w:numPr>
        <w:tabs>
          <w:tab w:val="left" w:pos="540"/>
        </w:tabs>
        <w:spacing w:before="0" w:after="0" w:line="357" w:lineRule="exact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降低成本</w:t>
      </w:r>
    </w:p>
    <w:p>
      <w:pPr>
        <w:pStyle w:val="BodyText"/>
        <w:spacing w:before="9"/>
        <w:ind w:left="0"/>
        <w:rPr>
          <w:sz w:val="20"/>
        </w:rPr>
        <w:sectPr>
          <w:footerReference w:type="default" r:id="rId13"/>
          <w:type w:val="continuous"/>
          <w:pgSz w:w="11910" w:h="16840"/>
          <w:pgMar w:top="1400" w:right="1420" w:bottom="1380" w:left="1680" w:header="0" w:footer="1198"/>
          <w:pgNumType w:start="9"/>
          <w:cols w:space="708"/>
        </w:sectPr>
      </w:pPr>
    </w:p>
    <w:p>
      <w:pPr>
        <w:pStyle w:val="BodyText"/>
      </w:pPr>
      <w:r>
        <w:rPr>
          <w:spacing w:val="-5"/>
        </w:rPr>
        <w:t>降低再生资源回收网络的运营成本是实现经济效益的关键。这包括降</w:t>
      </w:r>
    </w:p>
    <w:p>
      <w:pPr>
        <w:spacing w:after="0"/>
        <w:sectPr>
          <w:footerReference w:type="default" r:id="rId14"/>
          <w:type w:val="nextPage"/>
          <w:pgSz w:w="11910" w:h="16840"/>
          <w:pgMar w:top="1400" w:right="1420" w:bottom="1380" w:left="1680" w:header="0" w:footer="1198"/>
          <w:pgNumType w:start="10"/>
          <w:cols w:space="708"/>
          <w:titlePg w:val="0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4"/>
        </w:rPr>
        <w:t>低运输成本、处理成本和人工成本等。通过优化物流路线、提高运输</w:t>
      </w:r>
      <w:r>
        <w:rPr>
          <w:spacing w:val="-4"/>
        </w:rPr>
        <w:t>工具的载重利用率、采用自动化和信息化技术等手段，可以有效降低</w:t>
      </w:r>
      <w:r>
        <w:rPr>
          <w:spacing w:val="-4"/>
        </w:rPr>
        <w:t>运输和处理成本。同时，提高员工的技能水平和生产效率，也是降低</w:t>
      </w:r>
      <w:r>
        <w:rPr>
          <w:spacing w:val="-2"/>
        </w:rPr>
        <w:t>人工成本的有效途径。</w:t>
      </w:r>
    </w:p>
    <w:p>
      <w:pPr>
        <w:pStyle w:val="ListParagraph"/>
        <w:numPr>
          <w:ilvl w:val="0"/>
          <w:numId w:val="24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减少环境影响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7"/>
        </w:rPr>
        <w:t>环境保护是再生资源回收网络优化的重要目标之一。优化过程中应充</w:t>
      </w:r>
      <w:r>
        <w:rPr>
          <w:spacing w:val="-18"/>
        </w:rPr>
        <w:t>分考虑废弃物的环境影响，如温室气体排放、水体污染和土壤污染等。</w:t>
      </w:r>
      <w:r>
        <w:rPr>
          <w:spacing w:val="-17"/>
        </w:rPr>
        <w:t>通过采用环保型设备和工艺、减少能源消耗、降低废弃物排放等措施，</w:t>
      </w:r>
      <w:r>
        <w:rPr>
          <w:spacing w:val="-2"/>
        </w:rPr>
        <w:t>可以实现对环境的友好。此外，鼓励回收商和生产商使用可再生资源</w:t>
      </w:r>
      <w:r>
        <w:rPr>
          <w:spacing w:val="-2"/>
        </w:rPr>
        <w:t>和环保材料，也有助于减少整个供应链的环境影响。</w:t>
      </w:r>
    </w:p>
    <w:p>
      <w:pPr>
        <w:pStyle w:val="ListParagraph"/>
        <w:numPr>
          <w:ilvl w:val="0"/>
          <w:numId w:val="24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提高服务质量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6"/>
        </w:rPr>
        <w:t>服务质量是衡量再生资源回收网络竞争力的关键因素。优化目标应关</w:t>
      </w:r>
      <w:r>
        <w:rPr>
          <w:spacing w:val="-2"/>
        </w:rPr>
        <w:t xml:space="preserve"> </w:t>
      </w:r>
      <w:r>
        <w:rPr>
          <w:spacing w:val="-2"/>
        </w:rPr>
        <w:t>注提高客户满意度、缩短响应时间和提高处理速度等方面。通过建立</w:t>
      </w:r>
      <w:r>
        <w:rPr>
          <w:spacing w:val="-2"/>
        </w:rPr>
        <w:t xml:space="preserve"> </w:t>
      </w:r>
      <w:r>
        <w:rPr>
          <w:spacing w:val="-2"/>
        </w:rPr>
        <w:t>完善的客户服务体系、提供个性化服务方案、加强员工培训等方式，</w:t>
      </w:r>
      <w:r>
        <w:rPr>
          <w:spacing w:val="-2"/>
        </w:rPr>
        <w:t>可以提升整体服务质量。同时，加强与客户的沟通与合作，了解客户</w:t>
      </w:r>
      <w:r>
        <w:rPr>
          <w:spacing w:val="-2"/>
        </w:rPr>
        <w:t xml:space="preserve"> </w:t>
      </w:r>
      <w:r>
        <w:rPr>
          <w:spacing w:val="-2"/>
        </w:rPr>
        <w:t>需求，有助于提供更加精准的服务。</w:t>
      </w:r>
    </w:p>
    <w:p>
      <w:pPr>
        <w:pStyle w:val="ListParagraph"/>
        <w:numPr>
          <w:ilvl w:val="0"/>
          <w:numId w:val="24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促进技术创新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7"/>
        </w:rPr>
        <w:t>技术创新是推动再生资源回收网络优化的重要手段。优化目标应关注</w:t>
      </w:r>
      <w:r>
        <w:rPr>
          <w:spacing w:val="-2"/>
        </w:rPr>
        <w:t xml:space="preserve"> </w:t>
      </w:r>
      <w:r>
        <w:rPr>
          <w:spacing w:val="-2"/>
        </w:rPr>
        <w:t>引进和研发新技术、新设备和新工艺，以提高资源回收率和降低环境</w:t>
      </w:r>
      <w:r>
        <w:rPr>
          <w:spacing w:val="-2"/>
        </w:rPr>
        <w:t xml:space="preserve"> </w:t>
      </w:r>
      <w:r>
        <w:rPr>
          <w:spacing w:val="-2"/>
        </w:rPr>
        <w:t>影响。例如，发展智能分拣技术、生物降解技术、循环利用技术等，</w:t>
      </w:r>
      <w:r>
        <w:rPr>
          <w:spacing w:val="-2"/>
        </w:rPr>
        <w:t>可以为再生资源回收提供新的解决方案。同时，鼓励企业加大研发投</w:t>
      </w:r>
      <w:r>
        <w:rPr>
          <w:spacing w:val="-2"/>
        </w:rPr>
        <w:t xml:space="preserve"> </w:t>
      </w:r>
      <w:r>
        <w:rPr>
          <w:spacing w:val="-2"/>
        </w:rPr>
        <w:t>入，培养创新人才，也是促进技术创新的重要途径。</w:t>
      </w:r>
    </w:p>
    <w:p>
      <w:pPr>
        <w:spacing w:after="0" w:line="417" w:lineRule="auto"/>
        <w:sectPr>
          <w:footerReference w:type="default" r:id="rId15"/>
          <w:pgSz w:w="11910" w:h="16840"/>
          <w:pgMar w:top="1520" w:right="1420" w:bottom="1380" w:left="1680" w:header="0" w:footer="1198"/>
          <w:pgNumType w:start="11"/>
          <w:cols w:space="708"/>
        </w:sectPr>
      </w:pPr>
    </w:p>
    <w:p>
      <w:pPr>
        <w:pStyle w:val="BodyText"/>
        <w:spacing w:before="37"/>
      </w:pPr>
      <w:r>
        <w:rPr>
          <w:spacing w:val="-3"/>
        </w:rPr>
        <w:t>三、结论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8"/>
        </w:rPr>
        <w:t>再生资源回收网络优化是一个系统工程，涉及多个目标和多个层面的</w:t>
      </w:r>
      <w:r>
        <w:rPr>
          <w:spacing w:val="-2"/>
        </w:rPr>
        <w:t xml:space="preserve"> </w:t>
      </w:r>
      <w:r>
        <w:rPr>
          <w:spacing w:val="-2"/>
        </w:rPr>
        <w:t>协同。通过合理设定优化目标，可以指导再生资源回收网络的规划、</w:t>
      </w:r>
      <w:r>
        <w:rPr>
          <w:spacing w:val="-2"/>
        </w:rPr>
        <w:t>建设和运营，实现资源的高效利用和环境的可持续发展。未来，随着</w:t>
      </w:r>
      <w:r>
        <w:rPr>
          <w:spacing w:val="-2"/>
        </w:rPr>
        <w:t xml:space="preserve"> </w:t>
      </w:r>
      <w:r>
        <w:rPr>
          <w:spacing w:val="-10"/>
        </w:rPr>
        <w:t>技术的进步和社会的发展，再生资源回收网络优化的目标也将不断调</w:t>
      </w:r>
      <w:r>
        <w:rPr>
          <w:spacing w:val="-2"/>
        </w:rPr>
        <w:t xml:space="preserve"> </w:t>
      </w:r>
      <w:r>
        <w:rPr>
          <w:spacing w:val="-2"/>
        </w:rPr>
        <w:t>整和更新，以适应新的挑战和需求。</w:t>
      </w:r>
    </w:p>
    <w:p>
      <w:pPr>
        <w:pStyle w:val="BodyText"/>
        <w:ind w:left="0"/>
      </w:pPr>
    </w:p>
    <w:p>
      <w:pPr>
        <w:pStyle w:val="Heading1"/>
        <w:tabs>
          <w:tab w:val="left" w:pos="1725"/>
        </w:tabs>
        <w:spacing w:before="237"/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数</w:t>
      </w:r>
      <w:r>
        <w:t>据</w:t>
      </w:r>
      <w:r>
        <w:t>驱</w:t>
      </w:r>
      <w:r>
        <w:t>动</w:t>
      </w:r>
      <w:r>
        <w:t>的</w:t>
      </w:r>
      <w:r>
        <w:t>决</w:t>
      </w:r>
      <w:r>
        <w:t>策</w:t>
      </w:r>
      <w:r>
        <w:t>模</w:t>
      </w:r>
      <w:bookmarkEnd w:id="3"/>
      <w:r>
        <w:rPr>
          <w:spacing w:val="-10"/>
        </w:rPr>
        <w:t>型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4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数据驱动决策模型的理论基</w:t>
            </w:r>
            <w:r>
              <w:rPr>
                <w:spacing w:val="-10"/>
                <w:sz w:val="21"/>
              </w:rPr>
              <w:t>础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数据分析与模式识别：在再生资源回收网络优化中，数</w:t>
            </w:r>
            <w:r>
              <w:rPr>
                <w:spacing w:val="-2"/>
                <w:sz w:val="21"/>
              </w:rPr>
              <w:t>据驱动决策模型依赖于对大量历史数据的分析，以识别出资源流动、需求变化和效率瓶颈的模式。这包括时间序列</w:t>
            </w:r>
            <w:r>
              <w:rPr>
                <w:spacing w:val="-2"/>
                <w:sz w:val="21"/>
              </w:rPr>
              <w:t>分析、聚类算法和关联规则挖掘等方法。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预测建模：通过机器学习技术，如回归分析、时间序列</w:t>
            </w:r>
            <w:r>
              <w:rPr>
                <w:spacing w:val="-2"/>
                <w:sz w:val="21"/>
              </w:rPr>
              <w:t>预测和神经网络，数据驱动模型能够预测未来的资源需求</w:t>
            </w:r>
            <w:r>
              <w:rPr>
                <w:spacing w:val="-2"/>
                <w:sz w:val="21"/>
              </w:rPr>
              <w:t>和供应情况，从而指导资源的合理配置和调度。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优化算法应用：数据驱动决策模型通常结合线性规划、</w:t>
            </w:r>
            <w:r>
              <w:rPr>
                <w:spacing w:val="-2"/>
                <w:sz w:val="21"/>
              </w:rPr>
              <w:t>整数规划和启发式算法等优化方法，以实现资源回收网络</w:t>
            </w:r>
            <w:r>
              <w:rPr>
                <w:spacing w:val="-2"/>
                <w:sz w:val="21"/>
              </w:rPr>
              <w:t>的全局最优化。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数据采集与管理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传感器与物联网技术：为了实时监控资源回收过程，需</w:t>
            </w:r>
            <w:r>
              <w:rPr>
                <w:spacing w:val="-2"/>
                <w:sz w:val="21"/>
              </w:rPr>
              <w:t>要部署大量的传感器和物联网设备来收集数据，如智能垃</w:t>
            </w:r>
            <w:r>
              <w:rPr>
                <w:spacing w:val="-2"/>
                <w:sz w:val="21"/>
              </w:rPr>
              <w:t>圾桶、自动分拣机械等。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数据清洗与预处理：由于数据来源多样且可能存在噪声，</w:t>
            </w:r>
            <w:r>
              <w:rPr>
                <w:spacing w:val="1"/>
                <w:sz w:val="21"/>
              </w:rPr>
              <w:t>数据驱动决策模型需要对数据进行清洗和预处理，以确保数据的质量和一致性。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数据仓库与大数据分析平台：构建数据仓库和大数据分</w:t>
            </w:r>
            <w:r>
              <w:rPr>
                <w:spacing w:val="-2"/>
                <w:sz w:val="21"/>
              </w:rPr>
              <w:t>析平台是存储、管理和分析大规模数据的关键，支持快速</w:t>
            </w:r>
            <w:r>
              <w:rPr>
                <w:spacing w:val="-2"/>
                <w:sz w:val="21"/>
              </w:rPr>
              <w:t>的数据查询和复杂的数据挖掘任务。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用户行为分析与需求预测</w:t>
            </w:r>
          </w:p>
        </w:tc>
        <w:tc>
          <w:tcPr>
            <w:tcW w:w="5527" w:type="dxa"/>
          </w:tcPr>
          <w:p>
            <w:pPr>
              <w:pStyle w:val="TableParagraph"/>
              <w:spacing w:before="18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</w:tabs>
              <w:spacing w:before="0" w:after="0" w:line="310" w:lineRule="atLeast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用户画像构建：通过对用户行为数据的分析，可以构建</w:t>
            </w:r>
            <w:r>
              <w:rPr>
                <w:spacing w:val="-2"/>
                <w:sz w:val="21"/>
              </w:rPr>
              <w:t>用户画像，了解不同用户群体的特点及其对资源回收服务</w:t>
            </w:r>
          </w:p>
        </w:tc>
      </w:tr>
    </w:tbl>
    <w:p>
      <w:pPr>
        <w:spacing w:after="0" w:line="310" w:lineRule="atLeast"/>
        <w:jc w:val="left"/>
        <w:rPr>
          <w:sz w:val="21"/>
        </w:rPr>
        <w:sectPr>
          <w:footerReference w:type="default" r:id="rId16"/>
          <w:pgSz w:w="11910" w:h="16840"/>
          <w:pgMar w:top="1520" w:right="1420" w:bottom="1380" w:left="1680" w:header="0" w:footer="1198"/>
          <w:pgNumType w:start="12"/>
          <w:cols w:space="708"/>
        </w:sectPr>
      </w:pPr>
    </w:p>
    <w:tbl>
      <w:tblPr>
        <w:tblStyle w:val="TableNormal7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的需求。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需求预测模型：基于用户行为数据和历史需求信息，建</w:t>
            </w:r>
            <w:r>
              <w:rPr>
                <w:spacing w:val="-2"/>
                <w:sz w:val="21"/>
              </w:rPr>
              <w:t>立需求预测模型，为资源调度和分配提供依据。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个性化服务推荐：根据用户画像和需求预测结果，为用</w:t>
            </w:r>
            <w:r>
              <w:rPr>
                <w:spacing w:val="-2"/>
                <w:sz w:val="21"/>
              </w:rPr>
              <w:t>户提供个性化的资源回收服务建议，提高用户满意度和资</w:t>
            </w:r>
            <w:r>
              <w:rPr>
                <w:spacing w:val="-2"/>
                <w:sz w:val="21"/>
              </w:rPr>
              <w:t>源利用率。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供应链协同与物流优化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供应链信息共享：通过数据驱动决策模型，实现供应链</w:t>
            </w:r>
            <w:r>
              <w:rPr>
                <w:spacing w:val="-2"/>
                <w:sz w:val="21"/>
              </w:rPr>
              <w:t>各参与方的信息共享，提高整个供应链的响应速度和灵活</w:t>
            </w:r>
            <w:r>
              <w:rPr>
                <w:spacing w:val="-6"/>
                <w:sz w:val="21"/>
              </w:rPr>
              <w:t>性。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物流路径优化：运用图论和运筹学方法，优化物流路径</w:t>
            </w:r>
            <w:r>
              <w:rPr>
                <w:spacing w:val="-2"/>
                <w:sz w:val="21"/>
              </w:rPr>
              <w:t>和车辆调度计划，降低运输成本和时间延迟。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库存管理策略：基于需求预测和实时库存数据，制定动</w:t>
            </w:r>
            <w:r>
              <w:rPr>
                <w:spacing w:val="-2"/>
                <w:sz w:val="21"/>
              </w:rPr>
              <w:t>态的库存管理策略，减少库存积压和缺货风险。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8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环境政策与市场动态影响评</w:t>
            </w:r>
            <w:r>
              <w:rPr>
                <w:spacing w:val="-10"/>
                <w:sz w:val="21"/>
              </w:rPr>
              <w:t>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政策敏感性分析：研究环境政策和市场动态如何影响资</w:t>
            </w:r>
            <w:r>
              <w:rPr>
                <w:spacing w:val="-2"/>
                <w:sz w:val="21"/>
              </w:rPr>
              <w:t>源回收网络，通过敏感性分析揭示关键因素的影响程度。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风险评估与管理：识别潜在的市场和政策风险，并制定</w:t>
            </w:r>
            <w:r>
              <w:rPr>
                <w:spacing w:val="-2"/>
                <w:sz w:val="21"/>
              </w:rPr>
              <w:t>相应的风险管理措施，确保资源回收网络的稳定运行。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可持续发展战略：结合环境政策导向和市场发展趋势，制定可持续发展的战略规划，促进资源回收行业的长期繁</w:t>
            </w:r>
            <w:r>
              <w:rPr>
                <w:spacing w:val="-6"/>
                <w:sz w:val="21"/>
              </w:rPr>
              <w:t>荣。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人工智能技术在数据驱动决</w:t>
            </w:r>
            <w:r>
              <w:rPr>
                <w:spacing w:val="-2"/>
                <w:sz w:val="21"/>
              </w:rPr>
              <w:t>策中的应用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机器学习和深度学习：利用机器学习和深度学习技术，</w:t>
            </w:r>
            <w:r>
              <w:rPr>
                <w:spacing w:val="-2"/>
                <w:sz w:val="21"/>
              </w:rPr>
              <w:t>从海量数据中提取有价值的信息和知识，为决策提供支持。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自然语言处理：通过自然语言处理技术，分析和理解非</w:t>
            </w:r>
            <w:r>
              <w:rPr>
                <w:spacing w:val="-2"/>
                <w:sz w:val="21"/>
              </w:rPr>
              <w:t>结构化文本数据，如新闻报道、社交媒体信息等，获取关</w:t>
            </w:r>
            <w:r>
              <w:rPr>
                <w:spacing w:val="-2"/>
                <w:sz w:val="21"/>
              </w:rPr>
              <w:t>于市场和环境政策的实时信息。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强化学习：在资源回收网络优化中，强化学习可用于动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态调整策略，以实现长期回报的最大化。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260" w:right="1965" w:firstLine="420"/>
        <w:jc w:val="both"/>
      </w:pPr>
      <w:r>
        <w:rPr>
          <w:spacing w:val="-6"/>
        </w:rPr>
        <w:t># 再生资源回收网络优化中的数据驱动的决策模型</w:t>
      </w:r>
      <w:r>
        <w:rPr>
          <w:spacing w:val="-6"/>
        </w:rPr>
        <w:t>引言</w:t>
      </w:r>
    </w:p>
    <w:p>
      <w:pPr>
        <w:pStyle w:val="BodyText"/>
        <w:spacing w:line="417" w:lineRule="auto"/>
        <w:ind w:right="378"/>
        <w:jc w:val="both"/>
      </w:pPr>
      <w:r>
        <w:rPr>
          <w:spacing w:val="-7"/>
        </w:rPr>
        <w:t>随着全球资源的日益紧张和环境问题的加剧，再生资源的回收与利用</w:t>
      </w:r>
      <w:r>
        <w:rPr>
          <w:spacing w:val="-9"/>
        </w:rPr>
        <w:t>成为了解决这些问题的重要途径。再生资源回收网络的优化对于提高</w:t>
      </w:r>
      <w:r>
        <w:rPr>
          <w:spacing w:val="-5"/>
        </w:rPr>
        <w:t>资源利用率、降低环境成本以及提升经济效益具有关键作用。本文将</w:t>
      </w:r>
    </w:p>
    <w:p>
      <w:pPr>
        <w:spacing w:after="0" w:line="417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https://d.book118.com/818054025065006043</w:t>
        </w:r>
      </w:hyperlink>
    </w:p>
    <w:p>
      <w:pPr>
        <w:spacing w:after="0" w:line="417" w:lineRule="auto"/>
        <w:jc w:val="both"/>
      </w:pPr>
    </w:p>
    <w:sectPr>
      <w:footerReference w:type="default" r:id="rId18"/>
      <w:type w:val="continuous"/>
      <w:pgSz w:w="11910" w:h="16840"/>
      <w:pgMar w:top="1400" w:right="142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4877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">
    <w:nsid w:val="0AC6E647"/>
    <w:multiLevelType w:val="hybridMultilevel"/>
    <w:tmpl w:val="00000000"/>
    <w:lvl w:ilvl="0">
      <w:start w:val="1"/>
      <w:numFmt w:val="decimal"/>
      <w:lvlText w:val="%1."/>
      <w:lvlJc w:val="left"/>
      <w:pPr>
        <w:ind w:left="6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9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0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3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5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2">
    <w:nsid w:val="0BCBDBB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0E60781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">
    <w:nsid w:val="13DCDDC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5">
    <w:nsid w:val="150BA47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6">
    <w:nsid w:val="173A4893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7">
    <w:nsid w:val="17CD6D4A"/>
    <w:multiLevelType w:val="hybridMultilevel"/>
    <w:tmpl w:val="00000000"/>
    <w:lvl w:ilvl="0">
      <w:start w:val="1"/>
      <w:numFmt w:val="decimal"/>
      <w:lvlText w:val="%1."/>
      <w:lvlJc w:val="left"/>
      <w:pPr>
        <w:ind w:left="6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9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0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3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5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8">
    <w:nsid w:val="1F24EF1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9">
    <w:nsid w:val="1F59763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0">
    <w:nsid w:val="20A2F67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1">
    <w:nsid w:val="22EF091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12">
    <w:nsid w:val="28C4FB1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3">
    <w:nsid w:val="2A545042"/>
    <w:multiLevelType w:val="hybridMultilevel"/>
    <w:tmpl w:val="00000000"/>
    <w:lvl w:ilvl="0">
      <w:start w:val="1"/>
      <w:numFmt w:val="decimal"/>
      <w:lvlText w:val="%1."/>
      <w:lvlJc w:val="left"/>
      <w:pPr>
        <w:ind w:left="6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9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0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3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5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14">
    <w:nsid w:val="2B2C313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5">
    <w:nsid w:val="2EA60E1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6">
    <w:nsid w:val="36CF444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7">
    <w:nsid w:val="37B4DDA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8">
    <w:nsid w:val="397EDC5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19">
    <w:nsid w:val="3BBEB6A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0">
    <w:nsid w:val="414966A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1">
    <w:nsid w:val="43BAB4A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2">
    <w:nsid w:val="46D4288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23">
    <w:nsid w:val="4F7E8884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4">
    <w:nsid w:val="50B10E6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25">
    <w:nsid w:val="5150D10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6">
    <w:nsid w:val="54C4DBE6"/>
    <w:multiLevelType w:val="hybridMultilevel"/>
    <w:tmpl w:val="00000000"/>
    <w:lvl w:ilvl="0">
      <w:start w:val="0"/>
      <w:numFmt w:val="bullet"/>
      <w:lvlText w:val="-"/>
      <w:lvlJc w:val="left"/>
      <w:pPr>
        <w:ind w:left="2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14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69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2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78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87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42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96" w:hanging="280"/>
      </w:pPr>
      <w:rPr>
        <w:rFonts w:hint="default"/>
        <w:lang w:val="en-US" w:eastAsia="zh-CN" w:bidi="ar-SA"/>
      </w:rPr>
    </w:lvl>
  </w:abstractNum>
  <w:abstractNum w:abstractNumId="27">
    <w:nsid w:val="598F9CB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8">
    <w:nsid w:val="5F9140A1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9">
    <w:nsid w:val="69B05AC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0">
    <w:nsid w:val="6E221BB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1">
    <w:nsid w:val="6FF898F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32">
    <w:nsid w:val="74547DD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3">
    <w:nsid w:val="7796935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34">
    <w:nsid w:val="7A431DC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5">
    <w:nsid w:val="7A52FDE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6">
    <w:nsid w:val="7B2F148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37">
    <w:nsid w:val="7B61E9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38">
    <w:nsid w:val="7D18F50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num w:numId="1">
    <w:abstractNumId w:val="13"/>
  </w:num>
  <w:num w:numId="2">
    <w:abstractNumId w:val="37"/>
  </w:num>
  <w:num w:numId="3">
    <w:abstractNumId w:val="9"/>
  </w:num>
  <w:num w:numId="4">
    <w:abstractNumId w:val="32"/>
  </w:num>
  <w:num w:numId="5">
    <w:abstractNumId w:val="33"/>
  </w:num>
  <w:num w:numId="6">
    <w:abstractNumId w:val="30"/>
  </w:num>
  <w:num w:numId="7">
    <w:abstractNumId w:val="24"/>
  </w:num>
  <w:num w:numId="8">
    <w:abstractNumId w:val="1"/>
  </w:num>
  <w:num w:numId="9">
    <w:abstractNumId w:val="7"/>
  </w:num>
  <w:num w:numId="10">
    <w:abstractNumId w:val="38"/>
  </w:num>
  <w:num w:numId="11">
    <w:abstractNumId w:val="4"/>
  </w:num>
  <w:num w:numId="12">
    <w:abstractNumId w:val="18"/>
  </w:num>
  <w:num w:numId="13">
    <w:abstractNumId w:val="36"/>
  </w:num>
  <w:num w:numId="14">
    <w:abstractNumId w:val="22"/>
  </w:num>
  <w:num w:numId="15">
    <w:abstractNumId w:val="8"/>
  </w:num>
  <w:num w:numId="16">
    <w:abstractNumId w:val="26"/>
  </w:num>
  <w:num w:numId="17">
    <w:abstractNumId w:val="27"/>
  </w:num>
  <w:num w:numId="18">
    <w:abstractNumId w:val="20"/>
  </w:num>
  <w:num w:numId="19">
    <w:abstractNumId w:val="35"/>
  </w:num>
  <w:num w:numId="20">
    <w:abstractNumId w:val="28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11"/>
  </w:num>
  <w:num w:numId="26">
    <w:abstractNumId w:val="34"/>
  </w:num>
  <w:num w:numId="27">
    <w:abstractNumId w:val="3"/>
  </w:num>
  <w:num w:numId="28">
    <w:abstractNumId w:val="19"/>
  </w:num>
  <w:num w:numId="29">
    <w:abstractNumId w:val="16"/>
  </w:num>
  <w:num w:numId="30">
    <w:abstractNumId w:val="0"/>
  </w:num>
  <w:num w:numId="31">
    <w:abstractNumId w:val="15"/>
  </w:num>
  <w:num w:numId="32">
    <w:abstractNumId w:val="29"/>
  </w:num>
  <w:num w:numId="33">
    <w:abstractNumId w:val="23"/>
  </w:num>
  <w:num w:numId="34">
    <w:abstractNumId w:val="14"/>
  </w:num>
  <w:num w:numId="35">
    <w:abstractNumId w:val="17"/>
  </w:num>
  <w:num w:numId="36">
    <w:abstractNumId w:val="10"/>
  </w:num>
  <w:num w:numId="37">
    <w:abstractNumId w:val="12"/>
  </w:num>
  <w:num w:numId="38">
    <w:abstractNumId w:val="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460" w:right="2719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818054025065006043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2024-03-05T05:41:29Z</dcterms:created>
  <dcterms:modified xsi:type="dcterms:W3CDTF">2024-03-05T05:41:29Z</dcterms:modified>
</cp:coreProperties>
</file>