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微生物肥料项目规划设计纲要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29" w:history="1">
        <w:r>
          <w:rPr>
            <w:rFonts w:ascii="仿宋" w:eastAsia="仿宋" w:hAnsi="仿宋" w:cs="仿宋" w:hint="eastAsia"/>
            <w:lang w:eastAsia="zh-CN"/>
          </w:rPr>
          <w:t>前言</w:t>
        </w:r>
        <w:r>
          <w:tab/>
        </w:r>
        <w:r>
          <w:fldChar w:fldCharType="begin"/>
        </w:r>
        <w:r>
          <w:instrText xml:space="preserve"> PAGEREF _Toc10829 \h </w:instrText>
        </w:r>
        <w:r>
          <w:fldChar w:fldCharType="separate"/>
        </w:r>
        <w:r>
          <w:t>3</w:t>
        </w:r>
        <w:r>
          <w:fldChar w:fldCharType="end"/>
        </w:r>
      </w:hyperlink>
    </w:p>
    <w:p>
      <w:pPr>
        <w:pStyle w:val="TOC1"/>
        <w:tabs>
          <w:tab w:val="right" w:leader="dot" w:pos="8306"/>
        </w:tabs>
      </w:pPr>
      <w:hyperlink w:anchor="_Toc12219" w:history="1">
        <w:r>
          <w:rPr>
            <w:rFonts w:ascii="仿宋" w:eastAsia="仿宋" w:hAnsi="仿宋" w:cs="仿宋" w:hint="eastAsia"/>
            <w:lang w:eastAsia="zh-CN"/>
          </w:rPr>
          <w:t>一、微生物肥料项目绩效评估</w:t>
        </w:r>
        <w:r>
          <w:tab/>
        </w:r>
        <w:r>
          <w:fldChar w:fldCharType="begin"/>
        </w:r>
        <w:r>
          <w:instrText xml:space="preserve"> PAGEREF _Toc12219 \h </w:instrText>
        </w:r>
        <w:r>
          <w:fldChar w:fldCharType="separate"/>
        </w:r>
        <w:r>
          <w:t>3</w:t>
        </w:r>
        <w:r>
          <w:fldChar w:fldCharType="end"/>
        </w:r>
      </w:hyperlink>
    </w:p>
    <w:p>
      <w:pPr>
        <w:pStyle w:val="TOC2"/>
        <w:tabs>
          <w:tab w:val="right" w:leader="dot" w:pos="8306"/>
        </w:tabs>
      </w:pPr>
      <w:hyperlink w:anchor="_Toc933" w:history="1">
        <w:r>
          <w:rPr>
            <w:rFonts w:ascii="仿宋" w:eastAsia="仿宋" w:hAnsi="仿宋" w:cs="仿宋" w:hint="eastAsia"/>
            <w:lang w:eastAsia="zh-CN"/>
          </w:rPr>
          <w:t>(一)、绩效评估指标</w:t>
        </w:r>
        <w:r>
          <w:tab/>
        </w:r>
        <w:r>
          <w:fldChar w:fldCharType="begin"/>
        </w:r>
        <w:r>
          <w:instrText xml:space="preserve"> PAGEREF _Toc933 \h </w:instrText>
        </w:r>
        <w:r>
          <w:fldChar w:fldCharType="separate"/>
        </w:r>
        <w:r>
          <w:t>3</w:t>
        </w:r>
        <w:r>
          <w:fldChar w:fldCharType="end"/>
        </w:r>
      </w:hyperlink>
    </w:p>
    <w:p>
      <w:pPr>
        <w:pStyle w:val="TOC2"/>
        <w:tabs>
          <w:tab w:val="right" w:leader="dot" w:pos="8306"/>
        </w:tabs>
      </w:pPr>
      <w:hyperlink w:anchor="_Toc1721" w:history="1">
        <w:r>
          <w:rPr>
            <w:rFonts w:ascii="仿宋" w:eastAsia="仿宋" w:hAnsi="仿宋" w:cs="仿宋" w:hint="eastAsia"/>
            <w:lang w:eastAsia="zh-CN"/>
          </w:rPr>
          <w:t>(二)、绩效评估方法</w:t>
        </w:r>
        <w:r>
          <w:tab/>
        </w:r>
        <w:r>
          <w:fldChar w:fldCharType="begin"/>
        </w:r>
        <w:r>
          <w:instrText xml:space="preserve"> PAGEREF _Toc1721 \h </w:instrText>
        </w:r>
        <w:r>
          <w:fldChar w:fldCharType="separate"/>
        </w:r>
        <w:r>
          <w:t>4</w:t>
        </w:r>
        <w:r>
          <w:fldChar w:fldCharType="end"/>
        </w:r>
      </w:hyperlink>
    </w:p>
    <w:p>
      <w:pPr>
        <w:pStyle w:val="TOC2"/>
        <w:tabs>
          <w:tab w:val="right" w:leader="dot" w:pos="8306"/>
        </w:tabs>
      </w:pPr>
      <w:hyperlink w:anchor="_Toc16049" w:history="1">
        <w:r>
          <w:rPr>
            <w:rFonts w:ascii="仿宋" w:eastAsia="仿宋" w:hAnsi="仿宋" w:cs="仿宋" w:hint="eastAsia"/>
            <w:lang w:eastAsia="zh-CN"/>
          </w:rPr>
          <w:t>(三)、绩效评估周期</w:t>
        </w:r>
        <w:r>
          <w:tab/>
        </w:r>
        <w:r>
          <w:fldChar w:fldCharType="begin"/>
        </w:r>
        <w:r>
          <w:instrText xml:space="preserve"> PAGEREF _Toc16049 \h </w:instrText>
        </w:r>
        <w:r>
          <w:fldChar w:fldCharType="separate"/>
        </w:r>
        <w:r>
          <w:t>5</w:t>
        </w:r>
        <w:r>
          <w:fldChar w:fldCharType="end"/>
        </w:r>
      </w:hyperlink>
    </w:p>
    <w:p>
      <w:pPr>
        <w:pStyle w:val="TOC1"/>
        <w:tabs>
          <w:tab w:val="right" w:leader="dot" w:pos="8306"/>
        </w:tabs>
      </w:pPr>
      <w:hyperlink w:anchor="_Toc23067" w:history="1">
        <w:r>
          <w:rPr>
            <w:rFonts w:ascii="仿宋" w:eastAsia="仿宋" w:hAnsi="仿宋" w:cs="仿宋" w:hint="eastAsia"/>
            <w:lang w:eastAsia="zh-CN"/>
          </w:rPr>
          <w:t>二、产品规划分析</w:t>
        </w:r>
        <w:r>
          <w:tab/>
        </w:r>
        <w:r>
          <w:fldChar w:fldCharType="begin"/>
        </w:r>
        <w:r>
          <w:instrText xml:space="preserve"> PAGEREF _Toc23067 \h </w:instrText>
        </w:r>
        <w:r>
          <w:fldChar w:fldCharType="separate"/>
        </w:r>
        <w:r>
          <w:t>6</w:t>
        </w:r>
        <w:r>
          <w:fldChar w:fldCharType="end"/>
        </w:r>
      </w:hyperlink>
    </w:p>
    <w:p>
      <w:pPr>
        <w:pStyle w:val="TOC2"/>
        <w:tabs>
          <w:tab w:val="right" w:leader="dot" w:pos="8306"/>
        </w:tabs>
      </w:pPr>
      <w:hyperlink w:anchor="_Toc26906" w:history="1">
        <w:r>
          <w:rPr>
            <w:rFonts w:ascii="仿宋" w:eastAsia="仿宋" w:hAnsi="仿宋" w:cs="仿宋" w:hint="eastAsia"/>
            <w:lang w:eastAsia="zh-CN"/>
          </w:rPr>
          <w:t>(一)、产品规划</w:t>
        </w:r>
        <w:r>
          <w:tab/>
        </w:r>
        <w:r>
          <w:fldChar w:fldCharType="begin"/>
        </w:r>
        <w:r>
          <w:instrText xml:space="preserve"> PAGEREF _Toc26906 \h </w:instrText>
        </w:r>
        <w:r>
          <w:fldChar w:fldCharType="separate"/>
        </w:r>
        <w:r>
          <w:t>6</w:t>
        </w:r>
        <w:r>
          <w:fldChar w:fldCharType="end"/>
        </w:r>
      </w:hyperlink>
    </w:p>
    <w:p>
      <w:pPr>
        <w:pStyle w:val="TOC2"/>
        <w:tabs>
          <w:tab w:val="right" w:leader="dot" w:pos="8306"/>
        </w:tabs>
      </w:pPr>
      <w:hyperlink w:anchor="_Toc22231" w:history="1">
        <w:r>
          <w:rPr>
            <w:rFonts w:ascii="仿宋" w:eastAsia="仿宋" w:hAnsi="仿宋" w:cs="仿宋" w:hint="eastAsia"/>
            <w:lang w:eastAsia="zh-CN"/>
          </w:rPr>
          <w:t>(二)、建设规模</w:t>
        </w:r>
        <w:r>
          <w:tab/>
        </w:r>
        <w:r>
          <w:fldChar w:fldCharType="begin"/>
        </w:r>
        <w:r>
          <w:instrText xml:space="preserve"> PAGEREF _Toc22231 \h </w:instrText>
        </w:r>
        <w:r>
          <w:fldChar w:fldCharType="separate"/>
        </w:r>
        <w:r>
          <w:t>7</w:t>
        </w:r>
        <w:r>
          <w:fldChar w:fldCharType="end"/>
        </w:r>
      </w:hyperlink>
    </w:p>
    <w:p>
      <w:pPr>
        <w:pStyle w:val="TOC1"/>
        <w:tabs>
          <w:tab w:val="right" w:leader="dot" w:pos="8306"/>
        </w:tabs>
      </w:pPr>
      <w:hyperlink w:anchor="_Toc16931" w:history="1">
        <w:r>
          <w:rPr>
            <w:rFonts w:ascii="仿宋" w:eastAsia="仿宋" w:hAnsi="仿宋" w:cs="仿宋" w:hint="eastAsia"/>
            <w:lang w:eastAsia="zh-CN"/>
          </w:rPr>
          <w:t>三、微生物肥料项目概论</w:t>
        </w:r>
        <w:r>
          <w:tab/>
        </w:r>
        <w:r>
          <w:fldChar w:fldCharType="begin"/>
        </w:r>
        <w:r>
          <w:instrText xml:space="preserve"> PAGEREF _Toc16931 \h </w:instrText>
        </w:r>
        <w:r>
          <w:fldChar w:fldCharType="separate"/>
        </w:r>
        <w:r>
          <w:t>8</w:t>
        </w:r>
        <w:r>
          <w:fldChar w:fldCharType="end"/>
        </w:r>
      </w:hyperlink>
    </w:p>
    <w:p>
      <w:pPr>
        <w:pStyle w:val="TOC2"/>
        <w:tabs>
          <w:tab w:val="right" w:leader="dot" w:pos="8306"/>
        </w:tabs>
      </w:pPr>
      <w:hyperlink w:anchor="_Toc5285" w:history="1">
        <w:r>
          <w:rPr>
            <w:rFonts w:ascii="仿宋" w:eastAsia="仿宋" w:hAnsi="仿宋" w:cs="仿宋" w:hint="eastAsia"/>
            <w:lang w:eastAsia="zh-CN"/>
          </w:rPr>
          <w:t>(一)、微生物肥料项目概况</w:t>
        </w:r>
        <w:r>
          <w:tab/>
        </w:r>
        <w:r>
          <w:fldChar w:fldCharType="begin"/>
        </w:r>
        <w:r>
          <w:instrText xml:space="preserve"> PAGEREF _Toc5285 \h </w:instrText>
        </w:r>
        <w:r>
          <w:fldChar w:fldCharType="separate"/>
        </w:r>
        <w:r>
          <w:t>8</w:t>
        </w:r>
        <w:r>
          <w:fldChar w:fldCharType="end"/>
        </w:r>
      </w:hyperlink>
    </w:p>
    <w:p>
      <w:pPr>
        <w:pStyle w:val="TOC2"/>
        <w:tabs>
          <w:tab w:val="right" w:leader="dot" w:pos="8306"/>
        </w:tabs>
      </w:pPr>
      <w:hyperlink w:anchor="_Toc2591" w:history="1">
        <w:r>
          <w:rPr>
            <w:rFonts w:ascii="仿宋" w:eastAsia="仿宋" w:hAnsi="仿宋" w:cs="仿宋" w:hint="eastAsia"/>
            <w:lang w:eastAsia="zh-CN"/>
          </w:rPr>
          <w:t>(二)、微生物肥料项目目标</w:t>
        </w:r>
        <w:r>
          <w:tab/>
        </w:r>
        <w:r>
          <w:fldChar w:fldCharType="begin"/>
        </w:r>
        <w:r>
          <w:instrText xml:space="preserve"> PAGEREF _Toc2591 \h </w:instrText>
        </w:r>
        <w:r>
          <w:fldChar w:fldCharType="separate"/>
        </w:r>
        <w:r>
          <w:t>10</w:t>
        </w:r>
        <w:r>
          <w:fldChar w:fldCharType="end"/>
        </w:r>
      </w:hyperlink>
    </w:p>
    <w:p>
      <w:pPr>
        <w:pStyle w:val="TOC2"/>
        <w:tabs>
          <w:tab w:val="right" w:leader="dot" w:pos="8306"/>
        </w:tabs>
      </w:pPr>
      <w:hyperlink w:anchor="_Toc9246" w:history="1">
        <w:r>
          <w:rPr>
            <w:rFonts w:ascii="仿宋" w:eastAsia="仿宋" w:hAnsi="仿宋" w:cs="仿宋" w:hint="eastAsia"/>
            <w:lang w:eastAsia="zh-CN"/>
          </w:rPr>
          <w:t>(三)、微生物肥料项目提出的理由</w:t>
        </w:r>
        <w:r>
          <w:tab/>
        </w:r>
        <w:r>
          <w:fldChar w:fldCharType="begin"/>
        </w:r>
        <w:r>
          <w:instrText xml:space="preserve"> PAGEREF _Toc9246 \h </w:instrText>
        </w:r>
        <w:r>
          <w:fldChar w:fldCharType="separate"/>
        </w:r>
        <w:r>
          <w:t>11</w:t>
        </w:r>
        <w:r>
          <w:fldChar w:fldCharType="end"/>
        </w:r>
      </w:hyperlink>
    </w:p>
    <w:p>
      <w:pPr>
        <w:pStyle w:val="TOC2"/>
        <w:tabs>
          <w:tab w:val="right" w:leader="dot" w:pos="8306"/>
        </w:tabs>
      </w:pPr>
      <w:hyperlink w:anchor="_Toc25231" w:history="1">
        <w:r>
          <w:rPr>
            <w:rFonts w:ascii="仿宋" w:eastAsia="仿宋" w:hAnsi="仿宋" w:cs="仿宋" w:hint="eastAsia"/>
            <w:lang w:eastAsia="zh-CN"/>
          </w:rPr>
          <w:t>(四)、微生物肥料项目意义</w:t>
        </w:r>
        <w:r>
          <w:tab/>
        </w:r>
        <w:r>
          <w:fldChar w:fldCharType="begin"/>
        </w:r>
        <w:r>
          <w:instrText xml:space="preserve"> PAGEREF _Toc25231 \h </w:instrText>
        </w:r>
        <w:r>
          <w:fldChar w:fldCharType="separate"/>
        </w:r>
        <w:r>
          <w:t>13</w:t>
        </w:r>
        <w:r>
          <w:fldChar w:fldCharType="end"/>
        </w:r>
      </w:hyperlink>
    </w:p>
    <w:p>
      <w:pPr>
        <w:pStyle w:val="TOC2"/>
        <w:tabs>
          <w:tab w:val="right" w:leader="dot" w:pos="8306"/>
        </w:tabs>
      </w:pPr>
      <w:hyperlink w:anchor="_Toc20191" w:history="1">
        <w:r>
          <w:rPr>
            <w:rFonts w:ascii="仿宋" w:eastAsia="仿宋" w:hAnsi="仿宋" w:cs="仿宋" w:hint="eastAsia"/>
            <w:lang w:eastAsia="zh-CN"/>
          </w:rPr>
          <w:t>(五)、微生物肥料项目背景</w:t>
        </w:r>
        <w:r>
          <w:tab/>
        </w:r>
        <w:r>
          <w:fldChar w:fldCharType="begin"/>
        </w:r>
        <w:r>
          <w:instrText xml:space="preserve"> PAGEREF _Toc20191 \h </w:instrText>
        </w:r>
        <w:r>
          <w:fldChar w:fldCharType="separate"/>
        </w:r>
        <w:r>
          <w:t>14</w:t>
        </w:r>
        <w:r>
          <w:fldChar w:fldCharType="end"/>
        </w:r>
      </w:hyperlink>
    </w:p>
    <w:p>
      <w:pPr>
        <w:pStyle w:val="TOC1"/>
        <w:tabs>
          <w:tab w:val="right" w:leader="dot" w:pos="8306"/>
        </w:tabs>
      </w:pPr>
      <w:hyperlink w:anchor="_Toc27699" w:history="1">
        <w:r>
          <w:rPr>
            <w:rFonts w:ascii="仿宋" w:eastAsia="仿宋" w:hAnsi="仿宋" w:cs="仿宋" w:hint="eastAsia"/>
            <w:lang w:eastAsia="zh-CN"/>
          </w:rPr>
          <w:t>四、微生物肥料项目选址可行性分析</w:t>
        </w:r>
        <w:r>
          <w:tab/>
        </w:r>
        <w:r>
          <w:fldChar w:fldCharType="begin"/>
        </w:r>
        <w:r>
          <w:instrText xml:space="preserve"> PAGEREF _Toc27699 \h </w:instrText>
        </w:r>
        <w:r>
          <w:fldChar w:fldCharType="separate"/>
        </w:r>
        <w:r>
          <w:t>15</w:t>
        </w:r>
        <w:r>
          <w:fldChar w:fldCharType="end"/>
        </w:r>
      </w:hyperlink>
    </w:p>
    <w:p>
      <w:pPr>
        <w:pStyle w:val="TOC2"/>
        <w:tabs>
          <w:tab w:val="right" w:leader="dot" w:pos="8306"/>
        </w:tabs>
      </w:pPr>
      <w:hyperlink w:anchor="_Toc8673" w:history="1">
        <w:r>
          <w:rPr>
            <w:rFonts w:ascii="仿宋" w:eastAsia="仿宋" w:hAnsi="仿宋" w:cs="仿宋" w:hint="eastAsia"/>
            <w:lang w:eastAsia="zh-CN"/>
          </w:rPr>
          <w:t>(一)、微生物肥料项目选址</w:t>
        </w:r>
        <w:r>
          <w:tab/>
        </w:r>
        <w:r>
          <w:fldChar w:fldCharType="begin"/>
        </w:r>
        <w:r>
          <w:instrText xml:space="preserve"> PAGEREF _Toc8673 \h </w:instrText>
        </w:r>
        <w:r>
          <w:fldChar w:fldCharType="separate"/>
        </w:r>
        <w:r>
          <w:t>15</w:t>
        </w:r>
        <w:r>
          <w:fldChar w:fldCharType="end"/>
        </w:r>
      </w:hyperlink>
    </w:p>
    <w:p>
      <w:pPr>
        <w:pStyle w:val="TOC2"/>
        <w:tabs>
          <w:tab w:val="right" w:leader="dot" w:pos="8306"/>
        </w:tabs>
      </w:pPr>
      <w:hyperlink w:anchor="_Toc31372" w:history="1">
        <w:r>
          <w:rPr>
            <w:rFonts w:ascii="仿宋" w:eastAsia="仿宋" w:hAnsi="仿宋" w:cs="仿宋" w:hint="eastAsia"/>
            <w:lang w:eastAsia="zh-CN"/>
          </w:rPr>
          <w:t>(二)、用地控制指标</w:t>
        </w:r>
        <w:r>
          <w:tab/>
        </w:r>
        <w:r>
          <w:fldChar w:fldCharType="begin"/>
        </w:r>
        <w:r>
          <w:instrText xml:space="preserve"> PAGEREF _Toc31372 \h </w:instrText>
        </w:r>
        <w:r>
          <w:fldChar w:fldCharType="separate"/>
        </w:r>
        <w:r>
          <w:t>15</w:t>
        </w:r>
        <w:r>
          <w:fldChar w:fldCharType="end"/>
        </w:r>
      </w:hyperlink>
    </w:p>
    <w:p>
      <w:pPr>
        <w:pStyle w:val="TOC2"/>
        <w:tabs>
          <w:tab w:val="right" w:leader="dot" w:pos="8306"/>
        </w:tabs>
      </w:pPr>
      <w:hyperlink w:anchor="_Toc23387" w:history="1">
        <w:r>
          <w:rPr>
            <w:rFonts w:ascii="仿宋" w:eastAsia="仿宋" w:hAnsi="仿宋" w:cs="仿宋" w:hint="eastAsia"/>
            <w:lang w:eastAsia="zh-CN"/>
          </w:rPr>
          <w:t>(三)、节约用地措施</w:t>
        </w:r>
        <w:r>
          <w:tab/>
        </w:r>
        <w:r>
          <w:fldChar w:fldCharType="begin"/>
        </w:r>
        <w:r>
          <w:instrText xml:space="preserve"> PAGEREF _Toc23387 \h </w:instrText>
        </w:r>
        <w:r>
          <w:fldChar w:fldCharType="separate"/>
        </w:r>
        <w:r>
          <w:t>17</w:t>
        </w:r>
        <w:r>
          <w:fldChar w:fldCharType="end"/>
        </w:r>
      </w:hyperlink>
    </w:p>
    <w:p>
      <w:pPr>
        <w:pStyle w:val="TOC2"/>
        <w:tabs>
          <w:tab w:val="right" w:leader="dot" w:pos="8306"/>
        </w:tabs>
      </w:pPr>
      <w:hyperlink w:anchor="_Toc12460" w:history="1">
        <w:r>
          <w:rPr>
            <w:rFonts w:ascii="仿宋" w:eastAsia="仿宋" w:hAnsi="仿宋" w:cs="仿宋" w:hint="eastAsia"/>
            <w:lang w:eastAsia="zh-CN"/>
          </w:rPr>
          <w:t>(四)、总图布置方案</w:t>
        </w:r>
        <w:r>
          <w:tab/>
        </w:r>
        <w:r>
          <w:fldChar w:fldCharType="begin"/>
        </w:r>
        <w:r>
          <w:instrText xml:space="preserve"> PAGEREF _Toc12460 \h </w:instrText>
        </w:r>
        <w:r>
          <w:fldChar w:fldCharType="separate"/>
        </w:r>
        <w:r>
          <w:t>18</w:t>
        </w:r>
        <w:r>
          <w:fldChar w:fldCharType="end"/>
        </w:r>
      </w:hyperlink>
    </w:p>
    <w:p>
      <w:pPr>
        <w:pStyle w:val="TOC2"/>
        <w:tabs>
          <w:tab w:val="right" w:leader="dot" w:pos="8306"/>
        </w:tabs>
      </w:pPr>
      <w:hyperlink w:anchor="_Toc24811" w:history="1">
        <w:r>
          <w:rPr>
            <w:rFonts w:ascii="仿宋" w:eastAsia="仿宋" w:hAnsi="仿宋" w:cs="仿宋" w:hint="eastAsia"/>
            <w:lang w:eastAsia="zh-CN"/>
          </w:rPr>
          <w:t>(五)、选址综合评价</w:t>
        </w:r>
        <w:r>
          <w:tab/>
        </w:r>
        <w:r>
          <w:fldChar w:fldCharType="begin"/>
        </w:r>
        <w:r>
          <w:instrText xml:space="preserve"> PAGEREF _Toc24811 \h </w:instrText>
        </w:r>
        <w:r>
          <w:fldChar w:fldCharType="separate"/>
        </w:r>
        <w:r>
          <w:t>19</w:t>
        </w:r>
        <w:r>
          <w:fldChar w:fldCharType="end"/>
        </w:r>
      </w:hyperlink>
    </w:p>
    <w:p>
      <w:pPr>
        <w:pStyle w:val="TOC1"/>
        <w:tabs>
          <w:tab w:val="right" w:leader="dot" w:pos="8306"/>
        </w:tabs>
      </w:pPr>
      <w:hyperlink w:anchor="_Toc14662" w:history="1">
        <w:r>
          <w:rPr>
            <w:rFonts w:ascii="仿宋" w:eastAsia="仿宋" w:hAnsi="仿宋" w:cs="仿宋" w:hint="eastAsia"/>
            <w:lang w:eastAsia="zh-CN"/>
          </w:rPr>
          <w:t>五、微生物肥料项目土建工程</w:t>
        </w:r>
        <w:r>
          <w:tab/>
        </w:r>
        <w:r>
          <w:fldChar w:fldCharType="begin"/>
        </w:r>
        <w:r>
          <w:instrText xml:space="preserve"> PAGEREF _Toc14662 \h </w:instrText>
        </w:r>
        <w:r>
          <w:fldChar w:fldCharType="separate"/>
        </w:r>
        <w:r>
          <w:t>20</w:t>
        </w:r>
        <w:r>
          <w:fldChar w:fldCharType="end"/>
        </w:r>
      </w:hyperlink>
    </w:p>
    <w:p>
      <w:pPr>
        <w:pStyle w:val="TOC2"/>
        <w:tabs>
          <w:tab w:val="right" w:leader="dot" w:pos="8306"/>
        </w:tabs>
      </w:pPr>
      <w:hyperlink w:anchor="_Toc18398" w:history="1">
        <w:r>
          <w:rPr>
            <w:rFonts w:ascii="仿宋" w:eastAsia="仿宋" w:hAnsi="仿宋" w:cs="仿宋" w:hint="eastAsia"/>
            <w:lang w:eastAsia="zh-CN"/>
          </w:rPr>
          <w:t>(一)、建筑工程设计原则</w:t>
        </w:r>
        <w:r>
          <w:tab/>
        </w:r>
        <w:r>
          <w:fldChar w:fldCharType="begin"/>
        </w:r>
        <w:r>
          <w:instrText xml:space="preserve"> PAGEREF _Toc18398 \h </w:instrText>
        </w:r>
        <w:r>
          <w:fldChar w:fldCharType="separate"/>
        </w:r>
        <w:r>
          <w:t>20</w:t>
        </w:r>
        <w:r>
          <w:fldChar w:fldCharType="end"/>
        </w:r>
      </w:hyperlink>
    </w:p>
    <w:p>
      <w:pPr>
        <w:pStyle w:val="TOC2"/>
        <w:tabs>
          <w:tab w:val="right" w:leader="dot" w:pos="8306"/>
        </w:tabs>
      </w:pPr>
      <w:hyperlink w:anchor="_Toc7247" w:history="1">
        <w:r>
          <w:rPr>
            <w:rFonts w:ascii="仿宋" w:eastAsia="仿宋" w:hAnsi="仿宋" w:cs="仿宋" w:hint="eastAsia"/>
            <w:lang w:eastAsia="zh-CN"/>
          </w:rPr>
          <w:t>(二)、土建工程设计年限及安全等级</w:t>
        </w:r>
        <w:r>
          <w:tab/>
        </w:r>
        <w:r>
          <w:fldChar w:fldCharType="begin"/>
        </w:r>
        <w:r>
          <w:instrText xml:space="preserve"> PAGEREF _Toc7247 \h </w:instrText>
        </w:r>
        <w:r>
          <w:fldChar w:fldCharType="separate"/>
        </w:r>
        <w:r>
          <w:t>21</w:t>
        </w:r>
        <w:r>
          <w:fldChar w:fldCharType="end"/>
        </w:r>
      </w:hyperlink>
    </w:p>
    <w:p>
      <w:pPr>
        <w:pStyle w:val="TOC2"/>
        <w:tabs>
          <w:tab w:val="right" w:leader="dot" w:pos="8306"/>
        </w:tabs>
      </w:pPr>
      <w:hyperlink w:anchor="_Toc2244" w:history="1">
        <w:r>
          <w:rPr>
            <w:rFonts w:ascii="仿宋" w:eastAsia="仿宋" w:hAnsi="仿宋" w:cs="仿宋" w:hint="eastAsia"/>
            <w:lang w:eastAsia="zh-CN"/>
          </w:rPr>
          <w:t>(三)、建筑工程设计总体要求</w:t>
        </w:r>
        <w:r>
          <w:tab/>
        </w:r>
        <w:r>
          <w:fldChar w:fldCharType="begin"/>
        </w:r>
        <w:r>
          <w:instrText xml:space="preserve"> PAGEREF _Toc2244 \h </w:instrText>
        </w:r>
        <w:r>
          <w:fldChar w:fldCharType="separate"/>
        </w:r>
        <w:r>
          <w:t>22</w:t>
        </w:r>
        <w:r>
          <w:fldChar w:fldCharType="end"/>
        </w:r>
      </w:hyperlink>
    </w:p>
    <w:p>
      <w:pPr>
        <w:pStyle w:val="TOC2"/>
        <w:tabs>
          <w:tab w:val="right" w:leader="dot" w:pos="8306"/>
        </w:tabs>
      </w:pPr>
      <w:hyperlink w:anchor="_Toc1723" w:history="1">
        <w:r>
          <w:rPr>
            <w:rFonts w:ascii="仿宋" w:eastAsia="仿宋" w:hAnsi="仿宋" w:cs="仿宋" w:hint="eastAsia"/>
            <w:lang w:eastAsia="zh-CN"/>
          </w:rPr>
          <w:t>(四)、土建工程建设指标</w:t>
        </w:r>
        <w:r>
          <w:tab/>
        </w:r>
        <w:r>
          <w:fldChar w:fldCharType="begin"/>
        </w:r>
        <w:r>
          <w:instrText xml:space="preserve"> PAGEREF _Toc1723 \h </w:instrText>
        </w:r>
        <w:r>
          <w:fldChar w:fldCharType="separate"/>
        </w:r>
        <w:r>
          <w:t>23</w:t>
        </w:r>
        <w:r>
          <w:fldChar w:fldCharType="end"/>
        </w:r>
      </w:hyperlink>
    </w:p>
    <w:p>
      <w:pPr>
        <w:pStyle w:val="TOC1"/>
        <w:tabs>
          <w:tab w:val="right" w:leader="dot" w:pos="8306"/>
        </w:tabs>
      </w:pPr>
      <w:hyperlink w:anchor="_Toc192" w:history="1">
        <w:r>
          <w:rPr>
            <w:rFonts w:ascii="仿宋" w:eastAsia="仿宋" w:hAnsi="仿宋" w:cs="仿宋" w:hint="eastAsia"/>
            <w:lang w:eastAsia="zh-CN"/>
          </w:rPr>
          <w:t>六、微生物肥料项目建设背景及必要性分析</w:t>
        </w:r>
        <w:r>
          <w:tab/>
        </w:r>
        <w:r>
          <w:fldChar w:fldCharType="begin"/>
        </w:r>
        <w:r>
          <w:instrText xml:space="preserve"> PAGEREF _Toc192 \h </w:instrText>
        </w:r>
        <w:r>
          <w:fldChar w:fldCharType="separate"/>
        </w:r>
        <w:r>
          <w:t>23</w:t>
        </w:r>
        <w:r>
          <w:fldChar w:fldCharType="end"/>
        </w:r>
      </w:hyperlink>
    </w:p>
    <w:p>
      <w:pPr>
        <w:pStyle w:val="TOC2"/>
        <w:tabs>
          <w:tab w:val="right" w:leader="dot" w:pos="8306"/>
        </w:tabs>
      </w:pPr>
      <w:hyperlink w:anchor="_Toc15646" w:history="1">
        <w:r>
          <w:rPr>
            <w:rFonts w:ascii="仿宋" w:eastAsia="仿宋" w:hAnsi="仿宋" w:cs="仿宋" w:hint="eastAsia"/>
            <w:lang w:eastAsia="zh-CN"/>
          </w:rPr>
          <w:t>(一)、微生物肥料项目背景分析</w:t>
        </w:r>
        <w:r>
          <w:tab/>
        </w:r>
        <w:r>
          <w:fldChar w:fldCharType="begin"/>
        </w:r>
        <w:r>
          <w:instrText xml:space="preserve"> PAGEREF _Toc15646 \h </w:instrText>
        </w:r>
        <w:r>
          <w:fldChar w:fldCharType="separate"/>
        </w:r>
        <w:r>
          <w:t>23</w:t>
        </w:r>
        <w:r>
          <w:fldChar w:fldCharType="end"/>
        </w:r>
      </w:hyperlink>
    </w:p>
    <w:p>
      <w:pPr>
        <w:pStyle w:val="TOC2"/>
        <w:tabs>
          <w:tab w:val="right" w:leader="dot" w:pos="8306"/>
        </w:tabs>
      </w:pPr>
      <w:hyperlink w:anchor="_Toc13872" w:history="1">
        <w:r>
          <w:rPr>
            <w:rFonts w:ascii="仿宋" w:eastAsia="仿宋" w:hAnsi="仿宋" w:cs="仿宋" w:hint="eastAsia"/>
            <w:lang w:eastAsia="zh-CN"/>
          </w:rPr>
          <w:t>(二)、微生物肥料项目建设必要性分析</w:t>
        </w:r>
        <w:r>
          <w:tab/>
        </w:r>
        <w:r>
          <w:fldChar w:fldCharType="begin"/>
        </w:r>
        <w:r>
          <w:instrText xml:space="preserve"> PAGEREF _Toc13872 \h </w:instrText>
        </w:r>
        <w:r>
          <w:fldChar w:fldCharType="separate"/>
        </w:r>
        <w:r>
          <w:t>25</w:t>
        </w:r>
        <w:r>
          <w:fldChar w:fldCharType="end"/>
        </w:r>
      </w:hyperlink>
    </w:p>
    <w:p>
      <w:pPr>
        <w:pStyle w:val="TOC1"/>
        <w:tabs>
          <w:tab w:val="right" w:leader="dot" w:pos="8306"/>
        </w:tabs>
      </w:pPr>
      <w:hyperlink w:anchor="_Toc30763" w:history="1">
        <w:r>
          <w:rPr>
            <w:rFonts w:ascii="仿宋" w:eastAsia="仿宋" w:hAnsi="仿宋" w:cs="仿宋" w:hint="eastAsia"/>
            <w:lang w:eastAsia="zh-CN"/>
          </w:rPr>
          <w:t>七、微生物肥料项目投资规划</w:t>
        </w:r>
        <w:r>
          <w:tab/>
        </w:r>
        <w:r>
          <w:fldChar w:fldCharType="begin"/>
        </w:r>
        <w:r>
          <w:instrText xml:space="preserve"> PAGEREF _Toc30763 \h </w:instrText>
        </w:r>
        <w:r>
          <w:fldChar w:fldCharType="separate"/>
        </w:r>
        <w:r>
          <w:t>26</w:t>
        </w:r>
        <w:r>
          <w:fldChar w:fldCharType="end"/>
        </w:r>
      </w:hyperlink>
    </w:p>
    <w:p>
      <w:pPr>
        <w:pStyle w:val="TOC2"/>
        <w:tabs>
          <w:tab w:val="right" w:leader="dot" w:pos="8306"/>
        </w:tabs>
      </w:pPr>
      <w:hyperlink w:anchor="_Toc17302" w:history="1">
        <w:r>
          <w:rPr>
            <w:rFonts w:ascii="仿宋" w:eastAsia="仿宋" w:hAnsi="仿宋" w:cs="仿宋" w:hint="eastAsia"/>
            <w:lang w:eastAsia="zh-CN"/>
          </w:rPr>
          <w:t>(一)、微生物肥料项目总投资估算</w:t>
        </w:r>
        <w:r>
          <w:tab/>
        </w:r>
        <w:r>
          <w:fldChar w:fldCharType="begin"/>
        </w:r>
        <w:r>
          <w:instrText xml:space="preserve"> PAGEREF _Toc17302 \h </w:instrText>
        </w:r>
        <w:r>
          <w:fldChar w:fldCharType="separate"/>
        </w:r>
        <w:r>
          <w:t>26</w:t>
        </w:r>
        <w:r>
          <w:fldChar w:fldCharType="end"/>
        </w:r>
      </w:hyperlink>
    </w:p>
    <w:p>
      <w:pPr>
        <w:pStyle w:val="TOC2"/>
        <w:tabs>
          <w:tab w:val="right" w:leader="dot" w:pos="8306"/>
        </w:tabs>
      </w:pPr>
      <w:hyperlink w:anchor="_Toc8817" w:history="1">
        <w:r>
          <w:rPr>
            <w:rFonts w:ascii="仿宋" w:eastAsia="仿宋" w:hAnsi="仿宋" w:cs="仿宋" w:hint="eastAsia"/>
            <w:lang w:eastAsia="zh-CN"/>
          </w:rPr>
          <w:t>(二)、资金筹措</w:t>
        </w:r>
        <w:r>
          <w:tab/>
        </w:r>
        <w:r>
          <w:fldChar w:fldCharType="begin"/>
        </w:r>
        <w:r>
          <w:instrText xml:space="preserve"> PAGEREF _Toc8817 \h </w:instrText>
        </w:r>
        <w:r>
          <w:fldChar w:fldCharType="separate"/>
        </w:r>
        <w:r>
          <w:t>28</w:t>
        </w:r>
        <w:r>
          <w:fldChar w:fldCharType="end"/>
        </w:r>
      </w:hyperlink>
    </w:p>
    <w:p>
      <w:pPr>
        <w:pStyle w:val="TOC1"/>
        <w:tabs>
          <w:tab w:val="right" w:leader="dot" w:pos="8306"/>
        </w:tabs>
      </w:pPr>
      <w:hyperlink w:anchor="_Toc8953" w:history="1">
        <w:r>
          <w:rPr>
            <w:rFonts w:ascii="仿宋" w:eastAsia="仿宋" w:hAnsi="仿宋" w:cs="仿宋" w:hint="eastAsia"/>
            <w:lang w:eastAsia="zh-CN"/>
          </w:rPr>
          <w:t>八、微生物肥料项目创新与研发</w:t>
        </w:r>
        <w:r>
          <w:tab/>
        </w:r>
        <w:r>
          <w:fldChar w:fldCharType="begin"/>
        </w:r>
        <w:r>
          <w:instrText xml:space="preserve"> PAGEREF _Toc8953 \h </w:instrText>
        </w:r>
        <w:r>
          <w:fldChar w:fldCharType="separate"/>
        </w:r>
        <w:r>
          <w:t>28</w:t>
        </w:r>
        <w:r>
          <w:fldChar w:fldCharType="end"/>
        </w:r>
      </w:hyperlink>
    </w:p>
    <w:p>
      <w:pPr>
        <w:pStyle w:val="TOC2"/>
        <w:tabs>
          <w:tab w:val="right" w:leader="dot" w:pos="8306"/>
        </w:tabs>
      </w:pPr>
      <w:hyperlink w:anchor="_Toc26825" w:history="1">
        <w:r>
          <w:rPr>
            <w:rFonts w:ascii="仿宋" w:eastAsia="仿宋" w:hAnsi="仿宋" w:cs="仿宋" w:hint="eastAsia"/>
            <w:lang w:eastAsia="zh-CN"/>
          </w:rPr>
          <w:t>(一)、创新策略与方向</w:t>
        </w:r>
        <w:r>
          <w:tab/>
        </w:r>
        <w:r>
          <w:fldChar w:fldCharType="begin"/>
        </w:r>
        <w:r>
          <w:instrText xml:space="preserve"> PAGEREF _Toc26825 \h </w:instrText>
        </w:r>
        <w:r>
          <w:fldChar w:fldCharType="separate"/>
        </w:r>
        <w:r>
          <w:t>28</w:t>
        </w:r>
        <w:r>
          <w:fldChar w:fldCharType="end"/>
        </w:r>
      </w:hyperlink>
    </w:p>
    <w:p>
      <w:pPr>
        <w:pStyle w:val="TOC2"/>
        <w:tabs>
          <w:tab w:val="right" w:leader="dot" w:pos="8306"/>
        </w:tabs>
      </w:pPr>
      <w:hyperlink w:anchor="_Toc9487" w:history="1">
        <w:r>
          <w:rPr>
            <w:rFonts w:ascii="仿宋" w:eastAsia="仿宋" w:hAnsi="仿宋" w:cs="仿宋" w:hint="eastAsia"/>
            <w:lang w:eastAsia="zh-CN"/>
          </w:rPr>
          <w:t>(二)、研发规划与投入</w:t>
        </w:r>
        <w:r>
          <w:tab/>
        </w:r>
        <w:r>
          <w:fldChar w:fldCharType="begin"/>
        </w:r>
        <w:r>
          <w:instrText xml:space="preserve"> PAGEREF _Toc9487 \h </w:instrText>
        </w:r>
        <w:r>
          <w:fldChar w:fldCharType="separate"/>
        </w:r>
        <w:r>
          <w:t>30</w:t>
        </w:r>
        <w:r>
          <w:fldChar w:fldCharType="end"/>
        </w:r>
      </w:hyperlink>
    </w:p>
    <w:p>
      <w:pPr>
        <w:pStyle w:val="TOC1"/>
        <w:tabs>
          <w:tab w:val="right" w:leader="dot" w:pos="8306"/>
        </w:tabs>
      </w:pPr>
      <w:hyperlink w:anchor="_Toc23368" w:history="1">
        <w:r>
          <w:rPr>
            <w:rFonts w:ascii="仿宋" w:eastAsia="仿宋" w:hAnsi="仿宋" w:cs="仿宋" w:hint="eastAsia"/>
            <w:lang w:eastAsia="zh-CN"/>
          </w:rPr>
          <w:t>九、微生物肥料项目人力资源管理</w:t>
        </w:r>
        <w:r>
          <w:tab/>
        </w:r>
        <w:r>
          <w:fldChar w:fldCharType="begin"/>
        </w:r>
        <w:r>
          <w:instrText xml:space="preserve"> PAGEREF _Toc23368 \h </w:instrText>
        </w:r>
        <w:r>
          <w:fldChar w:fldCharType="separate"/>
        </w:r>
        <w:r>
          <w:t>31</w:t>
        </w:r>
        <w:r>
          <w:fldChar w:fldCharType="end"/>
        </w:r>
      </w:hyperlink>
    </w:p>
    <w:p>
      <w:pPr>
        <w:pStyle w:val="TOC2"/>
        <w:tabs>
          <w:tab w:val="right" w:leader="dot" w:pos="8306"/>
        </w:tabs>
      </w:pPr>
      <w:hyperlink w:anchor="_Toc31470" w:history="1">
        <w:r>
          <w:rPr>
            <w:rFonts w:ascii="仿宋" w:eastAsia="仿宋" w:hAnsi="仿宋" w:cs="仿宋" w:hint="eastAsia"/>
            <w:lang w:eastAsia="zh-CN"/>
          </w:rPr>
          <w:t>(一)、建立健全的预算管理制度</w:t>
        </w:r>
        <w:r>
          <w:tab/>
        </w:r>
        <w:r>
          <w:fldChar w:fldCharType="begin"/>
        </w:r>
        <w:r>
          <w:instrText xml:space="preserve"> PAGEREF _Toc31470 \h </w:instrText>
        </w:r>
        <w:r>
          <w:fldChar w:fldCharType="separate"/>
        </w:r>
        <w:r>
          <w:t>31</w:t>
        </w:r>
        <w:r>
          <w:fldChar w:fldCharType="end"/>
        </w:r>
      </w:hyperlink>
    </w:p>
    <w:p>
      <w:pPr>
        <w:pStyle w:val="TOC2"/>
        <w:tabs>
          <w:tab w:val="right" w:leader="dot" w:pos="8306"/>
        </w:tabs>
      </w:pPr>
      <w:hyperlink w:anchor="_Toc2743" w:history="1">
        <w:r>
          <w:rPr>
            <w:rFonts w:ascii="仿宋" w:eastAsia="仿宋" w:hAnsi="仿宋" w:cs="仿宋" w:hint="eastAsia"/>
            <w:lang w:eastAsia="zh-CN"/>
          </w:rPr>
          <w:t>(二)、加强资金流动监控</w:t>
        </w:r>
        <w:r>
          <w:tab/>
        </w:r>
        <w:r>
          <w:fldChar w:fldCharType="begin"/>
        </w:r>
        <w:r>
          <w:instrText xml:space="preserve"> PAGEREF _Toc2743 \h </w:instrText>
        </w:r>
        <w:r>
          <w:fldChar w:fldCharType="separate"/>
        </w:r>
        <w:r>
          <w:t>33</w:t>
        </w:r>
        <w:r>
          <w:fldChar w:fldCharType="end"/>
        </w:r>
      </w:hyperlink>
    </w:p>
    <w:p>
      <w:pPr>
        <w:pStyle w:val="TOC2"/>
        <w:tabs>
          <w:tab w:val="right" w:leader="dot" w:pos="8306"/>
        </w:tabs>
      </w:pPr>
      <w:hyperlink w:anchor="_Toc11804" w:history="1">
        <w:r>
          <w:rPr>
            <w:rFonts w:ascii="仿宋" w:eastAsia="仿宋" w:hAnsi="仿宋" w:cs="仿宋" w:hint="eastAsia"/>
            <w:lang w:eastAsia="zh-CN"/>
          </w:rPr>
          <w:t>(三)、制定完善的风险控制机制</w:t>
        </w:r>
        <w:r>
          <w:tab/>
        </w:r>
        <w:r>
          <w:fldChar w:fldCharType="begin"/>
        </w:r>
        <w:r>
          <w:instrText xml:space="preserve"> PAGEREF _Toc11804 \h </w:instrText>
        </w:r>
        <w:r>
          <w:fldChar w:fldCharType="separate"/>
        </w:r>
        <w:r>
          <w:t>34</w:t>
        </w:r>
        <w:r>
          <w:fldChar w:fldCharType="end"/>
        </w:r>
      </w:hyperlink>
    </w:p>
    <w:p>
      <w:pPr>
        <w:pStyle w:val="TOC2"/>
        <w:tabs>
          <w:tab w:val="right" w:leader="dot" w:pos="8306"/>
        </w:tabs>
      </w:pPr>
      <w:hyperlink w:anchor="_Toc12000" w:history="1">
        <w:r>
          <w:rPr>
            <w:rFonts w:ascii="仿宋" w:eastAsia="仿宋" w:hAnsi="仿宋" w:cs="仿宋" w:hint="eastAsia"/>
            <w:lang w:eastAsia="zh-CN"/>
          </w:rPr>
          <w:t>(四)、优化成本管理</w:t>
        </w:r>
        <w:r>
          <w:tab/>
        </w:r>
        <w:r>
          <w:fldChar w:fldCharType="begin"/>
        </w:r>
        <w:r>
          <w:instrText xml:space="preserve"> PAGEREF _Toc12000 \h </w:instrText>
        </w:r>
        <w:r>
          <w:fldChar w:fldCharType="separate"/>
        </w:r>
        <w:r>
          <w:t>35</w:t>
        </w:r>
        <w:r>
          <w:fldChar w:fldCharType="end"/>
        </w:r>
      </w:hyperlink>
    </w:p>
    <w:p>
      <w:pPr>
        <w:pStyle w:val="TOC1"/>
        <w:tabs>
          <w:tab w:val="right" w:leader="dot" w:pos="8306"/>
        </w:tabs>
      </w:pPr>
      <w:hyperlink w:anchor="_Toc556" w:history="1">
        <w:r>
          <w:rPr>
            <w:rFonts w:ascii="仿宋" w:eastAsia="仿宋" w:hAnsi="仿宋" w:cs="仿宋" w:hint="eastAsia"/>
            <w:lang w:eastAsia="zh-CN"/>
          </w:rPr>
          <w:t>十、微生物肥料项目财务管理</w:t>
        </w:r>
        <w:r>
          <w:tab/>
        </w:r>
        <w:r>
          <w:fldChar w:fldCharType="begin"/>
        </w:r>
        <w:r>
          <w:instrText xml:space="preserve"> PAGEREF _Toc556 \h </w:instrText>
        </w:r>
        <w:r>
          <w:fldChar w:fldCharType="separate"/>
        </w:r>
        <w:r>
          <w:t>37</w:t>
        </w:r>
        <w:r>
          <w:fldChar w:fldCharType="end"/>
        </w:r>
      </w:hyperlink>
    </w:p>
    <w:p>
      <w:pPr>
        <w:pStyle w:val="TOC2"/>
        <w:tabs>
          <w:tab w:val="right" w:leader="dot" w:pos="8306"/>
        </w:tabs>
      </w:pPr>
      <w:hyperlink w:anchor="_Toc1073" w:history="1">
        <w:r>
          <w:rPr>
            <w:rFonts w:ascii="仿宋" w:eastAsia="仿宋" w:hAnsi="仿宋" w:cs="仿宋" w:hint="eastAsia"/>
            <w:lang w:eastAsia="zh-CN"/>
          </w:rPr>
          <w:t>(一)、资金需求大</w:t>
        </w:r>
        <w:r>
          <w:tab/>
        </w:r>
        <w:r>
          <w:fldChar w:fldCharType="begin"/>
        </w:r>
        <w:r>
          <w:instrText xml:space="preserve"> PAGEREF _Toc1073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88" w:history="1">
        <w:r>
          <w:rPr>
            <w:rFonts w:ascii="仿宋" w:eastAsia="仿宋" w:hAnsi="仿宋" w:cs="仿宋" w:hint="eastAsia"/>
            <w:lang w:eastAsia="zh-CN"/>
          </w:rPr>
          <w:t>(二)、研发周期长</w:t>
        </w:r>
        <w:r>
          <w:tab/>
        </w:r>
        <w:r>
          <w:fldChar w:fldCharType="begin"/>
        </w:r>
        <w:r>
          <w:instrText xml:space="preserve"> PAGEREF _Toc21588 \h </w:instrText>
        </w:r>
        <w:r>
          <w:fldChar w:fldCharType="separate"/>
        </w:r>
        <w:r>
          <w:t>38</w:t>
        </w:r>
        <w:r>
          <w:fldChar w:fldCharType="end"/>
        </w:r>
      </w:hyperlink>
    </w:p>
    <w:p>
      <w:pPr>
        <w:pStyle w:val="TOC2"/>
        <w:tabs>
          <w:tab w:val="right" w:leader="dot" w:pos="8306"/>
        </w:tabs>
      </w:pPr>
      <w:hyperlink w:anchor="_Toc17284" w:history="1">
        <w:r>
          <w:rPr>
            <w:rFonts w:ascii="仿宋" w:eastAsia="仿宋" w:hAnsi="仿宋" w:cs="仿宋" w:hint="eastAsia"/>
            <w:lang w:eastAsia="zh-CN"/>
          </w:rPr>
          <w:t>(三)、市场风险大</w:t>
        </w:r>
        <w:r>
          <w:tab/>
        </w:r>
        <w:r>
          <w:fldChar w:fldCharType="begin"/>
        </w:r>
        <w:r>
          <w:instrText xml:space="preserve"> PAGEREF _Toc17284 \h </w:instrText>
        </w:r>
        <w:r>
          <w:fldChar w:fldCharType="separate"/>
        </w:r>
        <w:r>
          <w:t>39</w:t>
        </w:r>
        <w:r>
          <w:fldChar w:fldCharType="end"/>
        </w:r>
      </w:hyperlink>
    </w:p>
    <w:p>
      <w:pPr>
        <w:pStyle w:val="TOC2"/>
        <w:tabs>
          <w:tab w:val="right" w:leader="dot" w:pos="8306"/>
        </w:tabs>
      </w:pPr>
      <w:hyperlink w:anchor="_Toc28828" w:history="1">
        <w:r>
          <w:rPr>
            <w:rFonts w:ascii="仿宋" w:eastAsia="仿宋" w:hAnsi="仿宋" w:cs="仿宋" w:hint="eastAsia"/>
            <w:lang w:eastAsia="zh-CN"/>
          </w:rPr>
          <w:t>(四)、利润率高</w:t>
        </w:r>
        <w:r>
          <w:tab/>
        </w:r>
        <w:r>
          <w:fldChar w:fldCharType="begin"/>
        </w:r>
        <w:r>
          <w:instrText xml:space="preserve"> PAGEREF _Toc28828 \h </w:instrText>
        </w:r>
        <w:r>
          <w:fldChar w:fldCharType="separate"/>
        </w:r>
        <w:r>
          <w:t>42</w:t>
        </w:r>
        <w:r>
          <w:fldChar w:fldCharType="end"/>
        </w:r>
      </w:hyperlink>
    </w:p>
    <w:p>
      <w:pPr>
        <w:pStyle w:val="TOC1"/>
        <w:tabs>
          <w:tab w:val="right" w:leader="dot" w:pos="8306"/>
        </w:tabs>
      </w:pPr>
      <w:hyperlink w:anchor="_Toc27913" w:history="1">
        <w:r>
          <w:rPr>
            <w:rFonts w:ascii="仿宋" w:eastAsia="仿宋" w:hAnsi="仿宋" w:cs="仿宋" w:hint="eastAsia"/>
            <w:lang w:eastAsia="zh-CN"/>
          </w:rPr>
          <w:t>十一、微生物肥料项目人力资源培养与发展</w:t>
        </w:r>
        <w:r>
          <w:tab/>
        </w:r>
        <w:r>
          <w:fldChar w:fldCharType="begin"/>
        </w:r>
        <w:r>
          <w:instrText xml:space="preserve"> PAGEREF _Toc27913 \h </w:instrText>
        </w:r>
        <w:r>
          <w:fldChar w:fldCharType="separate"/>
        </w:r>
        <w:r>
          <w:t>44</w:t>
        </w:r>
        <w:r>
          <w:fldChar w:fldCharType="end"/>
        </w:r>
      </w:hyperlink>
    </w:p>
    <w:p>
      <w:pPr>
        <w:pStyle w:val="TOC2"/>
        <w:tabs>
          <w:tab w:val="right" w:leader="dot" w:pos="8306"/>
        </w:tabs>
      </w:pPr>
      <w:hyperlink w:anchor="_Toc20886" w:history="1">
        <w:r>
          <w:rPr>
            <w:rFonts w:ascii="仿宋" w:eastAsia="仿宋" w:hAnsi="仿宋" w:cs="仿宋" w:hint="eastAsia"/>
            <w:lang w:eastAsia="zh-CN"/>
          </w:rPr>
          <w:t>(一)、人才需求与规划</w:t>
        </w:r>
        <w:r>
          <w:tab/>
        </w:r>
        <w:r>
          <w:fldChar w:fldCharType="begin"/>
        </w:r>
        <w:r>
          <w:instrText xml:space="preserve"> PAGEREF _Toc20886 \h </w:instrText>
        </w:r>
        <w:r>
          <w:fldChar w:fldCharType="separate"/>
        </w:r>
        <w:r>
          <w:t>44</w:t>
        </w:r>
        <w:r>
          <w:fldChar w:fldCharType="end"/>
        </w:r>
      </w:hyperlink>
    </w:p>
    <w:p>
      <w:pPr>
        <w:pStyle w:val="TOC2"/>
        <w:tabs>
          <w:tab w:val="right" w:leader="dot" w:pos="8306"/>
        </w:tabs>
      </w:pPr>
      <w:hyperlink w:anchor="_Toc10150" w:history="1">
        <w:r>
          <w:rPr>
            <w:rFonts w:ascii="仿宋" w:eastAsia="仿宋" w:hAnsi="仿宋" w:cs="仿宋" w:hint="eastAsia"/>
            <w:lang w:eastAsia="zh-CN"/>
          </w:rPr>
          <w:t>(二)、培训与发展计划</w:t>
        </w:r>
        <w:r>
          <w:tab/>
        </w:r>
        <w:r>
          <w:fldChar w:fldCharType="begin"/>
        </w:r>
        <w:r>
          <w:instrText xml:space="preserve"> PAGEREF _Toc10150 \h </w:instrText>
        </w:r>
        <w:r>
          <w:fldChar w:fldCharType="separate"/>
        </w:r>
        <w:r>
          <w:t>44</w:t>
        </w:r>
        <w:r>
          <w:fldChar w:fldCharType="end"/>
        </w:r>
      </w:hyperlink>
    </w:p>
    <w:p>
      <w:pPr>
        <w:pStyle w:val="TOC1"/>
        <w:tabs>
          <w:tab w:val="right" w:leader="dot" w:pos="8306"/>
        </w:tabs>
      </w:pPr>
      <w:hyperlink w:anchor="_Toc9917" w:history="1">
        <w:r>
          <w:rPr>
            <w:rFonts w:ascii="仿宋" w:eastAsia="仿宋" w:hAnsi="仿宋" w:cs="仿宋" w:hint="eastAsia"/>
            <w:lang w:eastAsia="zh-CN"/>
          </w:rPr>
          <w:t>十二、微生物肥料项目经营效益</w:t>
        </w:r>
        <w:r>
          <w:tab/>
        </w:r>
        <w:r>
          <w:fldChar w:fldCharType="begin"/>
        </w:r>
        <w:r>
          <w:instrText xml:space="preserve"> PAGEREF _Toc9917 \h </w:instrText>
        </w:r>
        <w:r>
          <w:fldChar w:fldCharType="separate"/>
        </w:r>
        <w:r>
          <w:t>45</w:t>
        </w:r>
        <w:r>
          <w:fldChar w:fldCharType="end"/>
        </w:r>
      </w:hyperlink>
    </w:p>
    <w:p>
      <w:pPr>
        <w:pStyle w:val="TOC2"/>
        <w:tabs>
          <w:tab w:val="right" w:leader="dot" w:pos="8306"/>
        </w:tabs>
      </w:pPr>
      <w:hyperlink w:anchor="_Toc16467" w:history="1">
        <w:r>
          <w:rPr>
            <w:rFonts w:ascii="仿宋" w:eastAsia="仿宋" w:hAnsi="仿宋" w:cs="仿宋" w:hint="eastAsia"/>
            <w:lang w:eastAsia="zh-CN"/>
          </w:rPr>
          <w:t>(一)、经济评价财务测算</w:t>
        </w:r>
        <w:r>
          <w:tab/>
        </w:r>
        <w:r>
          <w:fldChar w:fldCharType="begin"/>
        </w:r>
        <w:r>
          <w:instrText xml:space="preserve"> PAGEREF _Toc16467 \h </w:instrText>
        </w:r>
        <w:r>
          <w:fldChar w:fldCharType="separate"/>
        </w:r>
        <w:r>
          <w:t>45</w:t>
        </w:r>
        <w:r>
          <w:fldChar w:fldCharType="end"/>
        </w:r>
      </w:hyperlink>
    </w:p>
    <w:p>
      <w:pPr>
        <w:pStyle w:val="TOC2"/>
        <w:tabs>
          <w:tab w:val="right" w:leader="dot" w:pos="8306"/>
        </w:tabs>
      </w:pPr>
      <w:hyperlink w:anchor="_Toc7920" w:history="1">
        <w:r>
          <w:rPr>
            <w:rFonts w:ascii="仿宋" w:eastAsia="仿宋" w:hAnsi="仿宋" w:cs="仿宋" w:hint="eastAsia"/>
            <w:lang w:eastAsia="zh-CN"/>
          </w:rPr>
          <w:t>(二)、微生物肥料项目盈利能力分析</w:t>
        </w:r>
        <w:r>
          <w:tab/>
        </w:r>
        <w:r>
          <w:fldChar w:fldCharType="begin"/>
        </w:r>
        <w:r>
          <w:instrText xml:space="preserve"> PAGEREF _Toc7920 \h </w:instrText>
        </w:r>
        <w:r>
          <w:fldChar w:fldCharType="separate"/>
        </w:r>
        <w:r>
          <w:t>46</w:t>
        </w:r>
        <w:r>
          <w:fldChar w:fldCharType="end"/>
        </w:r>
      </w:hyperlink>
    </w:p>
    <w:p>
      <w:pPr>
        <w:pStyle w:val="TOC1"/>
        <w:tabs>
          <w:tab w:val="right" w:leader="dot" w:pos="8306"/>
        </w:tabs>
      </w:pPr>
      <w:hyperlink w:anchor="_Toc28974" w:history="1">
        <w:r>
          <w:rPr>
            <w:rFonts w:ascii="仿宋" w:eastAsia="仿宋" w:hAnsi="仿宋" w:cs="仿宋" w:hint="eastAsia"/>
            <w:lang w:eastAsia="zh-CN"/>
          </w:rPr>
          <w:t>十三、利益相关者分析与沟通计划</w:t>
        </w:r>
        <w:r>
          <w:tab/>
        </w:r>
        <w:r>
          <w:fldChar w:fldCharType="begin"/>
        </w:r>
        <w:r>
          <w:instrText xml:space="preserve"> PAGEREF _Toc28974 \h </w:instrText>
        </w:r>
        <w:r>
          <w:fldChar w:fldCharType="separate"/>
        </w:r>
        <w:r>
          <w:t>47</w:t>
        </w:r>
        <w:r>
          <w:fldChar w:fldCharType="end"/>
        </w:r>
      </w:hyperlink>
    </w:p>
    <w:p>
      <w:pPr>
        <w:pStyle w:val="TOC2"/>
        <w:tabs>
          <w:tab w:val="right" w:leader="dot" w:pos="8306"/>
        </w:tabs>
      </w:pPr>
      <w:hyperlink w:anchor="_Toc8100" w:history="1">
        <w:r>
          <w:rPr>
            <w:rFonts w:ascii="仿宋" w:eastAsia="仿宋" w:hAnsi="仿宋" w:cs="仿宋" w:hint="eastAsia"/>
            <w:lang w:eastAsia="zh-CN"/>
          </w:rPr>
          <w:t>(一)、利益相关者分析</w:t>
        </w:r>
        <w:r>
          <w:tab/>
        </w:r>
        <w:r>
          <w:fldChar w:fldCharType="begin"/>
        </w:r>
        <w:r>
          <w:instrText xml:space="preserve"> PAGEREF _Toc8100 \h </w:instrText>
        </w:r>
        <w:r>
          <w:fldChar w:fldCharType="separate"/>
        </w:r>
        <w:r>
          <w:t>47</w:t>
        </w:r>
        <w:r>
          <w:fldChar w:fldCharType="end"/>
        </w:r>
      </w:hyperlink>
    </w:p>
    <w:p>
      <w:pPr>
        <w:pStyle w:val="TOC2"/>
        <w:tabs>
          <w:tab w:val="right" w:leader="dot" w:pos="8306"/>
        </w:tabs>
      </w:pPr>
      <w:hyperlink w:anchor="_Toc5729" w:history="1">
        <w:r>
          <w:rPr>
            <w:rFonts w:ascii="仿宋" w:eastAsia="仿宋" w:hAnsi="仿宋" w:cs="仿宋" w:hint="eastAsia"/>
            <w:lang w:eastAsia="zh-CN"/>
          </w:rPr>
          <w:t>(二)、沟通计划</w:t>
        </w:r>
        <w:r>
          <w:tab/>
        </w:r>
        <w:r>
          <w:fldChar w:fldCharType="begin"/>
        </w:r>
        <w:r>
          <w:instrText xml:space="preserve"> PAGEREF _Toc5729 \h </w:instrText>
        </w:r>
        <w:r>
          <w:fldChar w:fldCharType="separate"/>
        </w:r>
        <w:r>
          <w:t>48</w:t>
        </w:r>
        <w:r>
          <w:fldChar w:fldCharType="end"/>
        </w:r>
      </w:hyperlink>
    </w:p>
    <w:p>
      <w:pPr>
        <w:pStyle w:val="TOC1"/>
        <w:tabs>
          <w:tab w:val="right" w:leader="dot" w:pos="8306"/>
        </w:tabs>
      </w:pPr>
      <w:hyperlink w:anchor="_Toc5823" w:history="1">
        <w:r>
          <w:rPr>
            <w:rFonts w:ascii="仿宋" w:eastAsia="仿宋" w:hAnsi="仿宋" w:cs="仿宋" w:hint="eastAsia"/>
            <w:lang w:eastAsia="zh-CN"/>
          </w:rPr>
          <w:t>十四、质量管理体系</w:t>
        </w:r>
        <w:r>
          <w:tab/>
        </w:r>
        <w:r>
          <w:fldChar w:fldCharType="begin"/>
        </w:r>
        <w:r>
          <w:instrText xml:space="preserve"> PAGEREF _Toc5823 \h </w:instrText>
        </w:r>
        <w:r>
          <w:fldChar w:fldCharType="separate"/>
        </w:r>
        <w:r>
          <w:t>49</w:t>
        </w:r>
        <w:r>
          <w:fldChar w:fldCharType="end"/>
        </w:r>
      </w:hyperlink>
    </w:p>
    <w:p>
      <w:pPr>
        <w:pStyle w:val="TOC2"/>
        <w:tabs>
          <w:tab w:val="right" w:leader="dot" w:pos="8306"/>
        </w:tabs>
      </w:pPr>
      <w:hyperlink w:anchor="_Toc26386" w:history="1">
        <w:r>
          <w:rPr>
            <w:rFonts w:ascii="仿宋" w:eastAsia="仿宋" w:hAnsi="仿宋" w:cs="仿宋" w:hint="eastAsia"/>
            <w:lang w:eastAsia="zh-CN"/>
          </w:rPr>
          <w:t>(一)、质量目标与方针</w:t>
        </w:r>
        <w:r>
          <w:tab/>
        </w:r>
        <w:r>
          <w:fldChar w:fldCharType="begin"/>
        </w:r>
        <w:r>
          <w:instrText xml:space="preserve"> PAGEREF _Toc26386 \h </w:instrText>
        </w:r>
        <w:r>
          <w:fldChar w:fldCharType="separate"/>
        </w:r>
        <w:r>
          <w:t>49</w:t>
        </w:r>
        <w:r>
          <w:fldChar w:fldCharType="end"/>
        </w:r>
      </w:hyperlink>
    </w:p>
    <w:p>
      <w:pPr>
        <w:pStyle w:val="TOC2"/>
        <w:tabs>
          <w:tab w:val="right" w:leader="dot" w:pos="8306"/>
        </w:tabs>
      </w:pPr>
      <w:hyperlink w:anchor="_Toc17473" w:history="1">
        <w:r>
          <w:rPr>
            <w:rFonts w:ascii="仿宋" w:eastAsia="仿宋" w:hAnsi="仿宋" w:cs="仿宋" w:hint="eastAsia"/>
            <w:lang w:eastAsia="zh-CN"/>
          </w:rPr>
          <w:t>(二)、质量管理责任</w:t>
        </w:r>
        <w:r>
          <w:tab/>
        </w:r>
        <w:r>
          <w:fldChar w:fldCharType="begin"/>
        </w:r>
        <w:r>
          <w:instrText xml:space="preserve"> PAGEREF _Toc17473 \h </w:instrText>
        </w:r>
        <w:r>
          <w:fldChar w:fldCharType="separate"/>
        </w:r>
        <w:r>
          <w:t>50</w:t>
        </w:r>
        <w:r>
          <w:fldChar w:fldCharType="end"/>
        </w:r>
      </w:hyperlink>
    </w:p>
    <w:p>
      <w:pPr>
        <w:pStyle w:val="TOC2"/>
        <w:tabs>
          <w:tab w:val="right" w:leader="dot" w:pos="8306"/>
        </w:tabs>
      </w:pPr>
      <w:hyperlink w:anchor="_Toc15090" w:history="1">
        <w:r>
          <w:rPr>
            <w:rFonts w:ascii="仿宋" w:eastAsia="仿宋" w:hAnsi="仿宋" w:cs="仿宋" w:hint="eastAsia"/>
            <w:lang w:eastAsia="zh-CN"/>
          </w:rPr>
          <w:t>(三)、质量管理体系文件</w:t>
        </w:r>
        <w:r>
          <w:tab/>
        </w:r>
        <w:r>
          <w:fldChar w:fldCharType="begin"/>
        </w:r>
        <w:r>
          <w:instrText xml:space="preserve"> PAGEREF _Toc15090 \h </w:instrText>
        </w:r>
        <w:r>
          <w:fldChar w:fldCharType="separate"/>
        </w:r>
        <w:r>
          <w:t>52</w:t>
        </w:r>
        <w:r>
          <w:fldChar w:fldCharType="end"/>
        </w:r>
      </w:hyperlink>
    </w:p>
    <w:p>
      <w:pPr>
        <w:pStyle w:val="TOC2"/>
        <w:tabs>
          <w:tab w:val="right" w:leader="dot" w:pos="8306"/>
        </w:tabs>
      </w:pPr>
      <w:hyperlink w:anchor="_Toc536" w:history="1">
        <w:r>
          <w:rPr>
            <w:rFonts w:ascii="仿宋" w:eastAsia="仿宋" w:hAnsi="仿宋" w:cs="仿宋" w:hint="eastAsia"/>
            <w:lang w:eastAsia="zh-CN"/>
          </w:rPr>
          <w:t>(四)、质量培训与教育</w:t>
        </w:r>
        <w:r>
          <w:tab/>
        </w:r>
        <w:r>
          <w:fldChar w:fldCharType="begin"/>
        </w:r>
        <w:r>
          <w:instrText xml:space="preserve"> PAGEREF _Toc536 \h </w:instrText>
        </w:r>
        <w:r>
          <w:fldChar w:fldCharType="separate"/>
        </w:r>
        <w:r>
          <w:t>54</w:t>
        </w:r>
        <w:r>
          <w:fldChar w:fldCharType="end"/>
        </w:r>
      </w:hyperlink>
    </w:p>
    <w:p>
      <w:pPr>
        <w:pStyle w:val="TOC2"/>
        <w:tabs>
          <w:tab w:val="right" w:leader="dot" w:pos="8306"/>
        </w:tabs>
      </w:pPr>
      <w:hyperlink w:anchor="_Toc26919" w:history="1">
        <w:r>
          <w:rPr>
            <w:rFonts w:ascii="仿宋" w:eastAsia="仿宋" w:hAnsi="仿宋" w:cs="仿宋" w:hint="eastAsia"/>
            <w:lang w:eastAsia="zh-CN"/>
          </w:rPr>
          <w:t>(五)、质量审核与评价</w:t>
        </w:r>
        <w:r>
          <w:tab/>
        </w:r>
        <w:r>
          <w:fldChar w:fldCharType="begin"/>
        </w:r>
        <w:r>
          <w:instrText xml:space="preserve"> PAGEREF _Toc26919 \h </w:instrText>
        </w:r>
        <w:r>
          <w:fldChar w:fldCharType="separate"/>
        </w:r>
        <w:r>
          <w:t>55</w:t>
        </w:r>
        <w:r>
          <w:fldChar w:fldCharType="end"/>
        </w:r>
      </w:hyperlink>
    </w:p>
    <w:p>
      <w:pPr>
        <w:pStyle w:val="TOC2"/>
        <w:tabs>
          <w:tab w:val="right" w:leader="dot" w:pos="8306"/>
        </w:tabs>
      </w:pPr>
      <w:hyperlink w:anchor="_Toc995" w:history="1">
        <w:r>
          <w:rPr>
            <w:rFonts w:ascii="仿宋" w:eastAsia="仿宋" w:hAnsi="仿宋" w:cs="仿宋" w:hint="eastAsia"/>
            <w:lang w:eastAsia="zh-CN"/>
          </w:rPr>
          <w:t>(六)、不符合与纠正措施</w:t>
        </w:r>
        <w:r>
          <w:tab/>
        </w:r>
        <w:r>
          <w:fldChar w:fldCharType="begin"/>
        </w:r>
        <w:r>
          <w:instrText xml:space="preserve"> PAGEREF _Toc995 \h </w:instrText>
        </w:r>
        <w:r>
          <w:fldChar w:fldCharType="separate"/>
        </w:r>
        <w:r>
          <w:t>56</w:t>
        </w:r>
        <w:r>
          <w:fldChar w:fldCharType="end"/>
        </w:r>
      </w:hyperlink>
    </w:p>
    <w:p>
      <w:pPr>
        <w:pStyle w:val="TOC1"/>
        <w:tabs>
          <w:tab w:val="right" w:leader="dot" w:pos="8306"/>
        </w:tabs>
      </w:pPr>
      <w:hyperlink w:anchor="_Toc29606" w:history="1">
        <w:r>
          <w:rPr>
            <w:rFonts w:ascii="仿宋" w:eastAsia="仿宋" w:hAnsi="仿宋" w:cs="仿宋" w:hint="eastAsia"/>
            <w:lang w:eastAsia="zh-CN"/>
          </w:rPr>
          <w:t>十五、微生物肥料项目实施保障措施</w:t>
        </w:r>
        <w:r>
          <w:tab/>
        </w:r>
        <w:r>
          <w:fldChar w:fldCharType="begin"/>
        </w:r>
        <w:r>
          <w:instrText xml:space="preserve"> PAGEREF _Toc29606 \h </w:instrText>
        </w:r>
        <w:r>
          <w:fldChar w:fldCharType="separate"/>
        </w:r>
        <w:r>
          <w:t>57</w:t>
        </w:r>
        <w:r>
          <w:fldChar w:fldCharType="end"/>
        </w:r>
      </w:hyperlink>
    </w:p>
    <w:p>
      <w:pPr>
        <w:pStyle w:val="TOC2"/>
        <w:tabs>
          <w:tab w:val="right" w:leader="dot" w:pos="8306"/>
        </w:tabs>
      </w:pPr>
      <w:hyperlink w:anchor="_Toc5479" w:history="1">
        <w:r>
          <w:rPr>
            <w:rFonts w:ascii="仿宋" w:eastAsia="仿宋" w:hAnsi="仿宋" w:cs="仿宋" w:hint="eastAsia"/>
            <w:lang w:eastAsia="zh-CN"/>
          </w:rPr>
          <w:t>(一)、微生物肥料项目实施保障机制</w:t>
        </w:r>
        <w:r>
          <w:tab/>
        </w:r>
        <w:r>
          <w:fldChar w:fldCharType="begin"/>
        </w:r>
        <w:r>
          <w:instrText xml:space="preserve"> PAGEREF _Toc5479 \h </w:instrText>
        </w:r>
        <w:r>
          <w:fldChar w:fldCharType="separate"/>
        </w:r>
        <w:r>
          <w:t>57</w:t>
        </w:r>
        <w:r>
          <w:fldChar w:fldCharType="end"/>
        </w:r>
      </w:hyperlink>
    </w:p>
    <w:p>
      <w:pPr>
        <w:pStyle w:val="TOC2"/>
        <w:tabs>
          <w:tab w:val="right" w:leader="dot" w:pos="8306"/>
        </w:tabs>
      </w:pPr>
      <w:hyperlink w:anchor="_Toc2615" w:history="1">
        <w:r>
          <w:rPr>
            <w:rFonts w:ascii="仿宋" w:eastAsia="仿宋" w:hAnsi="仿宋" w:cs="仿宋" w:hint="eastAsia"/>
            <w:lang w:eastAsia="zh-CN"/>
          </w:rPr>
          <w:t>(二)、微生物肥料项目法律合规要求</w:t>
        </w:r>
        <w:r>
          <w:tab/>
        </w:r>
        <w:r>
          <w:fldChar w:fldCharType="begin"/>
        </w:r>
        <w:r>
          <w:instrText xml:space="preserve"> PAGEREF _Toc2615 \h </w:instrText>
        </w:r>
        <w:r>
          <w:fldChar w:fldCharType="separate"/>
        </w:r>
        <w:r>
          <w:t>61</w:t>
        </w:r>
        <w:r>
          <w:fldChar w:fldCharType="end"/>
        </w:r>
      </w:hyperlink>
    </w:p>
    <w:p>
      <w:pPr>
        <w:pStyle w:val="TOC2"/>
        <w:tabs>
          <w:tab w:val="right" w:leader="dot" w:pos="8306"/>
        </w:tabs>
      </w:pPr>
      <w:hyperlink w:anchor="_Toc22014" w:history="1">
        <w:r>
          <w:rPr>
            <w:rFonts w:ascii="仿宋" w:eastAsia="仿宋" w:hAnsi="仿宋" w:cs="仿宋" w:hint="eastAsia"/>
            <w:lang w:eastAsia="zh-CN"/>
          </w:rPr>
          <w:t>(三)、微生物肥料项目合同管理与法律事务</w:t>
        </w:r>
        <w:r>
          <w:tab/>
        </w:r>
        <w:r>
          <w:fldChar w:fldCharType="begin"/>
        </w:r>
        <w:r>
          <w:instrText xml:space="preserve"> PAGEREF _Toc22014 \h </w:instrText>
        </w:r>
        <w:r>
          <w:fldChar w:fldCharType="separate"/>
        </w:r>
        <w:r>
          <w:t>65</w:t>
        </w:r>
        <w:r>
          <w:fldChar w:fldCharType="end"/>
        </w:r>
      </w:hyperlink>
    </w:p>
    <w:p>
      <w:pPr>
        <w:pStyle w:val="TOC2"/>
        <w:tabs>
          <w:tab w:val="right" w:leader="dot" w:pos="8306"/>
        </w:tabs>
      </w:pPr>
      <w:hyperlink w:anchor="_Toc2741" w:history="1">
        <w:r>
          <w:rPr>
            <w:rFonts w:ascii="仿宋" w:eastAsia="仿宋" w:hAnsi="仿宋" w:cs="仿宋" w:hint="eastAsia"/>
            <w:lang w:eastAsia="zh-CN"/>
          </w:rPr>
          <w:t>(四)、微生物肥料项目知识产权保护策略</w:t>
        </w:r>
        <w:r>
          <w:tab/>
        </w:r>
        <w:r>
          <w:fldChar w:fldCharType="begin"/>
        </w:r>
        <w:r>
          <w:instrText xml:space="preserve"> PAGEREF _Toc2741 \h </w:instrText>
        </w:r>
        <w:r>
          <w:fldChar w:fldCharType="separate"/>
        </w:r>
        <w:r>
          <w:t>71</w:t>
        </w:r>
        <w:r>
          <w:fldChar w:fldCharType="end"/>
        </w:r>
      </w:hyperlink>
    </w:p>
    <w:p>
      <w:pPr>
        <w:pStyle w:val="TOC1"/>
        <w:tabs>
          <w:tab w:val="right" w:leader="dot" w:pos="8306"/>
        </w:tabs>
      </w:pPr>
      <w:hyperlink w:anchor="_Toc8278" w:history="1">
        <w:r>
          <w:rPr>
            <w:rFonts w:ascii="仿宋" w:eastAsia="仿宋" w:hAnsi="仿宋" w:cs="仿宋" w:hint="eastAsia"/>
            <w:lang w:eastAsia="zh-CN"/>
          </w:rPr>
          <w:t>十六、微生物肥料项目治理与监督</w:t>
        </w:r>
        <w:r>
          <w:tab/>
        </w:r>
        <w:r>
          <w:fldChar w:fldCharType="begin"/>
        </w:r>
        <w:r>
          <w:instrText xml:space="preserve"> PAGEREF _Toc8278 \h </w:instrText>
        </w:r>
        <w:r>
          <w:fldChar w:fldCharType="separate"/>
        </w:r>
        <w:r>
          <w:t>74</w:t>
        </w:r>
        <w:r>
          <w:fldChar w:fldCharType="end"/>
        </w:r>
      </w:hyperlink>
    </w:p>
    <w:p>
      <w:pPr>
        <w:pStyle w:val="TOC2"/>
        <w:tabs>
          <w:tab w:val="right" w:leader="dot" w:pos="8306"/>
        </w:tabs>
      </w:pPr>
      <w:hyperlink w:anchor="_Toc4179" w:history="1">
        <w:r>
          <w:rPr>
            <w:rFonts w:ascii="仿宋" w:eastAsia="仿宋" w:hAnsi="仿宋" w:cs="仿宋" w:hint="eastAsia"/>
            <w:lang w:eastAsia="zh-CN"/>
          </w:rPr>
          <w:t>(一)、微生物肥料项目治理结构</w:t>
        </w:r>
        <w:r>
          <w:tab/>
        </w:r>
        <w:r>
          <w:fldChar w:fldCharType="begin"/>
        </w:r>
        <w:r>
          <w:instrText xml:space="preserve"> PAGEREF _Toc4179 \h </w:instrText>
        </w:r>
        <w:r>
          <w:fldChar w:fldCharType="separate"/>
        </w:r>
        <w:r>
          <w:t>74</w:t>
        </w:r>
        <w:r>
          <w:fldChar w:fldCharType="end"/>
        </w:r>
      </w:hyperlink>
    </w:p>
    <w:p>
      <w:pPr>
        <w:pStyle w:val="TOC2"/>
        <w:tabs>
          <w:tab w:val="right" w:leader="dot" w:pos="8306"/>
        </w:tabs>
      </w:pPr>
      <w:hyperlink w:anchor="_Toc2349" w:history="1">
        <w:r>
          <w:rPr>
            <w:rFonts w:ascii="仿宋" w:eastAsia="仿宋" w:hAnsi="仿宋" w:cs="仿宋" w:hint="eastAsia"/>
            <w:lang w:eastAsia="zh-CN"/>
          </w:rPr>
          <w:t>(二)、监督与审计</w:t>
        </w:r>
        <w:r>
          <w:tab/>
        </w:r>
        <w:r>
          <w:fldChar w:fldCharType="begin"/>
        </w:r>
        <w:r>
          <w:instrText xml:space="preserve"> PAGEREF _Toc2349 \h </w:instrText>
        </w:r>
        <w:r>
          <w:fldChar w:fldCharType="separate"/>
        </w:r>
        <w:r>
          <w:t>75</w:t>
        </w:r>
        <w:r>
          <w:fldChar w:fldCharType="end"/>
        </w:r>
      </w:hyperlink>
    </w:p>
    <w:p>
      <w:pPr>
        <w:pStyle w:val="TOC1"/>
        <w:tabs>
          <w:tab w:val="right" w:leader="dot" w:pos="8306"/>
        </w:tabs>
      </w:pPr>
      <w:hyperlink w:anchor="_Toc29153" w:history="1">
        <w:r>
          <w:rPr>
            <w:rFonts w:ascii="仿宋" w:eastAsia="仿宋" w:hAnsi="仿宋" w:cs="仿宋" w:hint="eastAsia"/>
            <w:lang w:eastAsia="zh-CN"/>
          </w:rPr>
          <w:t>十七、营销与推广策略</w:t>
        </w:r>
        <w:r>
          <w:tab/>
        </w:r>
        <w:r>
          <w:fldChar w:fldCharType="begin"/>
        </w:r>
        <w:r>
          <w:instrText xml:space="preserve"> PAGEREF _Toc29153 \h </w:instrText>
        </w:r>
        <w:r>
          <w:fldChar w:fldCharType="separate"/>
        </w:r>
        <w:r>
          <w:t>77</w:t>
        </w:r>
        <w:r>
          <w:fldChar w:fldCharType="end"/>
        </w:r>
      </w:hyperlink>
    </w:p>
    <w:p>
      <w:pPr>
        <w:pStyle w:val="TOC2"/>
        <w:tabs>
          <w:tab w:val="right" w:leader="dot" w:pos="8306"/>
        </w:tabs>
      </w:pPr>
      <w:hyperlink w:anchor="_Toc29937" w:history="1">
        <w:r>
          <w:rPr>
            <w:rFonts w:ascii="仿宋" w:eastAsia="仿宋" w:hAnsi="仿宋" w:cs="仿宋" w:hint="eastAsia"/>
            <w:lang w:eastAsia="zh-CN"/>
          </w:rPr>
          <w:t>(一)、产品/服务定位与特点</w:t>
        </w:r>
        <w:r>
          <w:tab/>
        </w:r>
        <w:r>
          <w:fldChar w:fldCharType="begin"/>
        </w:r>
        <w:r>
          <w:instrText xml:space="preserve"> PAGEREF _Toc29937 \h </w:instrText>
        </w:r>
        <w:r>
          <w:fldChar w:fldCharType="separate"/>
        </w:r>
        <w:r>
          <w:t>77</w:t>
        </w:r>
        <w:r>
          <w:fldChar w:fldCharType="end"/>
        </w:r>
      </w:hyperlink>
    </w:p>
    <w:p>
      <w:pPr>
        <w:pStyle w:val="TOC2"/>
        <w:tabs>
          <w:tab w:val="right" w:leader="dot" w:pos="8306"/>
        </w:tabs>
      </w:pPr>
      <w:hyperlink w:anchor="_Toc20330" w:history="1">
        <w:r>
          <w:rPr>
            <w:rFonts w:ascii="仿宋" w:eastAsia="仿宋" w:hAnsi="仿宋" w:cs="仿宋" w:hint="eastAsia"/>
            <w:lang w:eastAsia="zh-CN"/>
          </w:rPr>
          <w:t>(二)、市场定位与竞争分析</w:t>
        </w:r>
        <w:r>
          <w:tab/>
        </w:r>
        <w:r>
          <w:fldChar w:fldCharType="begin"/>
        </w:r>
        <w:r>
          <w:instrText xml:space="preserve"> PAGEREF _Toc20330 \h </w:instrText>
        </w:r>
        <w:r>
          <w:fldChar w:fldCharType="separate"/>
        </w:r>
        <w:r>
          <w:t>78</w:t>
        </w:r>
        <w:r>
          <w:fldChar w:fldCharType="end"/>
        </w:r>
      </w:hyperlink>
    </w:p>
    <w:p>
      <w:pPr>
        <w:pStyle w:val="TOC2"/>
        <w:tabs>
          <w:tab w:val="right" w:leader="dot" w:pos="8306"/>
        </w:tabs>
      </w:pPr>
      <w:hyperlink w:anchor="_Toc883" w:history="1">
        <w:r>
          <w:rPr>
            <w:rFonts w:ascii="仿宋" w:eastAsia="仿宋" w:hAnsi="仿宋" w:cs="仿宋" w:hint="eastAsia"/>
            <w:lang w:eastAsia="zh-CN"/>
          </w:rPr>
          <w:t>(三)、营销渠道与策略</w:t>
        </w:r>
        <w:r>
          <w:tab/>
        </w:r>
        <w:r>
          <w:fldChar w:fldCharType="begin"/>
        </w:r>
        <w:r>
          <w:instrText xml:space="preserve"> PAGEREF _Toc883 \h </w:instrText>
        </w:r>
        <w:r>
          <w:fldChar w:fldCharType="separate"/>
        </w:r>
        <w:r>
          <w:t>79</w:t>
        </w:r>
        <w:r>
          <w:fldChar w:fldCharType="end"/>
        </w:r>
      </w:hyperlink>
    </w:p>
    <w:p>
      <w:pPr>
        <w:pStyle w:val="TOC2"/>
        <w:tabs>
          <w:tab w:val="right" w:leader="dot" w:pos="8306"/>
        </w:tabs>
      </w:pPr>
      <w:hyperlink w:anchor="_Toc4521" w:history="1">
        <w:r>
          <w:rPr>
            <w:rFonts w:ascii="仿宋" w:eastAsia="仿宋" w:hAnsi="仿宋" w:cs="仿宋" w:hint="eastAsia"/>
            <w:lang w:eastAsia="zh-CN"/>
          </w:rPr>
          <w:t>(四)、推广与宣传活动</w:t>
        </w:r>
        <w:r>
          <w:tab/>
        </w:r>
        <w:r>
          <w:fldChar w:fldCharType="begin"/>
        </w:r>
        <w:r>
          <w:instrText xml:space="preserve"> PAGEREF _Toc4521 \h </w:instrText>
        </w:r>
        <w:r>
          <w:fldChar w:fldCharType="separate"/>
        </w:r>
        <w:r>
          <w:t>80</w:t>
        </w:r>
        <w:r>
          <w:fldChar w:fldCharType="end"/>
        </w:r>
      </w:hyperlink>
    </w:p>
    <w:p>
      <w:pPr>
        <w:pStyle w:val="TOC1"/>
        <w:tabs>
          <w:tab w:val="right" w:leader="dot" w:pos="8306"/>
        </w:tabs>
      </w:pPr>
      <w:hyperlink w:anchor="_Toc18951" w:history="1">
        <w:r>
          <w:rPr>
            <w:rFonts w:ascii="仿宋" w:eastAsia="仿宋" w:hAnsi="仿宋" w:cs="仿宋" w:hint="eastAsia"/>
            <w:lang w:eastAsia="zh-CN"/>
          </w:rPr>
          <w:t>十八、微生物肥料项目工程方案分析</w:t>
        </w:r>
        <w:r>
          <w:tab/>
        </w:r>
        <w:r>
          <w:fldChar w:fldCharType="begin"/>
        </w:r>
        <w:r>
          <w:instrText xml:space="preserve"> PAGEREF _Toc18951 \h </w:instrText>
        </w:r>
        <w:r>
          <w:fldChar w:fldCharType="separate"/>
        </w:r>
        <w:r>
          <w:t>86</w:t>
        </w:r>
        <w:r>
          <w:fldChar w:fldCharType="end"/>
        </w:r>
      </w:hyperlink>
    </w:p>
    <w:p>
      <w:pPr>
        <w:pStyle w:val="TOC2"/>
        <w:tabs>
          <w:tab w:val="right" w:leader="dot" w:pos="8306"/>
        </w:tabs>
      </w:pPr>
      <w:hyperlink w:anchor="_Toc4635" w:history="1">
        <w:r>
          <w:rPr>
            <w:rFonts w:ascii="仿宋" w:eastAsia="仿宋" w:hAnsi="仿宋" w:cs="仿宋" w:hint="eastAsia"/>
            <w:lang w:eastAsia="zh-CN"/>
          </w:rPr>
          <w:t>(一)、建筑工程设计原则</w:t>
        </w:r>
        <w:r>
          <w:tab/>
        </w:r>
        <w:r>
          <w:fldChar w:fldCharType="begin"/>
        </w:r>
        <w:r>
          <w:instrText xml:space="preserve"> PAGEREF _Toc4635 \h </w:instrText>
        </w:r>
        <w:r>
          <w:fldChar w:fldCharType="separate"/>
        </w:r>
        <w:r>
          <w:t>86</w:t>
        </w:r>
        <w:r>
          <w:fldChar w:fldCharType="end"/>
        </w:r>
      </w:hyperlink>
    </w:p>
    <w:p>
      <w:pPr>
        <w:pStyle w:val="TOC2"/>
        <w:tabs>
          <w:tab w:val="right" w:leader="dot" w:pos="8306"/>
        </w:tabs>
      </w:pPr>
      <w:hyperlink w:anchor="_Toc22470" w:history="1">
        <w:r>
          <w:rPr>
            <w:rFonts w:ascii="仿宋" w:eastAsia="仿宋" w:hAnsi="仿宋" w:cs="仿宋" w:hint="eastAsia"/>
            <w:lang w:eastAsia="zh-CN"/>
          </w:rPr>
          <w:t>(二)、土建工程建设指标</w:t>
        </w:r>
        <w:r>
          <w:tab/>
        </w:r>
        <w:r>
          <w:fldChar w:fldCharType="begin"/>
        </w:r>
        <w:r>
          <w:instrText xml:space="preserve"> PAGEREF _Toc22470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19"/>
      <w:r>
        <w:rPr>
          <w:rFonts w:ascii="仿宋" w:eastAsia="仿宋" w:hAnsi="仿宋" w:cs="仿宋" w:hint="eastAsia"/>
          <w:sz w:val="28"/>
          <w:lang w:eastAsia="zh-CN"/>
        </w:rPr>
        <w:t>一、微生物肥料项目绩效评估</w:t>
      </w:r>
      <w:bookmarkEnd w:id="2"/>
    </w:p>
    <w:p>
      <w:pPr>
        <w:pStyle w:val="Heading2"/>
        <w:rPr>
          <w:rFonts w:ascii="仿宋" w:eastAsia="仿宋" w:hAnsi="仿宋" w:cs="仿宋" w:hint="eastAsia"/>
          <w:lang w:eastAsia="zh-CN"/>
        </w:rPr>
      </w:pPr>
      <w:bookmarkStart w:id="3" w:name="_Toc93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肥料项目中，我们设计了一套全面的绩效评估指标，以确保微生物肥料项目的可控和成功交付。这些指标跨足微生物肥料项目目标、成本、进度和质量等多个维度，为我们提供了全面洞察微生物肥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目标达成率是我们关注的首要指标。我们设定了明确的目标，并通过定期监测和评估，迅速发现并应对潜在的目标偏差。这为微生物肥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成本绩效是另一个核心关注点。通过实际成本与预算成本的对比分析，我们深入了解成本差异的原因，及时调整资源分配，保持微生物肥料项目在经济效益方面的合理水平。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进度作为关键的绩效指标之一，得到了精心的关注。我们制定了详细的微生物肥料项目进度计划，并设立了进度符合度指标，确保实际进度与计划进度保持一致。这使我们能够快速发现和解决潜在的进度问题，保持微生物肥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生物肥料项目绩效的不可或缺的一环。我们引入了一系列的质量标准和客户满意度指标，以确保微生物肥料项目交付的成果在质量上达到或超越预期水平。通过持续监测这些指标，我们努力提升微生物肥料项目整体质量水平，为微生物肥料项目的成功交付提供有力保障。通过这些科学且全面的绩效评估，我们能够更好地引导微生物肥料项目的持续改进，确保微生物肥料项目目标的顺利达成。</w:t>
      </w:r>
    </w:p>
    <w:p>
      <w:pPr>
        <w:pStyle w:val="Heading2"/>
        <w:ind w:firstLine="560" w:firstLineChars="200"/>
        <w:rPr>
          <w:rFonts w:ascii="仿宋" w:eastAsia="仿宋" w:hAnsi="仿宋" w:cs="仿宋" w:hint="eastAsia"/>
          <w:sz w:val="28"/>
          <w:lang w:eastAsia="zh-CN"/>
        </w:rPr>
      </w:pPr>
      <w:bookmarkStart w:id="4" w:name="_Toc172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绩效评估是微生物肥料项目中的关键环节，为确保微生物肥料项目达到预期目标，我们采用了多层次、多维度的绩效评估方法。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生物肥料项目的战略目标对齐，确保每个决策和行动都与微生物肥料项目整体目标保持一致。团队会定期召开战略对齐会议，审视当前工作与微生物肥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生物肥料项目进度、质量、成本和风险等方面。这些指标通过数据收集和分析，为微生物肥料项目管理团队提供了客观的评估依据。例如，我们通过微生物肥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绩效评估不仅仅停留在微生物肥料项目内部，还考虑了微生物肥料项目对外部环境的影响。我们定期进行干系人满意度调查，以了解各利益相关方对微生物肥料项目的期望和满意度，并及时做出调整。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这种多层次、多角度的绩效评估方法，使得我们能够全面了解微生物肥料项目的运行状态，及时做出调整，确保微生物肥料项目在不断变化的环境中保持稳健前行。</w:t>
      </w:r>
    </w:p>
    <w:p>
      <w:pPr>
        <w:pStyle w:val="Heading2"/>
        <w:ind w:firstLine="560" w:firstLineChars="200"/>
        <w:rPr>
          <w:rFonts w:ascii="仿宋" w:eastAsia="仿宋" w:hAnsi="仿宋" w:cs="仿宋" w:hint="eastAsia"/>
          <w:sz w:val="28"/>
          <w:lang w:eastAsia="zh-CN"/>
        </w:rPr>
      </w:pPr>
      <w:bookmarkStart w:id="5" w:name="_Toc1604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为了确保微生物肥料项目的有效管理和不断优化，我们采用了精心设计的绩效评估周期。这个周期旨在实现灵活、实时和全面的评估，以适应微生物肥料项目执行中的各种挑战。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生物肥料项目的不同需求，分为短期、中期和长期。短期评估关注每个迭代或工作周期，以及时发现和解决当前任务中的问题。中期评估涵盖几个迭代，深入了解整体微生物肥料项目的趋势和性能。长期评估则着眼于整个微生物肥料项目阶段，确保微生物肥料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生物肥料项目管理工具和协作平台，团队成员能够随时更新和分享微生物肥料项目数据。这种实时性的反馈机制使我们能够及时察觉潜在问题，快速调整，保持微生物肥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生物肥料项目的决策制定密不可分。每个周期的微生物肥料项目回顾会议成为集体总结经验、识别问题深层次原因并找到创新解决方案的平台。这种定期的反思与调整机制使微生物肥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06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90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微生物肥料项目的主要产品是XXXX，预计年产值为XXX万元。这一产品在市场中占据着重要的地位，其广泛的应用范围使得该微生物肥料项目的市场前景非常广阔。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生物肥料项目的xxx产品作为重要的原材料之一，将在多个领域发挥关键作用。其在建筑、交通、能源等方面的广泛应用将为整个产业链提供强大的支持，形成产业协同效应。微生物肥料项目的年产值XXX万XXX万XXX万万元不仅反映了其在市场上的巨大潜力，更预示着它对国民经济的积极贡献。这种关联度高、涉及面广的产业关系，使得该微生物肥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223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总征地面积为XXXX平方米，相当于约XX.XX亩，其中净用地面积为XXXX平方米，红线范围内相当于约XX.XX亩。这一用地规模充分考虑了微生物肥料项目的建设需求，保障了微生物肥料项目在合适的空间内得以充分发展。微生物肥料项目规划的总建筑面积为XXXX平方米，其中主体工程建设占XXXX平方米，计容建筑面积达XXXX平方米。预计建筑工程的投资将达到XXXX万元，为微生物肥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微生物肥料项目计划购置的设备共计XXXX台（套），设备购置费用为XXXX万元。这一设备购置计划充分考虑到微生物肥料项目的生产需求和技术要求，确保了微生物肥料项目在生产运营中具备先进的技术装备和高效的生产能力。设备的合理配置将为微生物肥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计划总投资为XXXX万元，预计年实现营业收入为XXXX万元。这一产能规模的设定旨在确保微生物肥料项目能够在投资与回报之间取得平衡，实现长期可持续的发展。微生物肥料项目的总投资充分考虑到各个方面的需求，包括用地建设、设备购置等多个环节，以确保微生物肥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6931"/>
      <w:r>
        <w:rPr>
          <w:rFonts w:ascii="仿宋" w:eastAsia="仿宋" w:hAnsi="仿宋" w:cs="仿宋" w:hint="eastAsia"/>
          <w:sz w:val="28"/>
          <w:lang w:eastAsia="zh-CN"/>
        </w:rPr>
        <w:t>三、微生物肥料项目概论</w:t>
      </w:r>
      <w:bookmarkEnd w:id="9"/>
    </w:p>
    <w:p>
      <w:pPr>
        <w:pStyle w:val="Heading2"/>
        <w:rPr>
          <w:rFonts w:ascii="仿宋" w:eastAsia="仿宋" w:hAnsi="仿宋" w:cs="仿宋" w:hint="eastAsia"/>
          <w:lang w:eastAsia="zh-CN"/>
        </w:rPr>
      </w:pPr>
      <w:bookmarkStart w:id="10" w:name="_Toc5285"/>
      <w:r>
        <w:rPr>
          <w:rFonts w:ascii="仿宋" w:eastAsia="仿宋" w:hAnsi="仿宋" w:cs="仿宋" w:hint="eastAsia"/>
          <w:lang w:eastAsia="zh-CN"/>
        </w:rPr>
        <w:t>(一)、微生物肥料项目概况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起源追溯至对市场的深入洞察。市场的不断演变与变革为微生物肥料项目提供了难得的机遇。当前市场存在的需求缺口和变革的大环境共同构成了微生物肥料项目的背景。这个微生物肥料项目旨在充分利用市场机遇，填补行业中尚未满足的需求，为客户提供全新的解决方案。市场的变革和需求的增长使得这个微生物肥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微生物肥料项目名称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正式命名为微生物肥料。这个名称不仅仅是一个标识，更代表了微生物肥料项目的核心理念和愿景。它蕴含着微生物肥料项目所要解决问题的关键字，具有强烈的表达和辨识度，为微生物肥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微生物肥料项目目标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核心目标是提供一种全新、高效的解决方案，满足客户日益增长的需求。微生物肥料项目追求的不仅仅是满足市场需求，更是在市场中获得卓越的竞争优势。通过不断提升产品或服务的质量和创新水平，微生物肥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微生物肥料项目范围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全面涵盖了产品研发、制造、市场推广和售后服务，确保从产品设计到最终用户体验的全方位关注。这一全面的微生物肥料项目范围是为了确保微生物肥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微生物肥料项目时间表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微生物肥料项目计划在未来18个月内完成，包括研发、测试、市场试点和正式推出等不同阶段。这个时间表的合理设计是为了确保微生物肥料项目各个阶段的顺利推进，以便按时交付高质量的成果。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微生物肥料项目预算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微生物肥料项目总预算估算为XX百万美元，主要分配在研发、市场推广、人员培训和运营等方面。这一充足的预算为微生物肥料项目提供了充足的资源，确保微生物肥料项目在各个方面都能取得优异的表现。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微生物肥料项目风险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可能面临的风险包括市场接受度低、技术难题、竞争激烈等。微生物肥料项目团队已经制定了相应的风险应对计划，通过前瞻性的风险管理，确保微生物肥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微生物肥料项目团队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微生物肥料项目汇聚了一支经验丰富、多领域专业素养的核心团队，确保微生物肥料项目在各个方面都能拥有高水平的执行力。团队的协同作战是微生物肥料项目成功的关键因素之一。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微生物肥料项目背景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微生物肥料项目的背景根植于市场对更高效、创新产品的渴望，同时也受到科技发展对行业格局的深刻改变的影响。这为微生物肥料项目提供了广阔的发展空间和市场需求。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微生物肥料项目现状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截至目前，微生物肥料项目已完成市场调研和技术验证，取得了初步的成功。这为微生物肥料项目在未来的发展奠定了坚实的基础，为更远大的目标打下了坚实的基石。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591"/>
      <w:r>
        <w:rPr>
          <w:rFonts w:ascii="仿宋" w:eastAsia="仿宋" w:hAnsi="仿宋" w:cs="仿宋" w:hint="eastAsia"/>
          <w:sz w:val="28"/>
          <w:lang w:eastAsia="zh-CN"/>
        </w:rPr>
        <w:t>(二)、微生物肥料项目目标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keyword》微生物肥料项目首要业务目标是在市场中占据有利地位，实现产品/服务的成功推广和销售。通过不断提升产品质量、创新性，微生物肥料项目追求成为行业中的领导者，赢得更多客户的青睐。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在科技迅速发展的时代，微生物肥料项目着眼于技术创新。通过持续的研发和技术升级，微生物肥料项目旨在推出更具创新性的产品或服务，以满足市场对新鲜、先进解决方案的需求。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为了建立可持续的客户关系，微生物肥料项目设定了客户满意度目标。通过提供卓越的产品质量和优质的客户服务，微生物肥料项目追求赢得客户的信任和忠诚度，确保他们的满意度达到行业领先水平。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微生物肥料项目注重社会责任和可持续发展。通过实施环保、社会责任微生物肥料项目，微生物肥料项目致力于在经济发展的同时保护环境，促进社会公平，实现可持续经营。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微生物肥料项目的团队是实现目标的核心驱动力。因此，微生物肥料项目设定了团队发展目标，包括提升团队成员的专业技能、培养领导力，以及搭建协同高效的团队工作氛围。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9246"/>
      <w:r>
        <w:rPr>
          <w:rFonts w:ascii="仿宋" w:eastAsia="仿宋" w:hAnsi="仿宋" w:cs="仿宋" w:hint="eastAsia"/>
          <w:sz w:val="28"/>
          <w:lang w:eastAsia="zh-CN"/>
        </w:rPr>
        <w:t>(三)、微生物肥料项目提出的理由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微生物肥料项目提出的理由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提出源于对市场机遇的深刻洞察。当前市场中存在的需求缺口和行业发展趋势表明，有巨大的商业机会等待被开发。通过准确捕捉市场机遇，微生物肥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理念基于对技术创新的信仰。通过持续的研发和技术投入，微生物肥料项目有望推出更具创新性的产品或服务。在科技飞速发展的当下，微生物肥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提出是为了增强企业的行业竞争力。通过提升产品或服务的质量和独特性，微生物肥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响应了消费者需求的变化。随着社会和科技的不断发展，消费者对产品和服务的需求也在发生变化。通过深入了解并及时回应消费者的新需求，微生物肥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微生物肥料项目的提出是企业战略发展规划的一部分。在面对日益激烈的市场竞争和不断变化的商业环境中，微生物肥料项目作为企业战略的一环，旨在为企业开辟新的增长领域，巩固企业在行业中的地位。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微生物肥料项目的提出不仅仅是基于商业考量，还注重社会责任。通过推出环保、社会责任等方面的微生物肥料项目，微生物肥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微生物肥料项目的提出反映了对利益相关者期望的关注。包括客户、员工、投资者等利益相关者在企业发展中都有着各自的期望，微生物肥料项目力求在满足这些期望的同时，取得更大的共赢。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5231"/>
      <w:r>
        <w:rPr>
          <w:rFonts w:ascii="仿宋" w:eastAsia="仿宋" w:hAnsi="仿宋" w:cs="仿宋" w:hint="eastAsia"/>
          <w:sz w:val="28"/>
          <w:lang w:eastAsia="zh-CN"/>
        </w:rPr>
        <w:t>(四)、微生物肥料项目意义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在实施微生物肥料项目的过程中，我们不仅仅是在追逐商业成功，更是为企业和社会的多个层面创造了深远的意义。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肥料项目的首要意义在于提升企业的市场竞争力。通过持续的创新和对产品质量的高标准要求，微生物肥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生物肥料项目的推进将促使行业技术水平的提升。通过引入先进技术和创新性解决方案，微生物肥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微生物肥料项目不仅创造了大量就业机会，提高了就业水平，还注重社会责任和环保。通过参与社会公益事业和推动环保微生物肥料项目，微生物肥料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综合而言，微生物肥料项目意义重大，不仅推动了企业的发展，也为行业和社会的进步贡献了积极力量。这是一个全面而深刻的影响，将在未来产生可持续的正面效应。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0191"/>
      <w:r>
        <w:rPr>
          <w:rFonts w:ascii="仿宋" w:eastAsia="仿宋" w:hAnsi="仿宋" w:cs="仿宋" w:hint="eastAsia"/>
          <w:sz w:val="28"/>
          <w:lang w:eastAsia="zh-CN"/>
        </w:rPr>
        <w:t>(五)、微生物肥料项目背景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在当今迅猛发展的商业环境中，微生物肥料项目的动因根植于对多方面因素的审慎考量。这个微生物肥料项目的提出并非孤立的决策，而是对企业所处背景深入思考的产物。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微生物肥料项目背后的首要原因。科技的迅速发展和全球市场的快速变化使得企业必须灵活应对。微生物肥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竞争的激烈程度也是微生物肥料项目背景中不可忽视的一环。企业需要在激烈竞争中脱颖而出，为此，微生物肥料项目致力于打破常规，提供独特的价值主张，以吸引客户并确保市场份额的增长。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技术的迅速发展为企业带来了机遇与挑战。作为微生物肥料项目启动的背景之一，对新兴技术的应用将有助于提升企业的技术水平，使其在不断演进的商业环境中保持竞争优势。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此外，社会对企业责任的期望也在逐渐升高。微生物肥料项目充分融入了社会责任的理念，通过可持续经营和社会公益微生物肥料项目，企图为社会贡献一份力量，在商业成功的同时关注社会价值。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7699"/>
      <w:r>
        <w:rPr>
          <w:rFonts w:ascii="仿宋" w:eastAsia="仿宋" w:hAnsi="仿宋" w:cs="仿宋" w:hint="eastAsia"/>
          <w:sz w:val="28"/>
          <w:lang w:eastAsia="zh-CN"/>
        </w:rPr>
        <w:t>四、微生物肥料项目选址可行性分析</w:t>
      </w:r>
      <w:bookmarkEnd w:id="15"/>
    </w:p>
    <w:p>
      <w:pPr>
        <w:pStyle w:val="Heading2"/>
        <w:rPr>
          <w:rFonts w:ascii="仿宋" w:eastAsia="仿宋" w:hAnsi="仿宋" w:cs="仿宋" w:hint="eastAsia"/>
          <w:lang w:eastAsia="zh-CN"/>
        </w:rPr>
      </w:pPr>
      <w:bookmarkStart w:id="16" w:name="_Toc8673"/>
      <w:r>
        <w:rPr>
          <w:rFonts w:ascii="仿宋" w:eastAsia="仿宋" w:hAnsi="仿宋" w:cs="仿宋" w:hint="eastAsia"/>
          <w:lang w:eastAsia="zh-CN"/>
        </w:rPr>
        <w:t>(一)、微生物肥料项目选址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该微生物肥料项目选址位于XX省XX市XX区XXX街道</w:t>
      </w:r>
    </w:p>
    <w:p>
      <w:pPr>
        <w:pStyle w:val="Heading2"/>
        <w:ind w:firstLine="560" w:firstLineChars="200"/>
        <w:rPr>
          <w:rFonts w:ascii="仿宋" w:eastAsia="仿宋" w:hAnsi="仿宋" w:cs="仿宋" w:hint="eastAsia"/>
          <w:sz w:val="28"/>
          <w:lang w:eastAsia="zh-CN"/>
        </w:rPr>
      </w:pPr>
      <w:bookmarkStart w:id="17" w:name="_Toc3137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微生物肥料项目的征地面积将根据微生物肥料项目的实际规模和需求进行精确规划。具体面积XXX平方米，旨在确保微生物肥料项目不仅能够满足当前的发展需求，还能够预留空间以适应未来的扩展。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净用地面积是在征地面积基础上去除不可利用面积后的实际可开发用地。具体面积XXX平方米，考虑到环保、交通、安全等多方面因素，以确保微生物肥料项目在整体利用效率上达到最优。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微生物肥料项目计划建设的建筑总规模具体面积XXX平方米。这一规模的确定综合考虑了微生物肥料项目的性质、规模，以及城市规划的相关要求，确保建筑布局与周边环境协调一致。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绿地率是微生物肥料项目用地中被规划为绿地的比例。具体面积XXX平方米，旨在通过合理规划绿地，改善微生物肥料项目周边环境，提升居民生活质量，并符合城市整体绿化规划。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容积率是用地上可以建设的建筑总体积与用地面积之比。具体面积XXX，通过合理的容积率规划，确保微生物肥料项目建筑规模与周边环境和谐共生。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生物肥料项目选址与当地城市规划相一致，具体面积XXX平方米。通过与城市规划部门深入沟通，确保微生物肥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生物肥料项目选址符合当地产业政策，具体面积XXX平方米。这包括微生物肥料项目对当地经济的促进作用，以及对相关产业的带动效应，确保微生物肥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用地总体要求必须符合环保和可持续发展的原则，具体面积XXX平方米。通过采用绿色建筑设计、节能减排等措施，确保微生物肥料项目在建设和运营过程中对环境的影响最小化，达到可持续发展的要求。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确保微生物肥料项目选址具备必要的公共设施配套，具体面积XXX平方米。这包括交通便利性、教育、医疗等基础设施，以提高居民生活品质，使得微生物肥料项目选址更具吸引力。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考虑用地总体要求对当地社会稳定性的影响，具体面积XXX平方米。通过深入了解当地社区反馈，确保微生物肥料项目的选址和建设过程对当地社会和谐稳定产生积极作用。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https://d.book118.com/818114130112006045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微生物肥料项目规划设计纲要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10D81"/>
    <w:rsid w:val="51D10D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1413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2024-03-03T06:22:00Z</dcterms:created>
  <dcterms:modified xsi:type="dcterms:W3CDTF">2024-03-03T06:23:17Z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822B205E8A654553AFA11172E459713E_11</vt:lpwstr>
  </property>
  <property fmtid="{D5CDD505-2E9C-101B-9397-08002B2CF9AE}" pid="3" name="KSOProductBuildVer">
    <vt:lpwstr>2052-12.1.0.16388</vt:lpwstr>
  </property>
</Properties>
</file>