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触变剂项目策划方案报告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一、公司概况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9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_Toc15459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1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_Toc12501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" w:history="1">
        <w:r>
          <w:rPr>
            <w:rFonts w:ascii="仿宋" w:eastAsia="仿宋" w:hAnsi="仿宋" w:cs="仿宋" w:hint="eastAsia"/>
            <w:lang w:eastAsia="zh-CN"/>
          </w:rPr>
          <w:t>三、工艺技术设计及设备选型方案</w:t>
        </w:r>
        <w:r>
          <w:tab/>
        </w:r>
        <w:r>
          <w:fldChar w:fldCharType="begin"/>
        </w:r>
        <w:r>
          <w:instrText xml:space="preserve"> PAGEREF _Toc710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3" w:history="1">
        <w:r>
          <w:rPr>
            <w:rFonts w:ascii="仿宋" w:eastAsia="仿宋" w:hAnsi="仿宋" w:cs="仿宋" w:hint="eastAsia"/>
            <w:lang w:eastAsia="zh-CN"/>
          </w:rPr>
          <w:t>(二)、触变剂项目技术工艺分析</w:t>
        </w:r>
        <w:r>
          <w:tab/>
        </w:r>
        <w:r>
          <w:fldChar w:fldCharType="begin"/>
        </w:r>
        <w:r>
          <w:instrText xml:space="preserve"> PAGEREF _Toc13363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6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_Toc17546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四、触变剂行业发展分析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6" w:history="1">
        <w:r>
          <w:rPr>
            <w:rFonts w:ascii="仿宋" w:eastAsia="仿宋" w:hAnsi="仿宋" w:cs="仿宋" w:hint="eastAsia"/>
            <w:lang w:eastAsia="zh-CN"/>
          </w:rPr>
          <w:t>(一)、触变剂行业发展总体概况</w:t>
        </w:r>
        <w:r>
          <w:tab/>
        </w:r>
        <w:r>
          <w:fldChar w:fldCharType="begin"/>
        </w:r>
        <w:r>
          <w:instrText xml:space="preserve"> PAGEREF _Toc24626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9" w:history="1">
        <w:r>
          <w:rPr>
            <w:rFonts w:ascii="仿宋" w:eastAsia="仿宋" w:hAnsi="仿宋" w:cs="仿宋" w:hint="eastAsia"/>
            <w:lang w:eastAsia="zh-CN"/>
          </w:rPr>
          <w:t>(二)、触变剂行业发展背景</w:t>
        </w:r>
        <w:r>
          <w:tab/>
        </w:r>
        <w:r>
          <w:fldChar w:fldCharType="begin"/>
        </w:r>
        <w:r>
          <w:instrText xml:space="preserve"> PAGEREF _Toc21329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(三)、触变剂行业发展前景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5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_Toc28835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_Toc8560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_Toc26591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2" w:history="1">
        <w:r>
          <w:rPr>
            <w:rFonts w:ascii="仿宋" w:eastAsia="仿宋" w:hAnsi="仿宋" w:cs="仿宋" w:hint="eastAsia"/>
            <w:lang w:eastAsia="zh-CN"/>
          </w:rPr>
          <w:t>七、触变剂项目市场前景分析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" w:history="1">
        <w:r>
          <w:rPr>
            <w:rFonts w:ascii="仿宋" w:eastAsia="仿宋" w:hAnsi="仿宋" w:cs="仿宋" w:hint="eastAsia"/>
            <w:lang w:eastAsia="zh-CN"/>
          </w:rPr>
          <w:t>八、触变剂项目概况</w:t>
        </w:r>
        <w:r>
          <w:tab/>
        </w:r>
        <w:r>
          <w:fldChar w:fldCharType="begin"/>
        </w:r>
        <w:r>
          <w:instrText xml:space="preserve"> PAGEREF _Toc643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" w:history="1">
        <w:r>
          <w:rPr>
            <w:rFonts w:ascii="仿宋" w:eastAsia="仿宋" w:hAnsi="仿宋" w:cs="仿宋" w:hint="eastAsia"/>
            <w:lang w:eastAsia="zh-CN"/>
          </w:rPr>
          <w:t>(一)、触变剂项目基本情况</w:t>
        </w:r>
        <w:r>
          <w:tab/>
        </w:r>
        <w:r>
          <w:fldChar w:fldCharType="begin"/>
        </w:r>
        <w:r>
          <w:instrText xml:space="preserve"> PAGEREF _Toc1973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3" w:history="1">
        <w:r>
          <w:rPr>
            <w:rFonts w:ascii="仿宋" w:eastAsia="仿宋" w:hAnsi="仿宋" w:cs="仿宋" w:hint="eastAsia"/>
            <w:lang w:eastAsia="zh-CN"/>
          </w:rPr>
          <w:t>(三)、触变剂项目建设选址及用地规模</w:t>
        </w:r>
        <w:r>
          <w:tab/>
        </w:r>
        <w:r>
          <w:fldChar w:fldCharType="begin"/>
        </w:r>
        <w:r>
          <w:instrText xml:space="preserve"> PAGEREF _Toc32723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(四)、触变剂项目总投资及资金构成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(五)、触变剂项目资本金筹措方案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6" w:history="1">
        <w:r>
          <w:rPr>
            <w:rFonts w:ascii="仿宋" w:eastAsia="仿宋" w:hAnsi="仿宋" w:cs="仿宋" w:hint="eastAsia"/>
            <w:lang w:eastAsia="zh-CN"/>
          </w:rPr>
          <w:t>(七)、触变剂项目预期经济效益规划目标</w:t>
        </w:r>
        <w:r>
          <w:tab/>
        </w:r>
        <w:r>
          <w:fldChar w:fldCharType="begin"/>
        </w:r>
        <w:r>
          <w:instrText xml:space="preserve"> PAGEREF _Toc30766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(八)、触变剂项目建设进度规划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九、触变剂公司治理与社会责任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3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_Toc13193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2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_Toc5722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十、触变剂项目风险分析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(一)、触变剂项目风险分析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(二)、触变剂项目风险对策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(一)、触变剂项目进度安排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(二)、触变剂项目实施保障措施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9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0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_Toc32100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2" w:history="1">
        <w:r>
          <w:rPr>
            <w:rFonts w:ascii="仿宋" w:eastAsia="仿宋" w:hAnsi="仿宋" w:cs="仿宋" w:hint="eastAsia"/>
            <w:lang w:eastAsia="zh-CN"/>
          </w:rPr>
          <w:t>十三、选址方案评估</w:t>
        </w:r>
        <w:r>
          <w:tab/>
        </w:r>
        <w:r>
          <w:fldChar w:fldCharType="begin"/>
        </w:r>
        <w:r>
          <w:instrText xml:space="preserve"> PAGEREF _Toc30272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eastAsia="zh-CN"/>
          </w:rPr>
          <w:t>(一)、触变剂项目选址原则</w:t>
        </w:r>
        <w:r>
          <w:tab/>
        </w:r>
        <w:r>
          <w:fldChar w:fldCharType="begin"/>
        </w:r>
        <w:r>
          <w:instrText xml:space="preserve"> PAGEREF _Toc9014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(二)、触变剂项目选址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_Toc18061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4" w:history="1">
        <w:r>
          <w:rPr>
            <w:rFonts w:ascii="仿宋" w:eastAsia="仿宋" w:hAnsi="仿宋" w:cs="仿宋" w:hint="eastAsia"/>
            <w:lang w:eastAsia="zh-CN"/>
          </w:rPr>
          <w:t>十四、科技创新与研发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0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_Toc14920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5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eastAsia="zh-CN"/>
          </w:rPr>
          <w:t>十五、触变剂项目进度计划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5" w:history="1">
        <w:r>
          <w:rPr>
            <w:rFonts w:ascii="仿宋" w:eastAsia="仿宋" w:hAnsi="仿宋" w:cs="仿宋" w:hint="eastAsia"/>
            <w:lang w:eastAsia="zh-CN"/>
          </w:rPr>
          <w:t>(一)、触变剂项目进度安排</w:t>
        </w:r>
        <w:r>
          <w:tab/>
        </w:r>
        <w:r>
          <w:fldChar w:fldCharType="begin"/>
        </w:r>
        <w:r>
          <w:instrText xml:space="preserve"> PAGEREF _Toc8425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9" w:history="1">
        <w:r>
          <w:rPr>
            <w:rFonts w:ascii="仿宋" w:eastAsia="仿宋" w:hAnsi="仿宋" w:cs="仿宋" w:hint="eastAsia"/>
            <w:lang w:eastAsia="zh-CN"/>
          </w:rPr>
          <w:t>(二)、触变剂项目实施保障措施</w:t>
        </w:r>
        <w:r>
          <w:tab/>
        </w:r>
        <w:r>
          <w:fldChar w:fldCharType="begin"/>
        </w:r>
        <w:r>
          <w:instrText xml:space="preserve"> PAGEREF _Toc4609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十六、环境保护管理措施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4" w:history="1">
        <w:r>
          <w:rPr>
            <w:rFonts w:ascii="仿宋" w:eastAsia="仿宋" w:hAnsi="仿宋" w:cs="仿宋" w:hint="eastAsia"/>
            <w:lang w:eastAsia="zh-CN"/>
          </w:rPr>
          <w:t>十七、市场营销策略</w:t>
        </w:r>
        <w:r>
          <w:tab/>
        </w:r>
        <w:r>
          <w:fldChar w:fldCharType="begin"/>
        </w:r>
        <w:r>
          <w:instrText xml:space="preserve"> PAGEREF _Toc27574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7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_Toc31857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" w:history="1">
        <w:r>
          <w:rPr>
            <w:rFonts w:ascii="仿宋" w:eastAsia="仿宋" w:hAnsi="仿宋" w:cs="仿宋" w:hint="eastAsia"/>
            <w:lang w:eastAsia="zh-CN"/>
          </w:rPr>
          <w:t>十八、员工满意度调查与提升策略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1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_Toc6121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_Toc1151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eastAsia="zh-CN"/>
          </w:rPr>
          <w:t>十九、触变剂数字化发展方案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8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_Toc18768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二十、市场定位与目标市场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5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_Toc19195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9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74"/>
      <w:r>
        <w:rPr>
          <w:rFonts w:ascii="仿宋" w:eastAsia="仿宋" w:hAnsi="仿宋" w:cs="仿宋" w:hint="eastAsia"/>
          <w:sz w:val="28"/>
          <w:lang w:eastAsia="zh-CN"/>
        </w:rPr>
        <w:t>一、公司概况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00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公司名字：XXX  Co., Ltd.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法定代表人：XXX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注册资金：XX million RMB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统一社会信用代码：XXXX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登记机构：XXX市市场监管局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成立日期：2XXX年XX月XX日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营业期限：2XXX年XX月XX日起无限期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注册地点：XX市XX区XX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734"/>
      <w:r>
        <w:rPr>
          <w:rFonts w:ascii="仿宋" w:eastAsia="仿宋" w:hAnsi="仿宋" w:cs="仿宋" w:hint="eastAsia"/>
          <w:sz w:val="28"/>
          <w:lang w:eastAsia="zh-CN"/>
        </w:rPr>
        <w:t>(二)、公司主要财务数据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资产总额： XX万元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https://d.book118.com/818125005132006040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触变剂项目策划方案报告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触变剂项目策划方案报告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触变剂项目策划方案报告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触变剂项目策划方案报告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触变剂项目策划方案报告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4D29C0"/>
    <w:rsid w:val="434D29C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8125005132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2024-02-20T03:14:00Z</dcterms:created>
  <dcterms:modified xsi:type="dcterms:W3CDTF">2024-02-20T03:14:29Z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7425627665C44F30B406B0D30860AB16_11</vt:lpwstr>
  </property>
  <property fmtid="{D5CDD505-2E9C-101B-9397-08002B2CF9AE}" pid="3" name="KSOProductBuildVer">
    <vt:lpwstr>2052-12.1.0.16250</vt:lpwstr>
  </property>
</Properties>
</file>