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30" w:lineRule="exact"/>
        <w:ind w:firstLine="696"/>
      </w:pPr>
      <w:r>
        <w:pict>
          <v:group id="_x0000_s1025" style="width:227.6pt;height:841.85pt;margin-top:0;margin-left:0;mso-position-horizontal-relative:page;mso-position-vertical-relative:page;position:absolute;z-index:-251658240" coordorigin="0,0" coordsize="4552,16836" o:allowincell="f" filled="f" stroked="f">
            <v:shape id="_x0000_s1026" style="width:3822;height:13833;left:730;position:absolute;top:2098" coordorigin="0,0" coordsize="3822,13833" path="m,13832l3821,13832l3821,l,l,13832xe" filled="t" fillcolor="#d8d8d8" stroked="f"/>
            <v:shape id="_x0000_s1027" style="width:696;height:16836;position:absolute" coordorigin="0,0" coordsize="696,16836" path="m,16836l696,16836l696,l,l,16836xe" filled="t" fillcolor="#a7001d" stroked="f"/>
          </v:group>
        </w:pict>
      </w:r>
      <w:r>
        <w:rPr>
          <w:position w:val="-32"/>
        </w:rPr>
        <w:drawing>
          <wp:inline distT="0" distB="0" distL="0" distR="0">
            <wp:extent cx="7113904" cy="103544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13904" cy="1035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8" w:line="380" w:lineRule="exact"/>
        <w:ind w:firstLine="727"/>
      </w:pPr>
      <w:r>
        <w:rPr>
          <w:position w:val="-7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8" type="#_x0000_t202" style="width:559pt;height:19pt;mso-position-horizontal-relative:char;mso-position-vertical-relative:line" filled="t" fillcolor="#a7001d" stroked="f">
            <o:lock v:ext="edit" aspectratio="f"/>
            <v:textbox inset="0,0,0,0">
              <w:txbxContent>
                <w:p>
                  <w:pPr>
                    <w:spacing w:before="90" w:line="222" w:lineRule="auto"/>
                    <w:ind w:left="45"/>
                    <w:rPr>
                      <w:rFonts w:ascii="KaiTi" w:eastAsia="KaiTi" w:hAnsi="KaiTi" w:cs="KaiTi"/>
                      <w:sz w:val="19"/>
                      <w:szCs w:val="19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4"/>
                      <w:sz w:val="19"/>
                      <w:szCs w:val="19"/>
                      <w14:textOutline w14:w="361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金融工程</w:t>
                  </w:r>
                  <w:r>
                    <w:rPr>
                      <w:rFonts w:ascii="KaiTi" w:eastAsia="KaiTi" w:hAnsi="KaiTi" w:cs="KaiTi"/>
                      <w:color w:val="FFFFFF"/>
                      <w:spacing w:val="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4"/>
                      <w:sz w:val="19"/>
                      <w:szCs w:val="19"/>
                    </w:rPr>
                    <w:t xml:space="preserve">|  </w:t>
                  </w:r>
                  <w:r>
                    <w:rPr>
                      <w:rFonts w:ascii="KaiTi" w:eastAsia="KaiTi" w:hAnsi="KaiTi" w:cs="KaiTi"/>
                      <w:color w:val="FFFFFF"/>
                      <w:spacing w:val="4"/>
                      <w:sz w:val="19"/>
                      <w:szCs w:val="19"/>
                      <w14:textOutline w14:w="361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证券研究报告</w:t>
                  </w:r>
                  <w:r>
                    <w:rPr>
                      <w:rFonts w:ascii="KaiTi" w:eastAsia="KaiTi" w:hAnsi="KaiTi" w:cs="KaiTi"/>
                      <w:color w:val="FFFFFF"/>
                      <w:spacing w:val="4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4"/>
                      <w:sz w:val="19"/>
                      <w:szCs w:val="19"/>
                    </w:rPr>
                    <w:t>—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12"/>
                      <w:w w:val="101"/>
                      <w:sz w:val="19"/>
                      <w:szCs w:val="19"/>
                    </w:rPr>
                    <w:t xml:space="preserve">  </w:t>
                  </w:r>
                  <w:r>
                    <w:rPr>
                      <w:rFonts w:ascii="KaiTi" w:eastAsia="KaiTi" w:hAnsi="KaiTi" w:cs="KaiTi"/>
                      <w:color w:val="FFFFFF"/>
                      <w:spacing w:val="4"/>
                      <w:sz w:val="19"/>
                      <w:szCs w:val="19"/>
                      <w14:textOutline w14:w="361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点评报告</w:t>
                  </w:r>
                  <w:r>
                    <w:rPr>
                      <w:rFonts w:ascii="KaiTi" w:eastAsia="KaiTi" w:hAnsi="KaiTi" w:cs="KaiTi"/>
                      <w:color w:val="FFFFFF"/>
                      <w:spacing w:val="4"/>
                      <w:sz w:val="19"/>
                      <w:szCs w:val="19"/>
                    </w:rPr>
                    <w:t xml:space="preserve">                                                       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4"/>
                      <w:sz w:val="19"/>
                      <w:szCs w:val="19"/>
                    </w:rPr>
                    <w:t>2024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3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FFFFFF"/>
                      <w:spacing w:val="3"/>
                      <w:sz w:val="19"/>
                      <w:szCs w:val="19"/>
                      <w14:textOutline w14:w="361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年</w:t>
                  </w:r>
                  <w:r>
                    <w:rPr>
                      <w:rFonts w:ascii="KaiTi" w:eastAsia="KaiTi" w:hAnsi="KaiTi" w:cs="KaiTi"/>
                      <w:color w:val="FFFFFF"/>
                      <w:spacing w:val="-29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3"/>
                      <w:sz w:val="19"/>
                      <w:szCs w:val="19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19"/>
                      <w:w w:val="10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FFFFFF"/>
                      <w:spacing w:val="3"/>
                      <w:sz w:val="19"/>
                      <w:szCs w:val="19"/>
                      <w14:textOutline w14:w="361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月</w:t>
                  </w:r>
                  <w:r>
                    <w:rPr>
                      <w:rFonts w:ascii="KaiTi" w:eastAsia="KaiTi" w:hAnsi="KaiTi" w:cs="KaiTi"/>
                      <w:color w:val="FFFFFF"/>
                      <w:spacing w:val="-38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pacing w:val="3"/>
                      <w:sz w:val="19"/>
                      <w:szCs w:val="19"/>
                    </w:rPr>
                    <w:t xml:space="preserve">29  </w:t>
                  </w:r>
                  <w:r>
                    <w:rPr>
                      <w:rFonts w:ascii="KaiTi" w:eastAsia="KaiTi" w:hAnsi="KaiTi" w:cs="KaiTi"/>
                      <w:color w:val="FFFFFF"/>
                      <w:spacing w:val="3"/>
                      <w:sz w:val="19"/>
                      <w:szCs w:val="19"/>
                      <w14:textOutline w14:w="361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日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244" w:line="236" w:lineRule="auto"/>
        <w:ind w:left="4692" w:right="629" w:hanging="8"/>
        <w:jc w:val="both"/>
        <w:outlineLvl w:val="0"/>
        <w:rPr>
          <w:sz w:val="55"/>
          <w:szCs w:val="55"/>
        </w:rPr>
      </w:pPr>
      <w:r>
        <w:rPr>
          <w:spacing w:val="33"/>
          <w:sz w:val="55"/>
          <w:szCs w:val="55"/>
          <w14:textOutline w14:w="10145">
            <w14:solidFill>
              <w14:srgbClr w14:val="000000"/>
            </w14:solidFill>
            <w14:prstDash w14:val="solid"/>
            <w14:miter w14:lim="10"/>
          </w14:textOutline>
        </w:rPr>
        <w:t>基于</w:t>
      </w:r>
      <w:r>
        <w:rPr>
          <w:rFonts w:ascii="Times New Roman" w:eastAsia="Times New Roman" w:hAnsi="Times New Roman" w:cs="Times New Roman"/>
          <w:b/>
          <w:bCs/>
          <w:spacing w:val="33"/>
          <w:sz w:val="55"/>
          <w:szCs w:val="55"/>
        </w:rPr>
        <w:t>“</w:t>
      </w:r>
      <w:r>
        <w:rPr>
          <w:rFonts w:ascii="Times New Roman" w:eastAsia="Times New Roman" w:hAnsi="Times New Roman" w:cs="Times New Roman"/>
          <w:b/>
          <w:bCs/>
          <w:spacing w:val="-70"/>
          <w:sz w:val="55"/>
          <w:szCs w:val="55"/>
        </w:rPr>
        <w:t xml:space="preserve"> </w:t>
      </w:r>
      <w:r>
        <w:rPr>
          <w:spacing w:val="33"/>
          <w:sz w:val="55"/>
          <w:szCs w:val="55"/>
          <w14:textOutline w14:w="10145">
            <w14:solidFill>
              <w14:srgbClr w14:val="000000"/>
            </w14:solidFill>
            <w14:prstDash w14:val="solid"/>
            <w14:miter w14:lim="10"/>
          </w14:textOutline>
        </w:rPr>
        <w:t>宏观预期</w:t>
      </w:r>
      <w:r>
        <w:rPr>
          <w:rFonts w:ascii="Times New Roman" w:eastAsia="Times New Roman" w:hAnsi="Times New Roman" w:cs="Times New Roman"/>
          <w:b/>
          <w:bCs/>
          <w:spacing w:val="33"/>
          <w:sz w:val="55"/>
          <w:szCs w:val="55"/>
        </w:rPr>
        <w:t>”</w:t>
      </w:r>
      <w:r>
        <w:rPr>
          <w:rFonts w:ascii="Times New Roman" w:eastAsia="Times New Roman" w:hAnsi="Times New Roman" w:cs="Times New Roman"/>
          <w:b/>
          <w:bCs/>
          <w:spacing w:val="-64"/>
          <w:sz w:val="55"/>
          <w:szCs w:val="55"/>
        </w:rPr>
        <w:t xml:space="preserve"> </w:t>
      </w:r>
      <w:r>
        <w:rPr>
          <w:spacing w:val="33"/>
          <w:sz w:val="55"/>
          <w:szCs w:val="55"/>
          <w14:textOutline w14:w="10145">
            <w14:solidFill>
              <w14:srgbClr w14:val="000000"/>
            </w14:solidFill>
            <w14:prstDash w14:val="solid"/>
            <w14:miter w14:lim="10"/>
          </w14:textOutline>
        </w:rPr>
        <w:t>的权益择</w:t>
      </w:r>
      <w:r>
        <w:rPr>
          <w:sz w:val="55"/>
          <w:szCs w:val="55"/>
        </w:rPr>
        <w:t xml:space="preserve"> </w:t>
      </w:r>
      <w:r>
        <w:rPr>
          <w:spacing w:val="1"/>
          <w:sz w:val="55"/>
          <w:szCs w:val="55"/>
          <w14:textOutline w14:w="10145">
            <w14:solidFill>
              <w14:srgbClr w14:val="000000"/>
            </w14:solidFill>
            <w14:prstDash w14:val="solid"/>
            <w14:miter w14:lim="10"/>
          </w14:textOutline>
        </w:rPr>
        <w:t>时系统与</w:t>
      </w:r>
      <w:r>
        <w:rPr>
          <w:spacing w:val="1"/>
          <w:sz w:val="55"/>
          <w:szCs w:val="5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55"/>
          <w:szCs w:val="55"/>
        </w:rPr>
        <w:t>2024</w:t>
      </w:r>
      <w:r>
        <w:rPr>
          <w:rFonts w:ascii="Times New Roman" w:eastAsia="Times New Roman" w:hAnsi="Times New Roman" w:cs="Times New Roman"/>
          <w:b/>
          <w:bCs/>
          <w:spacing w:val="105"/>
          <w:sz w:val="55"/>
          <w:szCs w:val="55"/>
        </w:rPr>
        <w:t xml:space="preserve"> </w:t>
      </w:r>
      <w:r>
        <w:rPr>
          <w:spacing w:val="1"/>
          <w:sz w:val="55"/>
          <w:szCs w:val="55"/>
          <w14:textOutline w14:w="10145">
            <w14:solidFill>
              <w14:srgbClr w14:val="000000"/>
            </w14:solidFill>
            <w14:prstDash w14:val="solid"/>
            <w14:miter w14:lim="10"/>
          </w14:textOutline>
        </w:rPr>
        <w:t>年股债组合</w:t>
      </w:r>
      <w:r>
        <w:rPr>
          <w:sz w:val="55"/>
          <w:szCs w:val="55"/>
        </w:rPr>
        <w:t xml:space="preserve"> </w:t>
      </w:r>
      <w:r>
        <w:rPr>
          <w:spacing w:val="5"/>
          <w:sz w:val="55"/>
          <w:szCs w:val="55"/>
          <w14:textOutline w14:w="10145">
            <w14:solidFill>
              <w14:srgbClr w14:val="000000"/>
            </w14:solidFill>
            <w14:prstDash w14:val="solid"/>
            <w14:miter w14:lim="10"/>
          </w14:textOutline>
        </w:rPr>
        <w:t>构建展望</w:t>
      </w:r>
    </w:p>
    <w:p>
      <w:pPr>
        <w:pStyle w:val="BodyText"/>
        <w:spacing w:before="125" w:line="209" w:lineRule="auto"/>
        <w:ind w:left="4703"/>
        <w:rPr>
          <w:sz w:val="33"/>
          <w:szCs w:val="33"/>
        </w:rPr>
      </w:pPr>
      <w:r>
        <w:rPr>
          <w:i/>
          <w:iCs/>
          <w:spacing w:val="-6"/>
          <w:sz w:val="33"/>
          <w:szCs w:val="33"/>
        </w:rPr>
        <w:t>中银证券金融工程资产配置系列专题</w:t>
      </w:r>
    </w:p>
    <w:p>
      <w:pPr>
        <w:pStyle w:val="BodyText"/>
        <w:spacing w:before="231" w:line="228" w:lineRule="auto"/>
        <w:ind w:left="4683" w:right="585"/>
        <w:jc w:val="both"/>
      </w:pP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本报告构建了宏观基本面择时体系，通过该体系对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2024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年权益市场与固收市</w:t>
      </w:r>
      <w:r>
        <w:t xml:space="preserve"> 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场进行了展望，多指标择时体系认为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9"/>
        </w:rPr>
        <w:t>2024</w:t>
      </w:r>
      <w:r>
        <w:rPr>
          <w:rFonts w:ascii="Times New Roman" w:eastAsia="Times New Roman" w:hAnsi="Times New Roman" w:cs="Times New Roman"/>
          <w:b/>
          <w:bCs/>
          <w:spacing w:val="30"/>
        </w:rPr>
        <w:t xml:space="preserve"> 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9"/>
        </w:rPr>
        <w:t>A</w:t>
      </w:r>
      <w:r>
        <w:rPr>
          <w:rFonts w:ascii="Times New Roman" w:eastAsia="Times New Roman" w:hAnsi="Times New Roman" w:cs="Times New Roman"/>
          <w:b/>
          <w:bCs/>
          <w:spacing w:val="26"/>
        </w:rPr>
        <w:t xml:space="preserve"> 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股收益为正</w:t>
      </w: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的概率较高。同</w:t>
      </w:r>
      <w: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时，引入</w:t>
      </w:r>
      <w:r>
        <w:rPr>
          <w:rFonts w:ascii="Times New Roman" w:eastAsia="Times New Roman" w:hAnsi="Times New Roman" w:cs="Times New Roman"/>
          <w:b/>
          <w:bCs/>
          <w:spacing w:val="7"/>
        </w:rPr>
        <w:t>“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权益择时体系</w:t>
      </w:r>
      <w:r>
        <w:rPr>
          <w:rFonts w:ascii="Times New Roman" w:eastAsia="Times New Roman" w:hAnsi="Times New Roman" w:cs="Times New Roman"/>
          <w:b/>
          <w:bCs/>
          <w:spacing w:val="7"/>
        </w:rPr>
        <w:t>”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对资产配置进行回测分析并对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7"/>
        </w:rPr>
        <w:t xml:space="preserve">2024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年仓位配置给出</w:t>
      </w:r>
      <w: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了建议。</w:t>
      </w:r>
    </w:p>
    <w:p>
      <w:pPr>
        <w:pStyle w:val="BodyText"/>
        <w:spacing w:before="129" w:line="239" w:lineRule="auto"/>
        <w:ind w:left="467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A50021"/>
          <w:spacing w:val="7"/>
        </w:rPr>
        <w:t xml:space="preserve">2024 </w:t>
      </w:r>
      <w:r>
        <w:rPr>
          <w:color w:val="A50021"/>
          <w:spacing w:val="7"/>
          <w14:textOutline w14:w="3614">
            <w14:solidFill>
              <w14:srgbClr w14:val="A50021"/>
            </w14:solidFill>
            <w14:prstDash w14:val="solid"/>
            <w14:miter w14:lim="10"/>
          </w14:textOutline>
        </w:rPr>
        <w:t>年权益市场展望</w:t>
      </w:r>
      <w:r>
        <w:rPr>
          <w:rFonts w:ascii="Times New Roman" w:eastAsia="Times New Roman" w:hAnsi="Times New Roman" w:cs="Times New Roman"/>
          <w:b/>
          <w:bCs/>
          <w:color w:val="A50021"/>
          <w:spacing w:val="7"/>
        </w:rPr>
        <w:t>:</w:t>
      </w:r>
    </w:p>
    <w:p>
      <w:pPr>
        <w:pStyle w:val="BodyText"/>
        <w:spacing w:before="77" w:line="231" w:lineRule="auto"/>
        <w:ind w:left="5034" w:right="586" w:hanging="352"/>
      </w:pPr>
      <w:r>
        <w:rPr>
          <w:rFonts w:ascii="Wingdings" w:eastAsia="Wingdings" w:hAnsi="Wingdings" w:cs="Wingdings"/>
          <w:color w:val="A7001D"/>
          <w:spacing w:val="6"/>
          <w:sz w:val="16"/>
          <w:szCs w:val="16"/>
        </w:rPr>
        <w:sym w:font="Wingdings" w:char="F06E"/>
      </w:r>
      <w:r>
        <w:rPr>
          <w:rFonts w:ascii="Wingdings" w:eastAsia="Wingdings" w:hAnsi="Wingdings" w:cs="Wingdings"/>
          <w:color w:val="A7001D"/>
          <w:spacing w:val="9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2005 </w:t>
      </w:r>
      <w:r>
        <w:rPr>
          <w:spacing w:val="6"/>
        </w:rPr>
        <w:t>年以来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A </w:t>
      </w:r>
      <w:r>
        <w:rPr>
          <w:spacing w:val="6"/>
        </w:rPr>
        <w:t>股从未出现过连续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3 </w:t>
      </w:r>
      <w:r>
        <w:rPr>
          <w:spacing w:val="6"/>
        </w:rPr>
        <w:t>年以</w:t>
      </w:r>
      <w:r>
        <w:rPr>
          <w:spacing w:val="5"/>
        </w:rPr>
        <w:t>上的熊市，当前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A </w:t>
      </w:r>
      <w:r>
        <w:rPr>
          <w:spacing w:val="5"/>
        </w:rPr>
        <w:t>股的整体估值</w:t>
      </w:r>
      <w:r>
        <w:t xml:space="preserve"> </w:t>
      </w:r>
      <w:r>
        <w:rPr>
          <w:spacing w:val="1"/>
        </w:rPr>
        <w:t>处于历史低位，</w:t>
      </w:r>
      <w:r>
        <w:rPr>
          <w:spacing w:val="36"/>
        </w:rPr>
        <w:t xml:space="preserve"> </w:t>
      </w:r>
      <w:r>
        <w:rPr>
          <w:spacing w:val="1"/>
        </w:rPr>
        <w:t>未来正收益空间很大；</w:t>
      </w:r>
    </w:p>
    <w:p>
      <w:pPr>
        <w:pStyle w:val="BodyText"/>
        <w:spacing w:before="98" w:line="238" w:lineRule="auto"/>
        <w:ind w:left="5027" w:right="580" w:hanging="345"/>
      </w:pPr>
      <w:r>
        <w:rPr>
          <w:rFonts w:ascii="Wingdings" w:eastAsia="Wingdings" w:hAnsi="Wingdings" w:cs="Wingdings"/>
          <w:color w:val="A7001D"/>
          <w:spacing w:val="6"/>
          <w:sz w:val="16"/>
          <w:szCs w:val="16"/>
        </w:rPr>
        <w:sym w:font="Wingdings" w:char="F06E"/>
      </w:r>
      <w:r>
        <w:rPr>
          <w:rFonts w:ascii="Wingdings" w:eastAsia="Wingdings" w:hAnsi="Wingdings" w:cs="Wingdings"/>
          <w:color w:val="A7001D"/>
          <w:spacing w:val="99"/>
          <w:sz w:val="16"/>
          <w:szCs w:val="16"/>
        </w:rPr>
        <w:t xml:space="preserve"> </w:t>
      </w:r>
      <w:r>
        <w:rPr>
          <w:spacing w:val="6"/>
        </w:rPr>
        <w:t>宏观基本面权益择时体系构建：基于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</w:rPr>
        <w:t>IMF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6"/>
        </w:rPr>
        <w:t>对于中</w:t>
      </w:r>
      <w:r>
        <w:rPr>
          <w:spacing w:val="5"/>
        </w:rPr>
        <w:t>国与全球未来</w:t>
      </w:r>
      <w:r>
        <w:rPr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5"/>
        </w:rPr>
        <w:t>年多项</w:t>
      </w:r>
      <w:r>
        <w:t xml:space="preserve"> </w:t>
      </w:r>
      <w:r>
        <w:rPr>
          <w:spacing w:val="13"/>
        </w:rPr>
        <w:t>核心经济指标研判构建权益择时体系，该系统基于中美</w:t>
      </w:r>
      <w:r>
        <w:rPr>
          <w:spacing w:val="12"/>
        </w:rPr>
        <w:t>经济增长、通货</w:t>
      </w:r>
      <w:r>
        <w:t xml:space="preserve"> </w:t>
      </w:r>
      <w:r>
        <w:rPr>
          <w:spacing w:val="13"/>
        </w:rPr>
        <w:t>膨胀、货币财政以及国内居民储蓄率变动预期综合对权</w:t>
      </w:r>
      <w:r>
        <w:rPr>
          <w:spacing w:val="12"/>
        </w:rPr>
        <w:t>益市场的影响进</w:t>
      </w:r>
      <w:r>
        <w:t xml:space="preserve"> </w:t>
      </w:r>
      <w:r>
        <w:rPr>
          <w:spacing w:val="4"/>
        </w:rPr>
        <w:t>行研判。基于历史回溯测试可知，</w:t>
      </w:r>
      <w:r>
        <w:rPr>
          <w:rFonts w:ascii="Times New Roman" w:eastAsia="Times New Roman" w:hAnsi="Times New Roman" w:cs="Times New Roman"/>
          <w:spacing w:val="4"/>
        </w:rPr>
        <w:t xml:space="preserve">2005 </w:t>
      </w:r>
      <w:r>
        <w:rPr>
          <w:spacing w:val="4"/>
        </w:rPr>
        <w:t>年至今系统的预测准确率为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7</w:t>
      </w:r>
      <w:r>
        <w:rPr>
          <w:rFonts w:ascii="Times New Roman" w:eastAsia="Times New Roman" w:hAnsi="Times New Roman" w:cs="Times New Roman"/>
          <w:spacing w:val="3"/>
        </w:rPr>
        <w:t>0%</w:t>
      </w:r>
      <w:r>
        <w:rPr>
          <w:spacing w:val="3"/>
        </w:rPr>
        <w:t>，</w:t>
      </w:r>
      <w:r>
        <w:t xml:space="preserve"> </w:t>
      </w:r>
      <w:r>
        <w:rPr>
          <w:spacing w:val="5"/>
        </w:rPr>
        <w:t>盈亏比约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2.4</w:t>
      </w:r>
      <w:r>
        <w:rPr>
          <w:spacing w:val="5"/>
        </w:rPr>
        <w:t>。</w:t>
      </w:r>
    </w:p>
    <w:p>
      <w:pPr>
        <w:pStyle w:val="BodyText"/>
        <w:spacing w:before="84" w:line="238" w:lineRule="auto"/>
        <w:ind w:left="5030" w:right="585" w:hanging="348"/>
      </w:pPr>
      <w:r>
        <w:rPr>
          <w:rFonts w:ascii="Wingdings" w:eastAsia="Wingdings" w:hAnsi="Wingdings" w:cs="Wingdings"/>
          <w:color w:val="A7001D"/>
          <w:spacing w:val="6"/>
          <w:sz w:val="16"/>
          <w:szCs w:val="16"/>
        </w:rPr>
        <w:sym w:font="Wingdings" w:char="F06E"/>
      </w:r>
      <w:r>
        <w:rPr>
          <w:rFonts w:ascii="Wingdings" w:eastAsia="Wingdings" w:hAnsi="Wingdings" w:cs="Wingdings"/>
          <w:color w:val="A7001D"/>
          <w:spacing w:val="10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2024 </w:t>
      </w:r>
      <w:r>
        <w:rPr>
          <w:spacing w:val="6"/>
        </w:rPr>
        <w:t>年权益择时结论：根据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2024 </w:t>
      </w:r>
      <w:r>
        <w:rPr>
          <w:spacing w:val="6"/>
        </w:rPr>
        <w:t>年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IMF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6"/>
        </w:rPr>
        <w:t>的宏观预判，在</w:t>
      </w:r>
      <w:r>
        <w:rPr>
          <w:rFonts w:ascii="Times New Roman" w:eastAsia="Times New Roman" w:hAnsi="Times New Roman" w:cs="Times New Roman"/>
          <w:spacing w:val="6"/>
        </w:rPr>
        <w:t>“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6"/>
        </w:rPr>
        <w:t>美国存在经济</w:t>
      </w:r>
      <w:r>
        <w:t xml:space="preserve"> </w:t>
      </w:r>
      <w:r>
        <w:rPr>
          <w:spacing w:val="8"/>
        </w:rPr>
        <w:t>下行压力（利多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A </w:t>
      </w:r>
      <w:r>
        <w:rPr>
          <w:spacing w:val="8"/>
        </w:rPr>
        <w:t>股</w:t>
      </w:r>
      <w:r>
        <w:rPr>
          <w:spacing w:val="-12"/>
        </w:rPr>
        <w:t>），</w:t>
      </w:r>
      <w:r>
        <w:rPr>
          <w:spacing w:val="8"/>
        </w:rPr>
        <w:t>中国高质量发展核心发力年（利多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A </w:t>
      </w:r>
      <w:r>
        <w:rPr>
          <w:spacing w:val="8"/>
        </w:rPr>
        <w:t>股</w:t>
      </w:r>
      <w:r>
        <w:rPr>
          <w:spacing w:val="-12"/>
        </w:rPr>
        <w:t>）；</w:t>
      </w:r>
      <w:r>
        <w:rPr>
          <w:spacing w:val="15"/>
        </w:rPr>
        <w:t xml:space="preserve"> </w:t>
      </w:r>
      <w:r>
        <w:rPr>
          <w:spacing w:val="8"/>
        </w:rPr>
        <w:t>中</w:t>
      </w:r>
      <w:r>
        <w:t xml:space="preserve"> </w:t>
      </w:r>
      <w:r>
        <w:rPr>
          <w:spacing w:val="5"/>
        </w:rPr>
        <w:t>国通胀下行压力得到显著缓解（利空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A </w:t>
      </w:r>
      <w:r>
        <w:rPr>
          <w:spacing w:val="5"/>
        </w:rPr>
        <w:t>股</w:t>
      </w:r>
      <w:r>
        <w:rPr>
          <w:spacing w:val="-17"/>
        </w:rPr>
        <w:t>），</w:t>
      </w:r>
      <w:r>
        <w:rPr>
          <w:spacing w:val="5"/>
        </w:rPr>
        <w:t>美国高通胀率高</w:t>
      </w:r>
      <w:r>
        <w:rPr>
          <w:spacing w:val="4"/>
        </w:rPr>
        <w:t>点回落（利</w:t>
      </w:r>
      <w:r>
        <w:t xml:space="preserve"> </w:t>
      </w:r>
      <w:r>
        <w:rPr>
          <w:spacing w:val="9"/>
        </w:rPr>
        <w:t>多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A </w:t>
      </w:r>
      <w:r>
        <w:rPr>
          <w:spacing w:val="9"/>
        </w:rPr>
        <w:t>股）、中国居民储蓄率下行（利多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A </w:t>
      </w:r>
      <w:r>
        <w:rPr>
          <w:spacing w:val="9"/>
        </w:rPr>
        <w:t>股）、政府财政进一步扩</w:t>
      </w:r>
      <w:r>
        <w:rPr>
          <w:spacing w:val="8"/>
        </w:rPr>
        <w:t>张存</w:t>
      </w:r>
      <w:r>
        <w:t xml:space="preserve"> </w:t>
      </w:r>
      <w:r>
        <w:rPr>
          <w:spacing w:val="6"/>
        </w:rPr>
        <w:t>在一定压力（利空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A </w:t>
      </w:r>
      <w:r>
        <w:rPr>
          <w:spacing w:val="6"/>
        </w:rPr>
        <w:t>股）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”</w:t>
      </w:r>
      <w:r>
        <w:rPr>
          <w:spacing w:val="6"/>
        </w:rPr>
        <w:t>的背景下，多指标择时体系认为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2024 </w:t>
      </w:r>
      <w:r>
        <w:rPr>
          <w:spacing w:val="6"/>
        </w:rPr>
        <w:t>年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A </w:t>
      </w:r>
      <w:r>
        <w:rPr>
          <w:spacing w:val="6"/>
        </w:rPr>
        <w:t>股</w:t>
      </w:r>
      <w:r>
        <w:t xml:space="preserve"> </w:t>
      </w:r>
      <w:r>
        <w:rPr>
          <w:spacing w:val="6"/>
        </w:rPr>
        <w:t>收益为正的概率较高。</w:t>
      </w:r>
    </w:p>
    <w:p>
      <w:pPr>
        <w:pStyle w:val="BodyText"/>
        <w:spacing w:before="93" w:line="225" w:lineRule="auto"/>
        <w:ind w:left="4673"/>
      </w:pPr>
      <w:r>
        <w:pict>
          <v:shape id="_x0000_s1029" type="#_x0000_t202" style="width:182.7pt;height:188.05pt;margin-top:2.47pt;margin-left:37.48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1" w:lineRule="auto"/>
                    <w:ind w:left="29"/>
                  </w:pPr>
                  <w:r>
                    <w:rPr>
                      <w:color w:val="A7001D"/>
                      <w:spacing w:val="9"/>
                      <w14:textOutline w14:w="3614">
                        <w14:solidFill>
                          <w14:srgbClr w14:val="A7001D"/>
                        </w14:solidFill>
                        <w14:prstDash w14:val="solid"/>
                        <w14:miter w14:lim="10"/>
                      </w14:textOutline>
                    </w:rPr>
                    <w:t>相关研究报告</w:t>
                  </w:r>
                </w:p>
                <w:p>
                  <w:pPr>
                    <w:pStyle w:val="BodyText"/>
                    <w:spacing w:before="16" w:line="21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《中银量化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 xml:space="preserve">2024  </w:t>
                  </w:r>
                  <w:r>
                    <w:rPr>
                      <w:sz w:val="18"/>
                      <w:szCs w:val="18"/>
                      <w14:textOutline w14:w="326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年度策略》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</w:rPr>
                    <w:t>20231222</w:t>
                  </w:r>
                </w:p>
                <w:p>
                  <w:pPr>
                    <w:pStyle w:val="BodyText"/>
                    <w:spacing w:before="250" w:line="229" w:lineRule="auto"/>
                    <w:ind w:left="51"/>
                  </w:pPr>
                  <w:r>
                    <w:rPr>
                      <w:spacing w:val="8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中银国际证券股份有限公司</w:t>
                  </w:r>
                </w:p>
                <w:p>
                  <w:pPr>
                    <w:pStyle w:val="BodyText"/>
                    <w:spacing w:line="226" w:lineRule="auto"/>
                    <w:ind w:left="30"/>
                  </w:pPr>
                  <w:r>
                    <w:rPr>
                      <w:spacing w:val="9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具备证券投资咨询业务资格</w:t>
                  </w:r>
                </w:p>
                <w:p>
                  <w:pPr>
                    <w:pStyle w:val="BodyText"/>
                    <w:spacing w:before="100" w:line="231" w:lineRule="auto"/>
                    <w:ind w:left="20"/>
                  </w:pPr>
                  <w:r>
                    <w:rPr>
                      <w:spacing w:val="11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金融工程</w:t>
                  </w:r>
                </w:p>
                <w:p>
                  <w:pPr>
                    <w:pStyle w:val="BodyText"/>
                    <w:spacing w:before="156" w:line="239" w:lineRule="auto"/>
                    <w:ind w:left="26"/>
                  </w:pPr>
                  <w:r>
                    <w:rPr>
                      <w:spacing w:val="7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证券分析师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7"/>
                    </w:rPr>
                    <w:t xml:space="preserve">:  </w:t>
                  </w:r>
                  <w:r>
                    <w:rPr>
                      <w:spacing w:val="7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郭策</w:t>
                  </w:r>
                </w:p>
                <w:p>
                  <w:pPr>
                    <w:spacing w:before="21" w:line="190" w:lineRule="auto"/>
                    <w:ind w:left="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(8610)66229081</w:t>
                  </w:r>
                </w:p>
                <w:p>
                  <w:pPr>
                    <w:spacing w:before="42" w:line="190" w:lineRule="auto"/>
                    <w:ind w:left="2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ce.gou@bocichina.com</w:t>
                  </w:r>
                </w:p>
                <w:p>
                  <w:pPr>
                    <w:pStyle w:val="BodyText"/>
                    <w:spacing w:before="33" w:line="217" w:lineRule="auto"/>
                    <w:ind w:left="2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>证券投资咨询业务证书编号：</w:t>
                  </w:r>
                  <w:r>
                    <w:rPr>
                      <w:spacing w:val="47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18"/>
                      <w:szCs w:val="18"/>
                    </w:rPr>
                    <w:t>S130052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18"/>
                      <w:szCs w:val="18"/>
                    </w:rPr>
                    <w:t>2080002</w:t>
                  </w:r>
                </w:p>
                <w:p>
                  <w:pPr>
                    <w:pStyle w:val="BodyText"/>
                    <w:spacing w:before="257" w:line="224" w:lineRule="auto"/>
                    <w:ind w:left="26"/>
                  </w:pPr>
                  <w:r>
                    <w:rPr>
                      <w:spacing w:val="9"/>
                      <w14:textOutline w14:w="361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联系人：杨依晨</w:t>
                  </w:r>
                </w:p>
                <w:p>
                  <w:pPr>
                    <w:spacing w:before="37" w:line="190" w:lineRule="auto"/>
                    <w:ind w:left="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(8610)83949526</w:t>
                  </w:r>
                </w:p>
                <w:p>
                  <w:pPr>
                    <w:spacing w:before="42" w:line="190" w:lineRule="auto"/>
                    <w:ind w:left="21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yichen.yang@bocichina.com</w:t>
                  </w:r>
                </w:p>
                <w:p>
                  <w:pPr>
                    <w:pStyle w:val="BodyText"/>
                    <w:spacing w:before="35" w:line="226" w:lineRule="auto"/>
                    <w:ind w:left="3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7"/>
                    </w:rPr>
                    <w:t>一般证券业务证书编号：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S1300123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050021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b/>
          <w:bCs/>
          <w:color w:val="A50021"/>
          <w:spacing w:val="7"/>
        </w:rPr>
        <w:t xml:space="preserve">2024 </w:t>
      </w:r>
      <w:r>
        <w:rPr>
          <w:color w:val="A50021"/>
          <w:spacing w:val="7"/>
          <w14:textOutline w14:w="3614">
            <w14:solidFill>
              <w14:srgbClr w14:val="A50021"/>
            </w14:solidFill>
            <w14:prstDash w14:val="solid"/>
            <w14:miter w14:lim="10"/>
          </w14:textOutline>
        </w:rPr>
        <w:t>年固收市场展望：</w:t>
      </w:r>
    </w:p>
    <w:p>
      <w:pPr>
        <w:pStyle w:val="BodyText"/>
        <w:spacing w:before="92" w:line="235" w:lineRule="auto"/>
        <w:ind w:left="5033" w:right="587" w:hanging="351"/>
      </w:pPr>
      <w:r>
        <w:rPr>
          <w:rFonts w:ascii="Wingdings" w:eastAsia="Wingdings" w:hAnsi="Wingdings" w:cs="Wingdings"/>
          <w:color w:val="A7001D"/>
          <w:spacing w:val="4"/>
          <w:sz w:val="16"/>
          <w:szCs w:val="16"/>
        </w:rPr>
        <w:sym w:font="Wingdings" w:char="F06E"/>
      </w:r>
      <w:r>
        <w:rPr>
          <w:rFonts w:ascii="Wingdings" w:eastAsia="Wingdings" w:hAnsi="Wingdings" w:cs="Wingdings"/>
          <w:color w:val="A7001D"/>
          <w:spacing w:val="95"/>
          <w:sz w:val="16"/>
          <w:szCs w:val="16"/>
        </w:rPr>
        <w:t xml:space="preserve"> </w:t>
      </w:r>
      <w:r>
        <w:rPr>
          <w:spacing w:val="4"/>
        </w:rPr>
        <w:t>在</w:t>
      </w:r>
      <w:r>
        <w:rPr>
          <w:rFonts w:ascii="Times New Roman" w:eastAsia="Times New Roman" w:hAnsi="Times New Roman" w:cs="Times New Roman"/>
          <w:spacing w:val="4"/>
        </w:rPr>
        <w:t xml:space="preserve">“24 </w:t>
      </w:r>
      <w:r>
        <w:rPr>
          <w:spacing w:val="4"/>
        </w:rPr>
        <w:t>年美联储降息预期（利多债市</w:t>
      </w:r>
      <w:r>
        <w:rPr>
          <w:spacing w:val="-20"/>
        </w:rPr>
        <w:t>），</w:t>
      </w:r>
      <w:r>
        <w:rPr>
          <w:spacing w:val="4"/>
        </w:rPr>
        <w:t>中国通胀适度上行（利空债市</w:t>
      </w:r>
      <w:r>
        <w:rPr>
          <w:spacing w:val="-20"/>
        </w:rPr>
        <w:t>），</w:t>
      </w:r>
      <w:r>
        <w:t xml:space="preserve"> </w:t>
      </w:r>
      <w:r>
        <w:rPr>
          <w:spacing w:val="3"/>
        </w:rPr>
        <w:t>国内经济专注高质量发展（中性）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”</w:t>
      </w:r>
      <w:r>
        <w:rPr>
          <w:spacing w:val="3"/>
        </w:rPr>
        <w:t>的背景下，</w:t>
      </w:r>
      <w:r>
        <w:rPr>
          <w:spacing w:val="3"/>
        </w:rPr>
        <w:t xml:space="preserve"> </w:t>
      </w:r>
      <w:r>
        <w:rPr>
          <w:spacing w:val="3"/>
        </w:rPr>
        <w:t>预期固收资产将维持区间</w:t>
      </w:r>
      <w:r>
        <w:rPr>
          <w:spacing w:val="17"/>
        </w:rPr>
        <w:t xml:space="preserve"> </w:t>
      </w:r>
      <w:r>
        <w:rPr>
          <w:spacing w:val="5"/>
        </w:rPr>
        <w:t>震荡，</w:t>
      </w:r>
      <w:r>
        <w:rPr>
          <w:spacing w:val="5"/>
        </w:rPr>
        <w:t xml:space="preserve"> </w:t>
      </w:r>
      <w:r>
        <w:rPr>
          <w:spacing w:val="5"/>
        </w:rPr>
        <w:t>全年收益率在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3%</w:t>
      </w:r>
      <w:r>
        <w:rPr>
          <w:spacing w:val="5"/>
        </w:rPr>
        <w:t>至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4%</w:t>
      </w:r>
      <w:r>
        <w:rPr>
          <w:spacing w:val="5"/>
        </w:rPr>
        <w:t>之间波动，大牛市和大熊市均较难预期。</w:t>
      </w:r>
    </w:p>
    <w:p>
      <w:pPr>
        <w:pStyle w:val="BodyText"/>
        <w:spacing w:before="99" w:line="224" w:lineRule="auto"/>
        <w:ind w:left="4685"/>
      </w:pPr>
      <w:r>
        <w:rPr>
          <w:color w:val="A50021"/>
          <w:spacing w:val="7"/>
          <w14:textOutline w14:w="3614">
            <w14:solidFill>
              <w14:srgbClr w14:val="A50021"/>
            </w14:solidFill>
            <w14:prstDash w14:val="solid"/>
            <w14:miter w14:lim="10"/>
          </w14:textOutline>
        </w:rPr>
        <w:t>资产配置回测分析与</w:t>
      </w:r>
      <w:r>
        <w:rPr>
          <w:color w:val="A50021"/>
          <w:spacing w:val="-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A50021"/>
          <w:spacing w:val="7"/>
        </w:rPr>
        <w:t xml:space="preserve">2024 </w:t>
      </w:r>
      <w:r>
        <w:rPr>
          <w:color w:val="A50021"/>
          <w:spacing w:val="7"/>
          <w14:textOutline w14:w="3614">
            <w14:solidFill>
              <w14:srgbClr w14:val="A50021"/>
            </w14:solidFill>
            <w14:prstDash w14:val="solid"/>
            <w14:miter w14:lim="10"/>
          </w14:textOutline>
        </w:rPr>
        <w:t>年仓位建议：</w:t>
      </w:r>
    </w:p>
    <w:p>
      <w:pPr>
        <w:pStyle w:val="BodyText"/>
        <w:spacing w:before="95" w:line="235" w:lineRule="auto"/>
        <w:ind w:left="5031" w:right="586" w:hanging="349"/>
      </w:pPr>
      <w:r>
        <w:rPr>
          <w:rFonts w:ascii="Wingdings" w:eastAsia="Wingdings" w:hAnsi="Wingdings" w:cs="Wingdings"/>
          <w:color w:val="A7001D"/>
          <w:spacing w:val="4"/>
          <w:sz w:val="16"/>
          <w:szCs w:val="16"/>
        </w:rPr>
        <w:sym w:font="Wingdings" w:char="F06E"/>
      </w:r>
      <w:r>
        <w:rPr>
          <w:rFonts w:ascii="Wingdings" w:eastAsia="Wingdings" w:hAnsi="Wingdings" w:cs="Wingdings"/>
          <w:color w:val="A7001D"/>
          <w:spacing w:val="103"/>
          <w:sz w:val="16"/>
          <w:szCs w:val="16"/>
        </w:rPr>
        <w:t xml:space="preserve"> </w:t>
      </w:r>
      <w:r>
        <w:rPr>
          <w:spacing w:val="4"/>
        </w:rPr>
        <w:t>权益的波动较固收资产显著剧烈，</w:t>
      </w:r>
      <w:r>
        <w:rPr>
          <w:spacing w:val="4"/>
        </w:rPr>
        <w:t xml:space="preserve"> </w:t>
      </w:r>
      <w:r>
        <w:rPr>
          <w:spacing w:val="4"/>
        </w:rPr>
        <w:t>本报告基于</w:t>
      </w:r>
      <w:r>
        <w:rPr>
          <w:rFonts w:ascii="Times New Roman" w:eastAsia="Times New Roman" w:hAnsi="Times New Roman" w:cs="Times New Roman"/>
          <w:spacing w:val="4"/>
        </w:rPr>
        <w:t>“</w:t>
      </w:r>
      <w:r>
        <w:rPr>
          <w:spacing w:val="4"/>
        </w:rPr>
        <w:t>权益资产为主导性仓位，</w:t>
      </w:r>
      <w:r>
        <w:t xml:space="preserve"> </w:t>
      </w:r>
      <w:r>
        <w:rPr>
          <w:spacing w:val="9"/>
        </w:rPr>
        <w:t>固收类资产为被动性配置仓位</w:t>
      </w:r>
      <w:r>
        <w:rPr>
          <w:rFonts w:ascii="Times New Roman" w:eastAsia="Times New Roman" w:hAnsi="Times New Roman" w:cs="Times New Roman"/>
          <w:spacing w:val="9"/>
        </w:rPr>
        <w:t>”</w:t>
      </w:r>
      <w:r>
        <w:rPr>
          <w:spacing w:val="9"/>
        </w:rPr>
        <w:t>原则构建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4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8"/>
        </w:rPr>
        <w:t>类不同风险偏好的组合，权益</w:t>
      </w:r>
      <w:r>
        <w:t xml:space="preserve"> </w:t>
      </w:r>
      <w:r>
        <w:rPr>
          <w:spacing w:val="7"/>
        </w:rPr>
        <w:t>基准仓位从</w:t>
      </w:r>
      <w:r>
        <w:rPr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10%</w:t>
      </w:r>
      <w:r>
        <w:rPr>
          <w:spacing w:val="7"/>
        </w:rPr>
        <w:t>递增至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40%</w:t>
      </w:r>
      <w:r>
        <w:rPr>
          <w:spacing w:val="7"/>
        </w:rPr>
        <w:t>。在不同风险偏好特征组合中，引入</w:t>
      </w:r>
      <w:r>
        <w:rPr>
          <w:rFonts w:ascii="Times New Roman" w:eastAsia="Times New Roman" w:hAnsi="Times New Roman" w:cs="Times New Roman"/>
          <w:spacing w:val="7"/>
        </w:rPr>
        <w:t>“</w:t>
      </w:r>
      <w:r>
        <w:rPr>
          <w:spacing w:val="7"/>
        </w:rPr>
        <w:t>权益择</w:t>
      </w:r>
      <w:r>
        <w:t xml:space="preserve"> </w:t>
      </w:r>
      <w:r>
        <w:rPr>
          <w:spacing w:val="8"/>
        </w:rPr>
        <w:t>时体系</w:t>
      </w:r>
      <w:r>
        <w:rPr>
          <w:rFonts w:ascii="Times New Roman" w:eastAsia="Times New Roman" w:hAnsi="Times New Roman" w:cs="Times New Roman"/>
          <w:spacing w:val="8"/>
        </w:rPr>
        <w:t>”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8"/>
        </w:rPr>
        <w:t>以增强组合的绝对收益能力，基于回测分析</w:t>
      </w:r>
      <w:r>
        <w:rPr>
          <w:spacing w:val="7"/>
        </w:rPr>
        <w:t>可知：</w:t>
      </w:r>
    </w:p>
    <w:p>
      <w:pPr>
        <w:pStyle w:val="BodyText"/>
        <w:spacing w:before="97" w:line="239" w:lineRule="auto"/>
        <w:ind w:left="5041" w:right="585" w:hanging="359"/>
      </w:pPr>
      <w:r>
        <w:rPr>
          <w:rFonts w:ascii="Wingdings" w:eastAsia="Wingdings" w:hAnsi="Wingdings" w:cs="Wingdings"/>
          <w:color w:val="A7001D"/>
          <w:spacing w:val="7"/>
          <w:sz w:val="16"/>
          <w:szCs w:val="16"/>
        </w:rPr>
        <w:sym w:font="Wingdings" w:char="F06E"/>
      </w:r>
      <w:r>
        <w:rPr>
          <w:rFonts w:ascii="Wingdings" w:eastAsia="Wingdings" w:hAnsi="Wingdings" w:cs="Wingdings"/>
          <w:color w:val="A7001D"/>
          <w:spacing w:val="9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2005 </w:t>
      </w:r>
      <w:r>
        <w:rPr>
          <w:spacing w:val="7"/>
        </w:rPr>
        <w:t>年至今：随着偏好的增加，四种股债组合</w:t>
      </w:r>
      <w:r>
        <w:rPr>
          <w:spacing w:val="6"/>
        </w:rPr>
        <w:t>年化复合收益率从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6.1%</w:t>
      </w:r>
      <w:r>
        <w:rPr>
          <w:spacing w:val="6"/>
        </w:rPr>
        <w:t>增</w:t>
      </w:r>
      <w:r>
        <w:t xml:space="preserve"> </w:t>
      </w:r>
      <w:r>
        <w:rPr>
          <w:spacing w:val="5"/>
        </w:rPr>
        <w:t>长至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12.1%</w:t>
      </w:r>
      <w:r>
        <w:rPr>
          <w:spacing w:val="5"/>
        </w:rPr>
        <w:t>，年度最大回撤从</w:t>
      </w:r>
      <w:r>
        <w:rPr>
          <w:rFonts w:ascii="Times New Roman" w:eastAsia="Times New Roman" w:hAnsi="Times New Roman" w:cs="Times New Roman"/>
          <w:spacing w:val="5"/>
        </w:rPr>
        <w:t>-3.1%</w:t>
      </w:r>
      <w:r>
        <w:rPr>
          <w:spacing w:val="5"/>
        </w:rPr>
        <w:t>扩大至</w:t>
      </w:r>
      <w:r>
        <w:rPr>
          <w:rFonts w:ascii="Times New Roman" w:eastAsia="Times New Roman" w:hAnsi="Times New Roman" w:cs="Times New Roman"/>
          <w:spacing w:val="5"/>
        </w:rPr>
        <w:t>-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12.6</w:t>
      </w:r>
      <w:r>
        <w:rPr>
          <w:rFonts w:ascii="Times New Roman" w:eastAsia="Times New Roman" w:hAnsi="Times New Roman" w:cs="Times New Roman"/>
          <w:spacing w:val="4"/>
        </w:rPr>
        <w:t>%</w:t>
      </w:r>
      <w:r>
        <w:rPr>
          <w:spacing w:val="4"/>
        </w:rPr>
        <w:t>；</w:t>
      </w:r>
    </w:p>
    <w:p>
      <w:pPr>
        <w:pStyle w:val="BodyText"/>
        <w:spacing w:before="83" w:line="235" w:lineRule="auto"/>
        <w:ind w:left="5032" w:right="576" w:hanging="350"/>
      </w:pPr>
      <w:r>
        <w:rPr>
          <w:rFonts w:ascii="Wingdings" w:eastAsia="Wingdings" w:hAnsi="Wingdings" w:cs="Wingdings"/>
          <w:color w:val="A7001D"/>
          <w:spacing w:val="8"/>
          <w:sz w:val="16"/>
          <w:szCs w:val="16"/>
        </w:rPr>
        <w:sym w:font="Wingdings" w:char="F06E"/>
      </w:r>
      <w:r>
        <w:rPr>
          <w:rFonts w:ascii="Wingdings" w:eastAsia="Wingdings" w:hAnsi="Wingdings" w:cs="Wingdings"/>
          <w:color w:val="A7001D"/>
          <w:spacing w:val="9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2019  </w:t>
      </w:r>
      <w:r>
        <w:rPr>
          <w:spacing w:val="8"/>
        </w:rPr>
        <w:t>年至今：随着风险偏好的增加，四</w:t>
      </w:r>
      <w:r>
        <w:rPr>
          <w:spacing w:val="7"/>
        </w:rPr>
        <w:t>种股债择时组合年化复合收益率</w:t>
      </w:r>
      <w:r>
        <w:t xml:space="preserve"> </w:t>
      </w:r>
      <w:r>
        <w:rPr>
          <w:spacing w:val="6"/>
        </w:rPr>
        <w:t>从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5.6%</w:t>
      </w:r>
      <w:r>
        <w:rPr>
          <w:spacing w:val="6"/>
        </w:rPr>
        <w:t>增加至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7.3%</w:t>
      </w:r>
      <w:r>
        <w:rPr>
          <w:spacing w:val="6"/>
        </w:rPr>
        <w:t>，年度最大回撤从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0%</w:t>
      </w:r>
      <w:r>
        <w:rPr>
          <w:spacing w:val="6"/>
        </w:rPr>
        <w:t>扩大至</w:t>
      </w:r>
      <w:r>
        <w:rPr>
          <w:rFonts w:ascii="Times New Roman" w:eastAsia="Times New Roman" w:hAnsi="Times New Roman" w:cs="Times New Roman"/>
          <w:spacing w:val="6"/>
        </w:rPr>
        <w:t>-0.1%</w:t>
      </w:r>
      <w:r>
        <w:rPr>
          <w:spacing w:val="6"/>
        </w:rPr>
        <w:t>，整体回撤可控。</w:t>
      </w:r>
      <w:r>
        <w:t xml:space="preserve"> </w:t>
      </w:r>
      <w:r>
        <w:rPr>
          <w:spacing w:val="8"/>
        </w:rPr>
        <w:t>由于近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5 </w:t>
      </w:r>
      <w:r>
        <w:rPr>
          <w:spacing w:val="8"/>
        </w:rPr>
        <w:t>年权益资产复合收益较弱，权益资产的波动显著小于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2019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年之</w:t>
      </w:r>
      <w:r>
        <w:t xml:space="preserve"> </w:t>
      </w:r>
      <w:r>
        <w:rPr>
          <w:spacing w:val="7"/>
        </w:rPr>
        <w:t>前，不同类型风险偏好的组合差异较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2019 </w:t>
      </w:r>
      <w:r>
        <w:rPr>
          <w:spacing w:val="7"/>
        </w:rPr>
        <w:t>年以前显著变小；</w:t>
      </w:r>
    </w:p>
    <w:p>
      <w:pPr>
        <w:pStyle w:val="BodyText"/>
        <w:spacing w:before="97" w:line="230" w:lineRule="auto"/>
        <w:ind w:left="5035" w:right="585" w:hanging="353"/>
      </w:pPr>
      <w:r>
        <w:rPr>
          <w:rFonts w:ascii="Wingdings" w:eastAsia="Wingdings" w:hAnsi="Wingdings" w:cs="Wingdings"/>
          <w:color w:val="A7001D"/>
          <w:spacing w:val="5"/>
          <w:sz w:val="16"/>
          <w:szCs w:val="16"/>
        </w:rPr>
        <w:sym w:font="Wingdings" w:char="F06E"/>
      </w:r>
      <w:r>
        <w:rPr>
          <w:rFonts w:ascii="Wingdings" w:eastAsia="Wingdings" w:hAnsi="Wingdings" w:cs="Wingdings"/>
          <w:color w:val="A7001D"/>
          <w:spacing w:val="9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</w:rPr>
        <w:t xml:space="preserve">2024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年组合推荐：</w:t>
      </w:r>
      <w:r>
        <w:rPr>
          <w:spacing w:val="5"/>
        </w:rPr>
        <w:t>如果想要将年度最大回撤控制在</w:t>
      </w:r>
      <w:r>
        <w:rPr>
          <w:rFonts w:ascii="Times New Roman" w:eastAsia="Times New Roman" w:hAnsi="Times New Roman" w:cs="Times New Roman"/>
          <w:spacing w:val="5"/>
        </w:rPr>
        <w:t>-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1%</w:t>
      </w:r>
      <w:r>
        <w:rPr>
          <w:spacing w:val="4"/>
        </w:rPr>
        <w:t>以内且获得不低于</w:t>
      </w:r>
      <w:r>
        <w:t xml:space="preserve"> </w:t>
      </w:r>
      <w:r>
        <w:rPr>
          <w:rFonts w:ascii="Times New Roman" w:eastAsia="Times New Roman" w:hAnsi="Times New Roman" w:cs="Times New Roman"/>
          <w:spacing w:val="6"/>
        </w:rPr>
        <w:t>5%</w:t>
      </w:r>
      <w:r>
        <w:rPr>
          <w:spacing w:val="6"/>
        </w:rPr>
        <w:t>的预期收益，我们推荐股债组合比例为（</w:t>
      </w:r>
      <w:r>
        <w:rPr>
          <w:rFonts w:ascii="Times New Roman" w:eastAsia="Times New Roman" w:hAnsi="Times New Roman" w:cs="Times New Roman"/>
          <w:spacing w:val="6"/>
        </w:rPr>
        <w:t>10%/9</w:t>
      </w:r>
      <w:r>
        <w:rPr>
          <w:rFonts w:ascii="Times New Roman" w:eastAsia="Times New Roman" w:hAnsi="Times New Roman" w:cs="Times New Roman"/>
          <w:spacing w:val="5"/>
        </w:rPr>
        <w:t>0%</w:t>
      </w:r>
      <w:r>
        <w:rPr>
          <w:spacing w:val="5"/>
        </w:rPr>
        <w:t>）或者</w:t>
      </w:r>
      <w:r>
        <w:rPr>
          <w:rFonts w:ascii="Times New Roman" w:eastAsia="Times New Roman" w:hAnsi="Times New Roman" w:cs="Times New Roman"/>
          <w:spacing w:val="5"/>
        </w:rPr>
        <w:t>(20%/80%)</w:t>
      </w:r>
      <w:r>
        <w:rPr>
          <w:spacing w:val="5"/>
        </w:rPr>
        <w:t>，</w:t>
      </w:r>
    </w:p>
    <w:p>
      <w:pPr>
        <w:pStyle w:val="BodyText"/>
        <w:spacing w:before="20" w:line="271" w:lineRule="auto"/>
        <w:ind w:left="4682" w:right="1458" w:firstLine="350"/>
      </w:pPr>
      <w:r>
        <w:rPr>
          <w:spacing w:val="7"/>
        </w:rPr>
        <w:t>对应组合预期年度收益率约为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5%</w:t>
      </w:r>
      <w:r>
        <w:rPr>
          <w:spacing w:val="7"/>
        </w:rPr>
        <w:t>，最大回撤预期在</w:t>
      </w:r>
      <w:r>
        <w:rPr>
          <w:rFonts w:ascii="Times New Roman" w:eastAsia="Times New Roman" w:hAnsi="Times New Roman" w:cs="Times New Roman"/>
          <w:spacing w:val="7"/>
        </w:rPr>
        <w:t>-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1%</w:t>
      </w:r>
      <w:r>
        <w:rPr>
          <w:spacing w:val="6"/>
        </w:rPr>
        <w:t>以内。</w:t>
      </w:r>
      <w:r>
        <w:t xml:space="preserve"> </w:t>
      </w:r>
      <w:r>
        <w:rPr>
          <w:rFonts w:ascii="Wingdings" w:eastAsia="Wingdings" w:hAnsi="Wingdings" w:cs="Wingdings"/>
          <w:color w:val="A7001D"/>
          <w:spacing w:val="5"/>
          <w:sz w:val="16"/>
          <w:szCs w:val="16"/>
        </w:rPr>
        <w:sym w:font="Wingdings" w:char="F06E"/>
      </w:r>
      <w:r>
        <w:rPr>
          <w:rFonts w:ascii="Wingdings" w:eastAsia="Wingdings" w:hAnsi="Wingdings" w:cs="Wingdings"/>
          <w:color w:val="A7001D"/>
          <w:spacing w:val="96"/>
          <w:sz w:val="16"/>
          <w:szCs w:val="16"/>
        </w:rPr>
        <w:t xml:space="preserve"> 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风险提示：</w:t>
      </w:r>
      <w:r>
        <w:rPr>
          <w:spacing w:val="5"/>
        </w:rPr>
        <w:t xml:space="preserve"> </w:t>
      </w:r>
      <w:r>
        <w:rPr>
          <w:spacing w:val="5"/>
        </w:rPr>
        <w:t>投资者应注意基于历史数据建模的模</w:t>
      </w:r>
      <w:r>
        <w:rPr>
          <w:spacing w:val="4"/>
        </w:rPr>
        <w:t>型失效风险。</w:t>
      </w:r>
    </w:p>
    <w:p>
      <w:pPr>
        <w:spacing w:line="271" w:lineRule="auto"/>
        <w:sectPr>
          <w:headerReference w:type="default" r:id="rId5"/>
          <w:pgSz w:w="11907" w:h="16839"/>
          <w:pgMar w:top="1" w:right="0" w:bottom="0" w:left="0" w:header="0" w:footer="0" w:gutter="0"/>
          <w:cols w:space="708"/>
        </w:sectPr>
      </w:pPr>
    </w:p>
    <w:p>
      <w:pPr>
        <w:spacing w:before="110" w:line="861" w:lineRule="exact"/>
      </w:pPr>
      <w:r>
        <w:pict>
          <v:shape id="_x0000_s1030" style="width:514.35pt;height:1pt;margin-top:806.98pt;margin-left:45.72pt;mso-position-horizontal-relative:page;mso-position-vertical-relative:page;position:absolute;z-index:251660288" coordorigin="0,0" coordsize="10286,20" o:allowincell="f" path="m,19l1999,19l1999,l,l,19xem1999,19l2018,19l2018,l1999,l1999,19xem2018,19l8286,19l8286,l2018,l2018,19xem8286,19l8305,19l8305,l8286,l8286,19xem8305,19l10286,19l10286,l8305,l8305,19xe" filled="t" fillcolor="#a7001d" stroked="f"/>
        </w:pict>
      </w:r>
      <w:r>
        <w:rPr>
          <w:position w:val="-17"/>
        </w:rPr>
        <w:drawing>
          <wp:inline distT="0" distB="0" distL="0" distR="0">
            <wp:extent cx="6524879" cy="54673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24879" cy="546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5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48"/>
          <w:szCs w:val="48"/>
        </w:rPr>
        <w:id w:val="36231094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pStyle w:val="BodyText"/>
            <w:spacing w:before="156" w:line="219" w:lineRule="auto"/>
            <w:ind w:left="4781"/>
            <w:rPr>
              <w:sz w:val="48"/>
              <w:szCs w:val="48"/>
            </w:rPr>
          </w:pPr>
          <w:r>
            <w:rPr>
              <w:color w:val="A7001D"/>
              <w:spacing w:val="-31"/>
              <w:sz w:val="48"/>
              <w:szCs w:val="48"/>
              <w14:textOutline w14:w="8708">
                <w14:solidFill>
                  <w14:srgbClr w14:val="A7001D"/>
                </w14:solidFill>
                <w14:prstDash w14:val="solid"/>
                <w14:miter w14:lim="10"/>
              </w14:textOutline>
            </w:rPr>
            <w:t>目录</w:t>
          </w:r>
        </w:p>
        <w:p>
          <w:pPr>
            <w:pStyle w:val="BodyText"/>
            <w:tabs>
              <w:tab w:val="right" w:leader="dot" w:pos="10273"/>
            </w:tabs>
            <w:spacing w:before="309" w:line="232" w:lineRule="auto"/>
            <w:ind w:left="1422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spacing w:val="-2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一、</w:t>
          </w:r>
          <w:r>
            <w:rPr>
              <w:spacing w:val="88"/>
              <w:sz w:val="28"/>
              <w:szCs w:val="28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8"/>
              <w:szCs w:val="28"/>
            </w:rPr>
            <w:t xml:space="preserve">2024 </w:t>
          </w:r>
          <w:r>
            <w:rPr>
              <w:spacing w:val="-2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年权益市场研判</w:t>
          </w:r>
          <w:r>
            <w:rPr>
              <w:sz w:val="28"/>
              <w:szCs w:val="28"/>
            </w:rPr>
            <w:tab/>
          </w:r>
          <w:r>
            <w:rPr>
              <w:spacing w:val="-93"/>
              <w:sz w:val="28"/>
              <w:szCs w:val="28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243" w:line="226" w:lineRule="auto"/>
            <w:ind w:left="2056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（一）当前</w:t>
          </w:r>
          <w:r>
            <w:rPr>
              <w:spacing w:val="-3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 xml:space="preserve">A </w:t>
          </w:r>
          <w:r>
            <w:rPr>
              <w:spacing w:val="7"/>
            </w:rPr>
            <w:t>股低估值利好预期收益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52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1"/>
              </w:rPr>
              <w:t>4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87" w:line="224" w:lineRule="auto"/>
            <w:ind w:left="2056"/>
            <w:rPr>
              <w:rFonts w:ascii="Times New Roman" w:eastAsia="Times New Roman" w:hAnsi="Times New Roman" w:cs="Times New Roman"/>
            </w:rPr>
          </w:pPr>
          <w:r>
            <w:rPr>
              <w:spacing w:val="8"/>
            </w:rPr>
            <w:t>（二）基于宏观基本面的权益择时体系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</w:rPr>
              <w:t>5</w:t>
            </w:r>
          </w:hyperlink>
        </w:p>
        <w:p>
          <w:pPr>
            <w:pStyle w:val="BodyText"/>
            <w:tabs>
              <w:tab w:val="right" w:leader="dot" w:pos="10273"/>
            </w:tabs>
            <w:spacing w:before="277" w:line="233" w:lineRule="auto"/>
            <w:ind w:left="1419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spacing w:val="-14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二、</w:t>
          </w:r>
          <w:r>
            <w:rPr>
              <w:spacing w:val="32"/>
              <w:sz w:val="28"/>
              <w:szCs w:val="28"/>
            </w:rPr>
            <w:t xml:space="preserve">  </w:t>
          </w:r>
          <w:r>
            <w:rPr>
              <w:spacing w:val="-14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固定收益市场研判</w:t>
          </w:r>
          <w:r>
            <w:rPr>
              <w:sz w:val="28"/>
              <w:szCs w:val="28"/>
            </w:rPr>
            <w:tab/>
          </w:r>
          <w:r>
            <w:rPr>
              <w:spacing w:val="-83"/>
              <w:sz w:val="28"/>
              <w:szCs w:val="28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8"/>
                <w:szCs w:val="28"/>
              </w:rPr>
              <w:t>10</w:t>
            </w:r>
          </w:hyperlink>
        </w:p>
        <w:p>
          <w:pPr>
            <w:pStyle w:val="BodyText"/>
            <w:tabs>
              <w:tab w:val="right" w:leader="dot" w:pos="10273"/>
            </w:tabs>
            <w:spacing w:before="250" w:line="232" w:lineRule="auto"/>
            <w:ind w:left="1413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spacing w:val="-9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三、</w:t>
          </w:r>
          <w:r>
            <w:rPr>
              <w:spacing w:val="15"/>
              <w:sz w:val="28"/>
              <w:szCs w:val="28"/>
            </w:rPr>
            <w:t xml:space="preserve">  </w:t>
          </w:r>
          <w:r>
            <w:rPr>
              <w:spacing w:val="-9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股债组合构建与分析</w:t>
          </w:r>
          <w:r>
            <w:rPr>
              <w:sz w:val="28"/>
              <w:szCs w:val="28"/>
            </w:rPr>
            <w:tab/>
          </w:r>
          <w:r>
            <w:rPr>
              <w:spacing w:val="-67"/>
              <w:sz w:val="28"/>
              <w:szCs w:val="28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28"/>
                <w:szCs w:val="28"/>
              </w:rPr>
              <w:t>11</w:t>
            </w:r>
          </w:hyperlink>
        </w:p>
        <w:p>
          <w:pPr>
            <w:pStyle w:val="BodyText"/>
            <w:tabs>
              <w:tab w:val="right" w:leader="dot" w:pos="10271"/>
            </w:tabs>
            <w:spacing w:before="241" w:line="228" w:lineRule="auto"/>
            <w:ind w:left="2056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（一）基准组合构建</w:t>
          </w:r>
          <w:r>
            <w:rPr>
              <w:spacing w:val="-80"/>
            </w:rPr>
            <w:t xml:space="preserve"> </w:t>
          </w:r>
          <w:r>
            <w:tab/>
          </w:r>
          <w:r>
            <w:rPr>
              <w:spacing w:val="-22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6"/>
              </w:rPr>
              <w:t>11</w:t>
            </w:r>
          </w:hyperlink>
        </w:p>
        <w:p>
          <w:pPr>
            <w:pStyle w:val="BodyText"/>
            <w:tabs>
              <w:tab w:val="right" w:leader="dot" w:pos="10271"/>
            </w:tabs>
            <w:spacing w:before="87" w:line="224" w:lineRule="auto"/>
            <w:ind w:left="2056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（二）</w:t>
          </w:r>
          <w:r>
            <w:rPr>
              <w:spacing w:val="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>“</w:t>
          </w:r>
          <w:r>
            <w:rPr>
              <w:spacing w:val="1"/>
            </w:rPr>
            <w:t>权益择时体系</w:t>
          </w:r>
          <w:r>
            <w:rPr>
              <w:rFonts w:ascii="Times New Roman" w:eastAsia="Times New Roman" w:hAnsi="Times New Roman" w:cs="Times New Roman"/>
              <w:spacing w:val="1"/>
            </w:rPr>
            <w:t>”</w:t>
          </w:r>
          <w:r>
            <w:rPr>
              <w:rFonts w:ascii="Times New Roman" w:eastAsia="Times New Roman" w:hAnsi="Times New Roman" w:cs="Times New Roman"/>
              <w:spacing w:val="-18"/>
            </w:rPr>
            <w:t xml:space="preserve"> </w:t>
          </w:r>
          <w:r>
            <w:rPr>
              <w:spacing w:val="1"/>
            </w:rPr>
            <w:t>的组合配置原则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22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6"/>
              </w:rPr>
              <w:t>11</w:t>
            </w:r>
          </w:hyperlink>
        </w:p>
        <w:p>
          <w:pPr>
            <w:pStyle w:val="BodyText"/>
            <w:tabs>
              <w:tab w:val="right" w:leader="dot" w:pos="10271"/>
            </w:tabs>
            <w:spacing w:before="89" w:line="224" w:lineRule="auto"/>
            <w:ind w:left="2056"/>
            <w:rPr>
              <w:rFonts w:ascii="Times New Roman" w:eastAsia="Times New Roman" w:hAnsi="Times New Roman" w:cs="Times New Roman"/>
            </w:rPr>
          </w:pPr>
          <w:r>
            <w:rPr>
              <w:spacing w:val="8"/>
            </w:rPr>
            <w:t>（三）不同风险偏好股债（择时）组合回溯测试</w:t>
          </w:r>
          <w:r>
            <w:rPr>
              <w:spacing w:val="-46"/>
            </w:rPr>
            <w:t xml:space="preserve"> </w:t>
          </w:r>
          <w:r>
            <w:tab/>
          </w:r>
          <w:r>
            <w:rPr>
              <w:spacing w:val="-22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6"/>
              </w:rPr>
              <w:t>11</w:t>
            </w:r>
          </w:hyperlink>
        </w:p>
        <w:p>
          <w:pPr>
            <w:pStyle w:val="BodyText"/>
            <w:tabs>
              <w:tab w:val="right" w:leader="dot" w:pos="10273"/>
            </w:tabs>
            <w:spacing w:before="277" w:line="237" w:lineRule="auto"/>
            <w:ind w:left="1413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spacing w:val="-1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风险提示</w:t>
          </w:r>
          <w:r>
            <w:rPr>
              <w:spacing w:val="-85"/>
              <w:sz w:val="28"/>
              <w:szCs w:val="28"/>
            </w:rPr>
            <w:t xml:space="preserve"> </w:t>
          </w:r>
          <w:r>
            <w:rPr>
              <w:sz w:val="28"/>
              <w:szCs w:val="28"/>
            </w:rPr>
            <w:tab/>
          </w:r>
          <w:r>
            <w:rPr>
              <w:spacing w:val="-83"/>
              <w:sz w:val="28"/>
              <w:szCs w:val="28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8"/>
                <w:szCs w:val="28"/>
              </w:rPr>
              <w:t>13</w:t>
            </w:r>
          </w:hyperlink>
        </w:p>
      </w:sdtContent>
    </w:sdt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headerReference w:type="default" r:id="rId7"/>
          <w:pgSz w:w="11907" w:h="16839"/>
          <w:pgMar w:top="400" w:right="705" w:bottom="0" w:left="906" w:header="0" w:footer="0" w:gutter="0"/>
          <w:pgNumType w:start="2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62" w:line="224" w:lineRule="auto"/>
        <w:ind w:left="1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5"/>
        </w:rPr>
        <w:t xml:space="preserve">2024 </w:t>
      </w:r>
      <w:r>
        <w:rPr>
          <w:spacing w:val="5"/>
        </w:rPr>
        <w:t>年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5"/>
        </w:rPr>
        <w:t>月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29  </w:t>
      </w:r>
      <w:r>
        <w:rPr>
          <w:spacing w:val="5"/>
        </w:rPr>
        <w:t>日</w:t>
      </w:r>
      <w:r>
        <w:rPr>
          <w:spacing w:val="11"/>
        </w:rPr>
        <w:t xml:space="preserve">        </w:t>
      </w:r>
      <w:r>
        <w:rPr>
          <w:spacing w:val="5"/>
        </w:rPr>
        <w:t>基于“宏观预期”的权益择时系统与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2024 </w:t>
      </w:r>
      <w:r>
        <w:rPr>
          <w:spacing w:val="5"/>
        </w:rPr>
        <w:t>年股债组合构建展望</w:t>
      </w:r>
      <w:r>
        <w:rPr>
          <w:spacing w:val="5"/>
        </w:rPr>
        <w:t xml:space="preserve">                    </w:t>
      </w:r>
      <w:r>
        <w:rPr>
          <w:spacing w:val="4"/>
        </w:rPr>
        <w:t xml:space="preserve">  </w:t>
      </w:r>
      <w:r>
        <w:rPr>
          <w:rFonts w:ascii="Times New Roman" w:eastAsia="Times New Roman" w:hAnsi="Times New Roman" w:cs="Times New Roman"/>
          <w:spacing w:val="4"/>
        </w:rPr>
        <w:t>2</w:t>
      </w:r>
    </w:p>
    <w:p>
      <w:pPr>
        <w:spacing w:line="224" w:lineRule="auto"/>
        <w:rPr>
          <w:rFonts w:ascii="Times New Roman" w:eastAsia="Times New Roman" w:hAnsi="Times New Roman" w:cs="Times New Roman"/>
        </w:rPr>
        <w:sectPr>
          <w:headerReference w:type="default" r:id="rId8"/>
          <w:type w:val="nextPage"/>
          <w:pgSz w:w="11907" w:h="16839"/>
          <w:pgMar w:top="400" w:right="705" w:bottom="0" w:left="906" w:header="0" w:footer="0" w:gutter="0"/>
          <w:pgNumType w:start="3"/>
          <w:cols w:space="708"/>
          <w:titlePg w:val="0"/>
        </w:sectPr>
      </w:pPr>
    </w:p>
    <w:p>
      <w:pPr>
        <w:spacing w:before="110" w:line="861" w:lineRule="exact"/>
      </w:pPr>
      <w:r>
        <w:pict>
          <v:shape id="_x0000_s1031" style="width:514.35pt;height:1pt;margin-top:806.98pt;margin-left:45.72pt;mso-position-horizontal-relative:page;mso-position-vertical-relative:page;position:absolute;z-index:251661312" coordorigin="0,0" coordsize="10286,20" o:allowincell="f" path="m,19l1999,19l1999,l,l,19xem1999,19l2018,19l2018,l1999,l1999,19xem2018,19l8286,19l8286,l2018,l2018,19xem8286,19l8305,19l8305,l8286,l8286,19xem8305,19l10286,19l10286,l8305,l8305,19xe" filled="t" fillcolor="#a7001d" stroked="f"/>
        </w:pict>
      </w:r>
      <w:r>
        <w:rPr>
          <w:position w:val="-17"/>
        </w:rPr>
        <w:drawing>
          <wp:inline distT="0" distB="0" distL="0" distR="0">
            <wp:extent cx="6524879" cy="54673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24879" cy="546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156" w:line="219" w:lineRule="auto"/>
        <w:ind w:left="4253"/>
        <w:rPr>
          <w:sz w:val="48"/>
          <w:szCs w:val="48"/>
        </w:rPr>
      </w:pPr>
      <w:r>
        <w:rPr>
          <w:color w:val="A7001D"/>
          <w:spacing w:val="-14"/>
          <w:sz w:val="48"/>
          <w:szCs w:val="48"/>
          <w14:textOutline w14:w="8708">
            <w14:solidFill>
              <w14:srgbClr w14:val="A7001D"/>
            </w14:solidFill>
            <w14:prstDash w14:val="solid"/>
            <w14:miter w14:lim="10"/>
          </w14:textOutline>
        </w:rPr>
        <w:t>图表目录</w:t>
      </w:r>
    </w:p>
    <w:p>
      <w:pPr>
        <w:pStyle w:val="BodyText"/>
        <w:spacing w:before="185" w:line="230" w:lineRule="auto"/>
        <w:ind w:right="21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 </w:t>
      </w:r>
      <w:r>
        <w:rPr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万得全</w:t>
      </w:r>
      <w:r>
        <w:rPr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 </w:t>
      </w:r>
      <w:r>
        <w:rPr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年度收益率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...................................................................................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......4</w:t>
      </w:r>
    </w:p>
    <w:sdt>
      <w:sdtPr>
        <w:rPr>
          <w:rFonts w:ascii="KaiTi" w:eastAsia="KaiTi" w:hAnsi="KaiTi" w:cs="KaiTi"/>
          <w:sz w:val="24"/>
          <w:szCs w:val="24"/>
        </w:rPr>
        <w:id w:val="64036750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pStyle w:val="BodyText"/>
            <w:tabs>
              <w:tab w:val="right" w:leader="dot" w:pos="10270"/>
            </w:tabs>
            <w:spacing w:before="71" w:line="213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34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4"/>
              <w:szCs w:val="24"/>
            </w:rPr>
            <w:t xml:space="preserve">2.  </w:t>
          </w: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万得全</w:t>
          </w:r>
          <w:r>
            <w:rPr>
              <w:spacing w:val="-5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4"/>
              <w:szCs w:val="24"/>
            </w:rPr>
            <w:t xml:space="preserve">A </w:t>
          </w: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估值倒数</w:t>
          </w:r>
          <w:r>
            <w:rPr>
              <w:spacing w:val="-48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4"/>
              <w:szCs w:val="24"/>
            </w:rPr>
            <w:t>ep(ttm)</w:t>
          </w: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与股指未来一年收益率</w:t>
          </w:r>
          <w:r>
            <w:rPr>
              <w:spacing w:val="-69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4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96" w:line="230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53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4"/>
              <w:szCs w:val="24"/>
            </w:rPr>
            <w:t xml:space="preserve">3.  </w:t>
          </w: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四个维度建模核心输入变量</w:t>
          </w:r>
          <w:r>
            <w:rPr>
              <w:sz w:val="24"/>
              <w:szCs w:val="24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5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70" w:line="230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51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4. IMF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对未来一年核心经济指标预测结果时间</w:t>
          </w: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序列</w:t>
          </w:r>
          <w:r>
            <w:rPr>
              <w:sz w:val="24"/>
              <w:szCs w:val="24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6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72" w:line="230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49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5. IMF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预测宏观变量年度变动</w:t>
          </w:r>
          <w:r>
            <w:rPr>
              <w:spacing w:val="-1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vs 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万得全</w:t>
          </w:r>
          <w:r>
            <w:rPr>
              <w:spacing w:val="-56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>A</w:t>
          </w:r>
          <w:r>
            <w:rPr>
              <w:rFonts w:ascii="Times New Roman" w:eastAsia="Times New Roman" w:hAnsi="Times New Roman" w:cs="Times New Roman"/>
              <w:b/>
              <w:bCs/>
              <w:spacing w:val="20"/>
              <w:sz w:val="24"/>
              <w:szCs w:val="24"/>
            </w:rPr>
            <w:t xml:space="preserve">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未</w:t>
          </w: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来一年收益率相关性</w:t>
          </w:r>
          <w:r>
            <w:rPr>
              <w:spacing w:val="-58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6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73" w:line="232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37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4"/>
              <w:sz w:val="24"/>
              <w:szCs w:val="24"/>
            </w:rPr>
            <w:t>6. “6</w:t>
          </w:r>
          <w:r>
            <w:rPr>
              <w:rFonts w:ascii="Times New Roman" w:eastAsia="Times New Roman" w:hAnsi="Times New Roman" w:cs="Times New Roman"/>
              <w:b/>
              <w:bCs/>
              <w:spacing w:val="25"/>
              <w:w w:val="101"/>
              <w:sz w:val="24"/>
              <w:szCs w:val="24"/>
            </w:rPr>
            <w:t xml:space="preserve"> </w:t>
          </w:r>
          <w:r>
            <w:rPr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变量等权打分法</w:t>
          </w:r>
          <w:r>
            <w:rPr>
              <w:rFonts w:ascii="Times New Roman" w:eastAsia="Times New Roman" w:hAnsi="Times New Roman" w:cs="Times New Roman"/>
              <w:b/>
              <w:bCs/>
              <w:spacing w:val="-4"/>
              <w:sz w:val="24"/>
              <w:szCs w:val="24"/>
            </w:rPr>
            <w:t>”</w:t>
          </w:r>
          <w:r>
            <w:rPr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计算过程</w:t>
          </w:r>
          <w:r>
            <w:rPr>
              <w:sz w:val="24"/>
              <w:szCs w:val="24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7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71" w:line="231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37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4"/>
              <w:szCs w:val="24"/>
            </w:rPr>
            <w:t xml:space="preserve">7.  </w:t>
          </w:r>
          <w:r>
            <w:rPr>
              <w:spacing w:val="-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历年</w:t>
          </w:r>
          <w:r>
            <w:rPr>
              <w:spacing w:val="-55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4"/>
              <w:szCs w:val="24"/>
            </w:rPr>
            <w:t xml:space="preserve">A </w:t>
          </w:r>
          <w:r>
            <w:rPr>
              <w:spacing w:val="-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股择时分数与胜率</w:t>
          </w:r>
          <w:r>
            <w:rPr>
              <w:sz w:val="24"/>
              <w:szCs w:val="24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8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68" w:line="230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49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4"/>
              <w:szCs w:val="24"/>
            </w:rPr>
            <w:t xml:space="preserve">8.  </w:t>
          </w:r>
          <w:r>
            <w:rPr>
              <w:spacing w:val="-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权益择时策略净值</w:t>
          </w:r>
          <w:r>
            <w:rPr>
              <w:sz w:val="24"/>
              <w:szCs w:val="24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8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74" w:line="230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34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4"/>
              <w:szCs w:val="24"/>
            </w:rPr>
            <w:t xml:space="preserve">9.  </w:t>
          </w:r>
          <w:r>
            <w:rPr>
              <w:spacing w:val="-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权益择时策略累计超额净值</w:t>
          </w:r>
          <w:r>
            <w:rPr>
              <w:sz w:val="24"/>
              <w:szCs w:val="24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9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73" w:line="231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5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29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5"/>
              <w:sz w:val="24"/>
              <w:szCs w:val="24"/>
            </w:rPr>
            <w:t>10.</w:t>
          </w:r>
          <w:r>
            <w:rPr>
              <w:rFonts w:ascii="Times New Roman" w:eastAsia="Times New Roman" w:hAnsi="Times New Roman" w:cs="Times New Roman"/>
              <w:b/>
              <w:bCs/>
              <w:spacing w:val="19"/>
              <w:sz w:val="24"/>
              <w:szCs w:val="24"/>
            </w:rPr>
            <w:t xml:space="preserve">  </w:t>
          </w:r>
          <w:r>
            <w:rPr>
              <w:spacing w:val="-5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中债新综合财富指数年度收益率</w:t>
          </w:r>
          <w:r>
            <w:rPr>
              <w:sz w:val="24"/>
              <w:szCs w:val="24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10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70" w:line="229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38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2"/>
              <w:sz w:val="24"/>
              <w:szCs w:val="24"/>
            </w:rPr>
            <w:t xml:space="preserve">11.  </w:t>
          </w:r>
          <w:r>
            <w:rPr>
              <w:spacing w:val="-2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不同风险偏好股债组合的年度预测与收益统计</w:t>
          </w:r>
          <w:r>
            <w:rPr>
              <w:sz w:val="24"/>
              <w:szCs w:val="24"/>
            </w:rP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12</w:t>
            </w:r>
          </w:hyperlink>
        </w:p>
        <w:p>
          <w:pPr>
            <w:pStyle w:val="BodyText"/>
            <w:tabs>
              <w:tab w:val="right" w:leader="dot" w:pos="10270"/>
            </w:tabs>
            <w:spacing w:before="74" w:line="229" w:lineRule="auto"/>
            <w:ind w:left="174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spacing w:val="-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图表</w:t>
          </w:r>
          <w:r>
            <w:rPr>
              <w:spacing w:val="-23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4"/>
              <w:szCs w:val="24"/>
            </w:rPr>
            <w:t xml:space="preserve">12.  </w:t>
          </w:r>
          <w:r>
            <w:rPr>
              <w:spacing w:val="-3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不同风险偏好股债组合累计收益</w:t>
          </w:r>
          <w:r>
            <w:rPr>
              <w:sz w:val="24"/>
              <w:szCs w:val="24"/>
            </w:rP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12</w:t>
            </w:r>
          </w:hyperlink>
        </w:p>
      </w:sdtContent>
    </w:sdt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headerReference w:type="default" r:id="rId9"/>
          <w:pgSz w:w="11907" w:h="16839"/>
          <w:pgMar w:top="400" w:right="705" w:bottom="0" w:left="906" w:header="0" w:footer="0" w:gutter="0"/>
          <w:pgNumType w:start="4"/>
          <w:cols w:space="708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62" w:line="224" w:lineRule="auto"/>
        <w:ind w:left="1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5"/>
        </w:rPr>
        <w:t xml:space="preserve">2024 </w:t>
      </w:r>
      <w:r>
        <w:rPr>
          <w:spacing w:val="5"/>
        </w:rPr>
        <w:t>年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1</w:t>
      </w:r>
      <w:r>
        <w:rPr>
          <w:rFonts w:ascii="Times New Roman" w:eastAsia="Times New Roman" w:hAnsi="Times New Roman" w:cs="Times New Roman"/>
          <w:spacing w:val="18"/>
          <w:w w:val="102"/>
        </w:rPr>
        <w:t xml:space="preserve"> </w:t>
      </w:r>
      <w:r>
        <w:rPr>
          <w:spacing w:val="5"/>
        </w:rPr>
        <w:t>月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29  </w:t>
      </w:r>
      <w:r>
        <w:rPr>
          <w:spacing w:val="5"/>
        </w:rPr>
        <w:t>日</w:t>
      </w:r>
      <w:r>
        <w:rPr>
          <w:spacing w:val="11"/>
        </w:rPr>
        <w:t xml:space="preserve">        </w:t>
      </w:r>
      <w:r>
        <w:rPr>
          <w:spacing w:val="5"/>
        </w:rPr>
        <w:t>基于“宏观预期”的权益择时系统与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2024 </w:t>
      </w:r>
      <w:r>
        <w:rPr>
          <w:spacing w:val="5"/>
        </w:rPr>
        <w:t>年股债组合构建展望</w:t>
      </w:r>
      <w:r>
        <w:rPr>
          <w:spacing w:val="5"/>
        </w:rPr>
        <w:t xml:space="preserve">                      </w:t>
      </w:r>
      <w:r>
        <w:rPr>
          <w:rFonts w:ascii="Times New Roman" w:eastAsia="Times New Roman" w:hAnsi="Times New Roman" w:cs="Times New Roman"/>
          <w:spacing w:val="5"/>
        </w:rPr>
        <w:t>3</w:t>
      </w:r>
    </w:p>
    <w:p>
      <w:pPr>
        <w:spacing w:line="224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https://d.book118.com/825032330103011101</w:t>
        </w:r>
      </w:hyperlink>
    </w:p>
    <w:p>
      <w:pPr>
        <w:spacing w:line="224" w:lineRule="auto"/>
        <w:rPr>
          <w:rFonts w:ascii="Times New Roman" w:eastAsia="Times New Roman" w:hAnsi="Times New Roman" w:cs="Times New Roman"/>
        </w:rPr>
      </w:pPr>
    </w:p>
    <w:sectPr>
      <w:headerReference w:type="default" r:id="rId11"/>
      <w:type w:val="nextPage"/>
      <w:pgSz w:w="11907" w:h="16839"/>
      <w:pgMar w:top="400" w:right="705" w:bottom="0" w:left="906" w:header="0" w:footer="0" w:gutter="0"/>
      <w:pgNumType w:start="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9"/>
      <w:szCs w:val="19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5032330103011101" TargetMode="External" /><Relationship Id="rId11" Type="http://schemas.openxmlformats.org/officeDocument/2006/relationships/header" Target="header5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image" Target="media/image2.jpeg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2024-01-29T13:36:45Z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2024-01-29T14:47:38Z</vt:filetime>
  </property>
  <property fmtid="{D5CDD505-2E9C-101B-9397-08002B2CF9AE}" pid="3" name="CRO">
    <vt:lpwstr>wqlLaW5nc29mdCBQREYgdG8gV1BTIDkw</vt:lpwstr>
  </property>
</Properties>
</file>