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0"/>
        </w:rPr>
      </w:pPr>
    </w:p>
    <w:p>
      <w:pPr>
        <w:pStyle w:val="Title"/>
        <w:spacing w:line="960" w:lineRule="exact"/>
        <w:ind w:left="1040"/>
        <w:rPr>
          <w:rFonts w:ascii="幼圆" w:eastAsia="幼圆" w:hint="eastAsia"/>
        </w:rPr>
      </w:pPr>
      <w:r>
        <w:rPr>
          <w:rFonts w:ascii="幼圆" w:eastAsia="幼圆" w:hint="eastAsia"/>
        </w:rPr>
        <w:t>＃＃地产股份</w:t>
      </w:r>
    </w:p>
    <w:p>
      <w:pPr>
        <w:pStyle w:val="BodyText"/>
        <w:spacing w:before="8"/>
        <w:rPr>
          <w:rFonts w:ascii="幼圆"/>
          <w:b/>
          <w:sz w:val="104"/>
        </w:rPr>
      </w:pPr>
    </w:p>
    <w:p>
      <w:pPr>
        <w:pStyle w:val="Title"/>
        <w:spacing w:before="1"/>
        <w:ind w:right="1678"/>
        <w:jc w:val="center"/>
      </w:pPr>
      <w:r>
        <w:rPr>
          <w:w w:val="95"/>
        </w:rPr>
        <w:t>房地产行业薪酬调研报告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2"/>
        <w:rPr>
          <w:rFonts w:ascii="黑体"/>
          <w:b/>
          <w:sz w:val="2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4972050</wp:posOffset>
            </wp:positionH>
            <wp:positionV relativeFrom="paragraph">
              <wp:posOffset>238029</wp:posOffset>
            </wp:positionV>
            <wp:extent cx="1480012" cy="526732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012" cy="526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rFonts w:ascii="黑体"/>
          <w:b/>
          <w:sz w:val="86"/>
        </w:rPr>
      </w:pPr>
    </w:p>
    <w:p>
      <w:pPr>
        <w:spacing w:before="0"/>
        <w:ind w:left="0" w:right="1655" w:firstLine="0"/>
        <w:jc w:val="center"/>
        <w:rPr>
          <w:rFonts w:ascii="黑体" w:eastAsia="黑体" w:hint="eastAsia"/>
          <w:sz w:val="45"/>
        </w:rPr>
      </w:pPr>
      <w:r>
        <w:rPr>
          <w:rFonts w:ascii="黑体" w:eastAsia="黑体" w:hint="eastAsia"/>
          <w:sz w:val="45"/>
        </w:rPr>
        <w:t>北京华信治理参谋</w:t>
      </w:r>
    </w:p>
    <w:p>
      <w:pPr>
        <w:spacing w:after="0"/>
        <w:jc w:val="center"/>
        <w:rPr>
          <w:rFonts w:ascii="黑体" w:eastAsia="黑体" w:hint="eastAsia"/>
          <w:sz w:val="45"/>
        </w:rPr>
        <w:sectPr>
          <w:type w:val="continuous"/>
          <w:pgSz w:w="17860" w:h="25260"/>
          <w:pgMar w:top="2420" w:right="0" w:bottom="280" w:left="1660" w:header="708" w:footer="708"/>
          <w:cols w:space="708"/>
        </w:sectPr>
      </w:pPr>
    </w:p>
    <w:p>
      <w:pPr>
        <w:pStyle w:val="BodyText"/>
        <w:spacing w:line="40" w:lineRule="exact"/>
        <w:ind w:left="420"/>
        <w:rPr>
          <w:rFonts w:ascii="黑体"/>
          <w:sz w:val="4"/>
        </w:rPr>
      </w:pPr>
      <w:r>
        <w:rPr>
          <w:rFonts w:ascii="黑体"/>
          <w:position w:val="0"/>
          <w:sz w:val="4"/>
        </w:rPr>
        <w:pict>
          <v:group id="_x0000_i1025" style="width:679pt;height:2pt;mso-position-horizontal-relative:char;mso-position-vertical-relative:line" coordorigin="0,0" coordsize="13580,40">
            <v:line id="_x0000_s1026" style="position:absolute" from="0,20" to="1358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spacing w:before="12"/>
        <w:rPr>
          <w:rFonts w:ascii="黑体"/>
          <w:sz w:val="24"/>
        </w:rPr>
      </w:pPr>
    </w:p>
    <w:p>
      <w:pPr>
        <w:spacing w:before="62"/>
        <w:ind w:left="10532" w:right="0" w:firstLine="0"/>
        <w:jc w:val="left"/>
        <w:rPr>
          <w:sz w:val="27"/>
        </w:rPr>
      </w:pPr>
      <w:r>
        <w:pict>
          <v:line id="_x0000_s1027" style="mso-position-horizontal-relative:page;position:absolute;z-index:251659264" from="132pt,19.15pt" to="762pt,19.15pt" stroked="t" strokecolor="black" strokeweight="2pt">
            <v:stroke dashstyle="solid"/>
          </v:line>
        </w:pict>
      </w:r>
      <w:r>
        <w:rPr>
          <w:sz w:val="27"/>
        </w:rPr>
        <w:t>房地产行业薪酬调研报告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ind w:right="1570"/>
        <w:jc w:val="center"/>
      </w:pPr>
      <w:bookmarkStart w:id="0" w:name="_TOC_250007"/>
      <w:bookmarkEnd w:id="0"/>
      <w:r>
        <w:rPr>
          <w:w w:val="95"/>
        </w:rPr>
        <w:t>名目</w:t>
      </w:r>
    </w:p>
    <w:sdt>
      <w:sdtPr>
        <w:id w:val="108615826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leader="dot" w:pos="12289"/>
            </w:tabs>
            <w:spacing w:before="918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rPr>
              <w:w w:val="105"/>
            </w:rPr>
            <w:t>名目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</w:t>
          </w:r>
          <w:r>
            <w:fldChar w:fldCharType="end"/>
          </w:r>
        </w:p>
        <w:p>
          <w:pPr>
            <w:pStyle w:val="TOC1"/>
            <w:tabs>
              <w:tab w:val="left" w:leader="dot" w:pos="12289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房地产行业薪酬调查报告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</w:t>
          </w:r>
          <w:r>
            <w:fldChar w:fldCharType="end"/>
          </w:r>
        </w:p>
        <w:p>
          <w:pPr>
            <w:pStyle w:val="TOC2"/>
            <w:tabs>
              <w:tab w:val="left" w:pos="2930"/>
              <w:tab w:val="left" w:leader="dot" w:pos="13330"/>
            </w:tabs>
            <w:spacing w:before="251"/>
            <w:rPr>
              <w:rFonts w:ascii="Arial Narrow" w:eastAsia="Arial Narrow"/>
            </w:rPr>
          </w:pPr>
          <w:r>
            <w:rPr>
              <w:w w:val="105"/>
            </w:rPr>
            <w:t>第一节</w:t>
            <w:tab/>
            <w:t>报告摘要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</w:t>
          </w:r>
        </w:p>
        <w:p>
          <w:pPr>
            <w:pStyle w:val="TOC2"/>
            <w:tabs>
              <w:tab w:val="left" w:pos="2930"/>
              <w:tab w:val="left" w:leader="dot" w:pos="13330"/>
            </w:tabs>
            <w:rPr>
              <w:rFonts w:ascii="Arial Narrow" w:eastAsia="Arial Narrow"/>
            </w:rPr>
          </w:pPr>
          <w:r>
            <w:rPr>
              <w:w w:val="105"/>
            </w:rPr>
            <w:t>其次节</w:t>
            <w:tab/>
            <w:t>背景说明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4</w:t>
          </w:r>
        </w:p>
        <w:p>
          <w:pPr>
            <w:pStyle w:val="TOC3"/>
            <w:tabs>
              <w:tab w:val="left" w:pos="3561"/>
              <w:tab w:val="left" w:leader="dot" w:pos="13330"/>
            </w:tabs>
            <w:spacing w:before="70"/>
            <w:rPr>
              <w:rFonts w:ascii="Arial Narrow" w:eastAsia="Arial Narrow"/>
            </w:rPr>
          </w:pPr>
          <w:r>
            <w:rPr>
              <w:w w:val="105"/>
            </w:rPr>
            <w:t>一、</w:t>
            <w:tab/>
            <w:t>引言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4</w:t>
          </w:r>
        </w:p>
        <w:p>
          <w:pPr>
            <w:pStyle w:val="TOC3"/>
            <w:tabs>
              <w:tab w:val="left" w:pos="3561"/>
              <w:tab w:val="left" w:leader="dot" w:pos="13330"/>
            </w:tabs>
            <w:rPr>
              <w:rFonts w:ascii="Arial Narrow" w:eastAsia="Arial Narrow"/>
            </w:rPr>
          </w:pPr>
          <w:r>
            <w:rPr>
              <w:w w:val="105"/>
            </w:rPr>
            <w:t>二、</w:t>
            <w:tab/>
            <w:t>争论方法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4</w:t>
          </w:r>
        </w:p>
        <w:p>
          <w:pPr>
            <w:pStyle w:val="TOC3"/>
            <w:tabs>
              <w:tab w:val="left" w:pos="3561"/>
              <w:tab w:val="left" w:leader="dot" w:pos="13330"/>
            </w:tabs>
            <w:spacing w:before="72"/>
            <w:rPr>
              <w:rFonts w:ascii="Arial Narrow" w:eastAsia="Arial Narrow"/>
            </w:rPr>
          </w:pPr>
          <w:r>
            <w:t>三、</w:t>
            <w:tab/>
            <w:t>本争论所探讨的外部企业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5</w:t>
          </w:r>
        </w:p>
        <w:p>
          <w:pPr>
            <w:pStyle w:val="TOC2"/>
            <w:tabs>
              <w:tab w:val="left" w:pos="2930"/>
              <w:tab w:val="left" w:leader="dot" w:pos="13330"/>
            </w:tabs>
            <w:rPr>
              <w:rFonts w:ascii="Arial Narrow" w:eastAsia="Arial Narrow"/>
            </w:rPr>
          </w:pPr>
          <w:r>
            <w:rPr>
              <w:w w:val="105"/>
            </w:rPr>
            <w:t>第三节</w:t>
            <w:tab/>
            <w:t>行业篇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7</w:t>
          </w:r>
        </w:p>
        <w:p>
          <w:pPr>
            <w:pStyle w:val="TOC3"/>
            <w:tabs>
              <w:tab w:val="left" w:pos="3561"/>
              <w:tab w:val="left" w:leader="dot" w:pos="13330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一、</w:t>
            <w:tab/>
            <w:t>房地产行业进展趋势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7</w:t>
          </w:r>
          <w:r>
            <w:fldChar w:fldCharType="end"/>
          </w:r>
        </w:p>
        <w:p>
          <w:pPr>
            <w:pStyle w:val="TOC3"/>
            <w:tabs>
              <w:tab w:val="left" w:pos="3561"/>
              <w:tab w:val="left" w:leader="dot" w:pos="13330"/>
            </w:tabs>
            <w:spacing w:before="70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二、</w:t>
            <w:tab/>
            <w:t>房地产行业薪酬制度特征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8</w:t>
          </w:r>
          <w:r>
            <w:fldChar w:fldCharType="end"/>
          </w:r>
        </w:p>
        <w:p>
          <w:pPr>
            <w:pStyle w:val="TOC3"/>
            <w:tabs>
              <w:tab w:val="left" w:pos="3561"/>
              <w:tab w:val="left" w:leader="dot" w:pos="13330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三、</w:t>
            <w:tab/>
            <w:t>房地产行业薪酬制度进展趋势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9</w:t>
          </w:r>
          <w:r>
            <w:fldChar w:fldCharType="end"/>
          </w:r>
        </w:p>
        <w:p>
          <w:pPr>
            <w:pStyle w:val="TOC3"/>
            <w:tabs>
              <w:tab w:val="left" w:pos="3561"/>
              <w:tab w:val="left" w:leader="dot" w:pos="13186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rPr>
              <w:w w:val="105"/>
            </w:rPr>
            <w:t>四、</w:t>
            <w:tab/>
          </w:r>
          <w:r>
            <w:rPr>
              <w:rFonts w:ascii="Arial Narrow" w:eastAsia="Arial Narrow"/>
            </w:rPr>
            <w:t>2023</w:t>
          </w:r>
          <w:r>
            <w:rPr>
              <w:rFonts w:ascii="Arial Narrow" w:eastAsia="Arial Narrow"/>
              <w:spacing w:val="46"/>
            </w:rPr>
            <w:t xml:space="preserve"> </w:t>
          </w:r>
          <w:r>
            <w:t>年不同行业间平均薪资水平比较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  <w:w w:val="105"/>
            </w:rPr>
            <w:t>11</w:t>
          </w:r>
          <w:r>
            <w:fldChar w:fldCharType="end"/>
          </w:r>
        </w:p>
        <w:p>
          <w:pPr>
            <w:pStyle w:val="TOC3"/>
            <w:tabs>
              <w:tab w:val="left" w:pos="3561"/>
              <w:tab w:val="left" w:leader="dot" w:pos="13171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rPr>
              <w:w w:val="105"/>
            </w:rPr>
            <w:t>五、</w:t>
            <w:tab/>
          </w:r>
          <w:r>
            <w:rPr>
              <w:rFonts w:ascii="Arial Narrow" w:eastAsia="Arial Narrow"/>
              <w:w w:val="105"/>
            </w:rPr>
            <w:t>1999-2023</w:t>
          </w:r>
          <w:r>
            <w:rPr>
              <w:rFonts w:ascii="Arial Narrow" w:eastAsia="Arial Narrow"/>
              <w:spacing w:val="-8"/>
              <w:w w:val="105"/>
            </w:rPr>
            <w:t xml:space="preserve"> </w:t>
          </w:r>
          <w:r>
            <w:rPr>
              <w:w w:val="105"/>
            </w:rPr>
            <w:t>年间房地产业平均薪资变化趋势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13</w:t>
          </w:r>
          <w:r>
            <w:fldChar w:fldCharType="end"/>
          </w:r>
        </w:p>
        <w:p>
          <w:pPr>
            <w:pStyle w:val="TOC3"/>
            <w:tabs>
              <w:tab w:val="left" w:pos="3561"/>
              <w:tab w:val="left" w:leader="dot" w:pos="13171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rPr>
              <w:w w:val="105"/>
            </w:rPr>
            <w:t>六、</w:t>
            <w:tab/>
          </w:r>
          <w:r>
            <w:rPr>
              <w:rFonts w:ascii="Arial Narrow" w:eastAsia="Arial Narrow"/>
            </w:rPr>
            <w:t>2023</w:t>
          </w:r>
          <w:r>
            <w:rPr>
              <w:rFonts w:ascii="Arial Narrow" w:eastAsia="Arial Narrow"/>
              <w:spacing w:val="48"/>
            </w:rPr>
            <w:t xml:space="preserve"> </w:t>
          </w:r>
          <w:r>
            <w:t>年不同城市地产行业平均薪资水平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  <w:w w:val="105"/>
            </w:rPr>
            <w:t>14</w:t>
          </w:r>
          <w:r>
            <w:fldChar w:fldCharType="end"/>
          </w:r>
        </w:p>
        <w:p>
          <w:pPr>
            <w:pStyle w:val="TOC2"/>
            <w:tabs>
              <w:tab w:val="left" w:pos="2930"/>
              <w:tab w:val="left" w:leader="dot" w:pos="13171"/>
            </w:tabs>
            <w:rPr>
              <w:rFonts w:ascii="Arial Narrow" w:eastAsia="Arial Narrow"/>
            </w:rPr>
          </w:pPr>
          <w:r>
            <w:rPr>
              <w:w w:val="105"/>
            </w:rPr>
            <w:t>第四节</w:t>
            <w:tab/>
            <w:t>企业篇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15</w:t>
          </w:r>
        </w:p>
        <w:p>
          <w:pPr>
            <w:pStyle w:val="TOC3"/>
            <w:tabs>
              <w:tab w:val="left" w:pos="3561"/>
              <w:tab w:val="left" w:leader="dot" w:pos="13171"/>
            </w:tabs>
            <w:spacing w:before="70"/>
            <w:rPr>
              <w:rFonts w:ascii="Arial Narrow" w:eastAsia="Arial Narrow"/>
            </w:rPr>
          </w:pPr>
          <w:r>
            <w:rPr>
              <w:w w:val="105"/>
            </w:rPr>
            <w:t>一、</w:t>
            <w:tab/>
            <w:t>薪酬鼓励模式介绍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15</w:t>
          </w:r>
        </w:p>
        <w:p>
          <w:pPr>
            <w:pStyle w:val="TOC3"/>
            <w:tabs>
              <w:tab w:val="left" w:pos="3561"/>
              <w:tab w:val="left" w:leader="dot" w:pos="13171"/>
            </w:tabs>
            <w:rPr>
              <w:rFonts w:ascii="Arial Narrow" w:eastAsia="Arial Narrow"/>
            </w:rPr>
          </w:pPr>
          <w:r>
            <w:rPr>
              <w:w w:val="105"/>
            </w:rPr>
            <w:t>二、</w:t>
            <w:tab/>
            <w:t>不同城市各岗位薪资水平调查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18</w:t>
          </w:r>
        </w:p>
        <w:p>
          <w:pPr>
            <w:pStyle w:val="TOC2"/>
            <w:tabs>
              <w:tab w:val="left" w:pos="2930"/>
              <w:tab w:val="left" w:leader="dot" w:pos="13171"/>
            </w:tabs>
            <w:spacing w:before="72"/>
            <w:rPr>
              <w:rFonts w:ascii="Arial Narrow" w:eastAsia="Arial Narrow"/>
            </w:rPr>
          </w:pPr>
          <w:r>
            <w:rPr>
              <w:w w:val="105"/>
            </w:rPr>
            <w:t>第五节</w:t>
            <w:tab/>
            <w:t>结论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22</w:t>
          </w:r>
        </w:p>
        <w:p>
          <w:pPr>
            <w:pStyle w:val="TOC2"/>
            <w:tabs>
              <w:tab w:val="left" w:pos="2930"/>
              <w:tab w:val="left" w:leader="dot" w:pos="13171"/>
            </w:tabs>
            <w:spacing w:before="70"/>
            <w:rPr>
              <w:rFonts w:ascii="Arial Narrow" w:eastAsia="Arial Narrow"/>
            </w:rPr>
          </w:pPr>
          <w:r>
            <w:rPr>
              <w:w w:val="105"/>
            </w:rPr>
            <w:t>第六节</w:t>
            <w:tab/>
            <w:t>附录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23</w:t>
          </w:r>
        </w:p>
        <w:p>
          <w:pPr>
            <w:pStyle w:val="TOC3"/>
            <w:tabs>
              <w:tab w:val="left" w:pos="3561"/>
              <w:tab w:val="left" w:leader="dot" w:pos="13171"/>
            </w:tabs>
            <w:rPr>
              <w:rFonts w:ascii="Arial Narrow" w:eastAsia="Arial Narrow"/>
            </w:rPr>
          </w:pPr>
          <w:r>
            <w:rPr>
              <w:w w:val="105"/>
            </w:rPr>
            <w:t>一、</w:t>
            <w:tab/>
          </w:r>
          <w:r>
            <w:t>附录一：推行薪酬制度改革方面的一些可资借鉴的阅历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  <w:w w:val="105"/>
            </w:rPr>
            <w:t>23</w:t>
          </w:r>
        </w:p>
        <w:p>
          <w:pPr>
            <w:pStyle w:val="TOC3"/>
            <w:tabs>
              <w:tab w:val="left" w:pos="3561"/>
              <w:tab w:val="left" w:leader="dot" w:pos="13171"/>
            </w:tabs>
            <w:rPr>
              <w:rFonts w:ascii="Arial Narrow" w:eastAsia="Arial Narrow"/>
            </w:rPr>
          </w:pPr>
          <w:r>
            <w:rPr>
              <w:w w:val="105"/>
            </w:rPr>
            <w:t>二、</w:t>
            <w:tab/>
            <w:t>附录二：专知名词解释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24</w:t>
          </w:r>
        </w:p>
      </w:sdtContent>
    </w:sdt>
    <w:p>
      <w:pPr>
        <w:spacing w:after="0"/>
        <w:rPr>
          <w:rFonts w:ascii="Arial Narrow" w:eastAsia="Arial Narrow"/>
        </w:rPr>
      </w:pPr>
      <w:r>
        <w:rPr>
          <w:rFonts w:ascii="Arial Narrow" w:eastAsia="Arial Narrow"/>
        </w:rPr>
        <w:br/>
      </w:r>
      <w:r>
        <w:rPr>
          <w:rFonts w:ascii="Arial Narrow" w:eastAsia="Arial Narrow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https://d.book118.com/825104220242011033</w:t>
        </w:r>
      </w:hyperlink>
    </w:p>
    <w:p>
      <w:pPr>
        <w:spacing w:after="0"/>
        <w:rPr>
          <w:rFonts w:ascii="Arial Narrow" w:eastAsia="Arial Narrow"/>
        </w:rPr>
      </w:pPr>
    </w:p>
    <w:sectPr>
      <w:pgSz w:w="17860" w:h="25260"/>
      <w:pgMar w:top="1280" w:right="0" w:bottom="280" w:left="16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Palatino Linotype">
    <w:altName w:val="Palatino Linotype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仿宋_GB2312">
    <w:altName w:val="仿宋_GB2312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E27EB1"/>
    <w:multiLevelType w:val="hybridMultilevel"/>
    <w:tmpl w:val="00000000"/>
    <w:lvl w:ilvl="0">
      <w:start w:val="0"/>
      <w:numFmt w:val="bullet"/>
      <w:lvlText w:val=""/>
      <w:lvlJc w:val="left"/>
      <w:pPr>
        <w:ind w:left="1008" w:hanging="540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1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3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9" w:hanging="5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51"/>
      <w:ind w:right="1669"/>
      <w:jc w:val="center"/>
    </w:pPr>
    <w:rPr>
      <w:rFonts w:ascii="宋体" w:eastAsia="宋体" w:hAnsi="宋体" w:cs="宋体"/>
      <w:b/>
      <w:bCs/>
      <w:sz w:val="31"/>
      <w:szCs w:val="31"/>
    </w:rPr>
  </w:style>
  <w:style w:type="paragraph" w:customStyle="1" w:styleId="TOC2">
    <w:name w:val="TOC 2"/>
    <w:basedOn w:val="Normal"/>
    <w:uiPriority w:val="1"/>
    <w:qFormat/>
    <w:pPr>
      <w:spacing w:before="71"/>
      <w:ind w:left="1357"/>
    </w:pPr>
    <w:rPr>
      <w:rFonts w:ascii="宋体" w:eastAsia="宋体" w:hAnsi="宋体" w:cs="宋体"/>
      <w:sz w:val="31"/>
      <w:szCs w:val="31"/>
    </w:rPr>
  </w:style>
  <w:style w:type="paragraph" w:customStyle="1" w:styleId="TOC3">
    <w:name w:val="TOC 3"/>
    <w:basedOn w:val="Normal"/>
    <w:uiPriority w:val="1"/>
    <w:qFormat/>
    <w:pPr>
      <w:spacing w:before="71"/>
      <w:ind w:left="2300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spacing w:before="204"/>
      <w:outlineLvl w:val="1"/>
    </w:pPr>
    <w:rPr>
      <w:rFonts w:ascii="幼圆" w:eastAsia="幼圆" w:hAnsi="幼圆" w:cs="幼圆"/>
      <w:b/>
      <w:bCs/>
      <w:sz w:val="42"/>
      <w:szCs w:val="42"/>
    </w:rPr>
  </w:style>
  <w:style w:type="paragraph" w:customStyle="1" w:styleId="Heading2">
    <w:name w:val="Heading 2"/>
    <w:basedOn w:val="Normal"/>
    <w:uiPriority w:val="1"/>
    <w:qFormat/>
    <w:pPr>
      <w:spacing w:before="42"/>
      <w:ind w:left="1098"/>
      <w:outlineLvl w:val="2"/>
    </w:pPr>
    <w:rPr>
      <w:rFonts w:ascii="宋体" w:eastAsia="宋体" w:hAnsi="宋体" w:cs="宋体"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ind w:left="1105"/>
      <w:outlineLvl w:val="3"/>
    </w:pPr>
    <w:rPr>
      <w:rFonts w:ascii="黑体" w:eastAsia="黑体" w:hAnsi="黑体" w:cs="黑体"/>
      <w:b/>
      <w:bCs/>
      <w:sz w:val="36"/>
      <w:szCs w:val="36"/>
    </w:rPr>
  </w:style>
  <w:style w:type="paragraph" w:styleId="Title">
    <w:name w:val="Title"/>
    <w:basedOn w:val="Normal"/>
    <w:uiPriority w:val="1"/>
    <w:qFormat/>
    <w:rPr>
      <w:rFonts w:ascii="黑体" w:eastAsia="黑体" w:hAnsi="黑体" w:cs="黑体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spacing w:before="186"/>
      <w:ind w:left="1548" w:hanging="5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82510422024201103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2023-10-30T21:59:33Z</dcterms:created>
  <dcterms:modified xsi:type="dcterms:W3CDTF">2023-10-30T21:59:33Z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2023-01-09T00:00:00Z</vt:filetime>
  </property>
  <property fmtid="{D5CDD505-2E9C-101B-9397-08002B2CF9AE}" pid="3" name="LastSaved">
    <vt:filetime>2023-10-30T00:00:00Z</vt:filetime>
  </property>
</Properties>
</file>