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spacing w:before="44" w:line="257" w:lineRule="exact"/>
        <w:ind w:left="1178"/>
        <w:rPr>
          <w:rFonts w:ascii="黑体"/>
        </w:rPr>
      </w:pPr>
      <w:r>
        <w:pict>
          <v:line id="_x0000_s1025" style="mso-position-horizontal-relative:page;mso-position-vertical-relative:page;position:absolute;z-index:251658240" from="70.9pt,745.4pt" to="552.8pt,745.4pt" stroked="t" strokecolor="black" strokeweight="0.6pt">
            <v:stroke dashstyle="solid"/>
          </v:line>
        </w:pict>
      </w:r>
      <w:r>
        <w:rPr>
          <w:rFonts w:ascii="黑体"/>
        </w:rPr>
        <w:t>ICS 13.060.21</w:t>
      </w:r>
    </w:p>
    <w:p>
      <w:pPr>
        <w:tabs>
          <w:tab w:val="left" w:pos="6487"/>
        </w:tabs>
        <w:spacing w:before="0" w:line="1092" w:lineRule="exact"/>
        <w:ind w:left="1178" w:right="0" w:firstLine="0"/>
        <w:jc w:val="left"/>
        <w:rPr>
          <w:rFonts w:ascii="Times New Roman"/>
          <w:b/>
          <w:sz w:val="96"/>
        </w:rPr>
      </w:pPr>
      <w:r>
        <w:rPr>
          <w:rFonts w:ascii="黑体"/>
          <w:w w:val="110"/>
          <w:sz w:val="21"/>
        </w:rPr>
        <w:t>CCS</w:t>
      </w:r>
      <w:r>
        <w:rPr>
          <w:rFonts w:ascii="黑体"/>
          <w:spacing w:val="-21"/>
          <w:w w:val="110"/>
          <w:sz w:val="21"/>
        </w:rPr>
        <w:t xml:space="preserve"> </w:t>
      </w:r>
      <w:r>
        <w:rPr>
          <w:rFonts w:ascii="黑体"/>
          <w:w w:val="110"/>
          <w:sz w:val="21"/>
        </w:rPr>
        <w:t>P</w:t>
      </w:r>
      <w:r>
        <w:rPr>
          <w:rFonts w:ascii="黑体"/>
          <w:spacing w:val="-21"/>
          <w:w w:val="110"/>
          <w:sz w:val="21"/>
        </w:rPr>
        <w:t xml:space="preserve"> </w:t>
      </w:r>
      <w:r>
        <w:rPr>
          <w:rFonts w:ascii="黑体"/>
          <w:w w:val="110"/>
          <w:sz w:val="21"/>
        </w:rPr>
        <w:t>40</w:t>
        <w:tab/>
      </w:r>
      <w:r>
        <w:rPr>
          <w:rFonts w:ascii="Times New Roman"/>
          <w:b/>
          <w:w w:val="110"/>
          <w:position w:val="-61"/>
          <w:sz w:val="96"/>
        </w:rPr>
        <w:t>DB4401</w:t>
      </w:r>
    </w:p>
    <w:p>
      <w:pPr>
        <w:tabs>
          <w:tab w:val="left" w:pos="2699"/>
          <w:tab w:val="left" w:pos="4226"/>
          <w:tab w:val="left" w:pos="5750"/>
          <w:tab w:val="left" w:pos="7276"/>
          <w:tab w:val="left" w:pos="8800"/>
          <w:tab w:val="left" w:pos="10327"/>
        </w:tabs>
        <w:spacing w:before="356"/>
        <w:ind w:left="1176" w:right="0" w:firstLine="0"/>
        <w:jc w:val="left"/>
        <w:rPr>
          <w:rFonts w:ascii="黑体" w:eastAsia="黑体" w:hint="eastAsia"/>
          <w:sz w:val="48"/>
        </w:rPr>
      </w:pPr>
      <w:r>
        <w:rPr>
          <w:rFonts w:ascii="黑体" w:eastAsia="黑体" w:hint="eastAsia"/>
          <w:sz w:val="48"/>
        </w:rPr>
        <w:t>广</w:t>
        <w:tab/>
        <w:t>州</w:t>
        <w:tab/>
        <w:t>市</w:t>
        <w:tab/>
        <w:t>地</w:t>
        <w:tab/>
        <w:t>方</w:t>
        <w:tab/>
        <w:t>标</w:t>
        <w:tab/>
        <w:t>准</w:t>
      </w:r>
    </w:p>
    <w:p>
      <w:pPr>
        <w:pStyle w:val="BodyText"/>
        <w:spacing w:before="4"/>
        <w:rPr>
          <w:rFonts w:ascii="黑体"/>
          <w:sz w:val="20"/>
        </w:rPr>
      </w:pPr>
    </w:p>
    <w:p>
      <w:pPr>
        <w:spacing w:before="62"/>
        <w:ind w:left="0" w:right="588" w:firstLine="0"/>
        <w:jc w:val="right"/>
        <w:rPr>
          <w:rFonts w:ascii="黑体" w:hAnsi="黑体"/>
          <w:sz w:val="28"/>
        </w:rPr>
      </w:pPr>
      <w:r>
        <w:rPr>
          <w:rFonts w:ascii="黑体" w:hAnsi="黑体"/>
          <w:sz w:val="28"/>
        </w:rPr>
        <w:t>DB4401/T</w:t>
      </w:r>
      <w:r>
        <w:rPr>
          <w:rFonts w:ascii="黑体" w:hAnsi="黑体"/>
          <w:spacing w:val="-9"/>
          <w:sz w:val="28"/>
        </w:rPr>
        <w:t xml:space="preserve"> </w:t>
      </w:r>
      <w:r>
        <w:rPr>
          <w:rFonts w:ascii="黑体" w:hAnsi="黑体"/>
          <w:sz w:val="28"/>
        </w:rPr>
        <w:t>158—2022</w:t>
      </w:r>
    </w:p>
    <w:p>
      <w:pPr>
        <w:pStyle w:val="BodyText"/>
        <w:rPr>
          <w:rFonts w:ascii="黑体"/>
          <w:sz w:val="20"/>
        </w:rPr>
      </w:pPr>
    </w:p>
    <w:p>
      <w:pPr>
        <w:pStyle w:val="BodyText"/>
        <w:spacing w:before="1"/>
        <w:rPr>
          <w:rFonts w:ascii="黑体"/>
        </w:rPr>
      </w:pPr>
      <w:r>
        <w:pict>
          <v:shape id="_x0000_s1026" style="width:480pt;height:0.1pt;margin-top:15.7pt;margin-left:70.9pt;mso-position-horizontal-relative:page;mso-wrap-distance-left:0;mso-wrap-distance-right:0;position:absolute;z-index:-251656192" coordorigin="1418,314" coordsize="9600,0" path="m1418,314l11018,314e" filled="f" stroked="t" strokecolor="black" strokeweight="0.48pt">
            <v:stroke dashstyle="solid"/>
            <v:path arrowok="t"/>
            <w10:wrap type="topAndBottom"/>
          </v:shape>
        </w:pict>
      </w: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spacing w:before="2"/>
        <w:rPr>
          <w:rFonts w:ascii="黑体"/>
          <w:sz w:val="26"/>
        </w:rPr>
      </w:pPr>
    </w:p>
    <w:p>
      <w:pPr>
        <w:pStyle w:val="Title"/>
      </w:pPr>
      <w:r>
        <w:t>应急避护场所设计规范</w:t>
      </w:r>
    </w:p>
    <w:p>
      <w:pPr>
        <w:spacing w:before="270"/>
        <w:ind w:left="588" w:right="0" w:firstLine="0"/>
        <w:jc w:val="center"/>
        <w:rPr>
          <w:rFonts w:ascii="黑体"/>
          <w:sz w:val="28"/>
        </w:rPr>
      </w:pPr>
      <w:r>
        <w:drawing>
          <wp:anchor distT="0" distB="0" distL="0" distR="0" simplePos="0" relativeHeight="251659264" behindDoc="0" locked="0" layoutInCell="1" allowOverlap="1">
            <wp:simplePos x="0" y="0"/>
            <wp:positionH relativeFrom="page">
              <wp:posOffset>215900</wp:posOffset>
            </wp:positionH>
            <wp:positionV relativeFrom="paragraph">
              <wp:posOffset>791845</wp:posOffset>
            </wp:positionV>
            <wp:extent cx="7112000" cy="48768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r>
        <w:rPr>
          <w:rFonts w:ascii="黑体"/>
          <w:sz w:val="28"/>
        </w:rPr>
        <w:t>Design specification for emergency shelter</w:t>
      </w: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spacing w:before="3"/>
        <w:rPr>
          <w:rFonts w:ascii="黑体"/>
          <w:sz w:val="23"/>
        </w:rPr>
      </w:pPr>
      <w:r>
        <w:pict>
          <v:group id="_x0000_s1027" style="width:482.95pt;height:45.25pt;margin-top:16.86pt;margin-left:70.92pt;mso-position-horizontal-relative:page;mso-wrap-distance-left:0;mso-wrap-distance-right:0;position:absolute;z-index:-251655168" coordorigin="1418,337" coordsize="9659,905">
            <v:shapetype id="_x0000_t202" coordsize="21600,21600" o:spt="202" path="m,l,21600r21600,l21600,xe">
              <v:stroke joinstyle="miter"/>
              <v:path gradientshapeok="t" o:connecttype="rect"/>
            </v:shapetype>
            <v:shape id="_x0000_s1028" type="#_x0000_t202" style="width:2092;height:282;left:1418;position:absolute;top:341" filled="f" stroked="f">
              <v:textbox inset="0,0,0,0">
                <w:txbxContent>
                  <w:p>
                    <w:pPr>
                      <w:spacing w:before="0" w:line="281" w:lineRule="exact"/>
                      <w:ind w:left="0" w:right="0" w:firstLine="0"/>
                      <w:jc w:val="left"/>
                      <w:rPr>
                        <w:rFonts w:ascii="黑体" w:eastAsia="黑体" w:hint="eastAsia"/>
                        <w:sz w:val="28"/>
                      </w:rPr>
                    </w:pPr>
                    <w:r>
                      <w:rPr>
                        <w:rFonts w:ascii="黑体" w:eastAsia="黑体" w:hint="eastAsia"/>
                        <w:sz w:val="28"/>
                      </w:rPr>
                      <w:t>2022-05-09</w:t>
                    </w:r>
                    <w:r>
                      <w:rPr>
                        <w:rFonts w:ascii="黑体" w:eastAsia="黑体" w:hint="eastAsia"/>
                        <w:spacing w:val="-11"/>
                        <w:sz w:val="28"/>
                      </w:rPr>
                      <w:t xml:space="preserve"> 发布</w:t>
                    </w:r>
                  </w:p>
                </w:txbxContent>
              </v:textbox>
            </v:shape>
            <v:shape id="_x0000_s1029" type="#_x0000_t202" style="width:2373;height:281;left:8704;position:absolute;top:337" filled="f" stroked="f">
              <v:textbox inset="0,0,0,0">
                <w:txbxContent>
                  <w:p>
                    <w:pPr>
                      <w:spacing w:before="0" w:line="281" w:lineRule="exact"/>
                      <w:ind w:left="0" w:right="0" w:firstLine="0"/>
                      <w:jc w:val="left"/>
                      <w:rPr>
                        <w:rFonts w:ascii="黑体" w:eastAsia="黑体" w:hint="eastAsia"/>
                        <w:sz w:val="28"/>
                      </w:rPr>
                    </w:pPr>
                    <w:r>
                      <w:rPr>
                        <w:rFonts w:ascii="黑体" w:eastAsia="黑体" w:hint="eastAsia"/>
                        <w:spacing w:val="21"/>
                        <w:sz w:val="28"/>
                      </w:rPr>
                      <w:t>2022</w:t>
                    </w:r>
                    <w:r>
                      <w:rPr>
                        <w:rFonts w:ascii="黑体" w:eastAsia="黑体" w:hint="eastAsia"/>
                        <w:spacing w:val="-74"/>
                        <w:sz w:val="28"/>
                      </w:rPr>
                      <w:t xml:space="preserve"> - </w:t>
                    </w:r>
                    <w:r>
                      <w:rPr>
                        <w:rFonts w:ascii="黑体" w:eastAsia="黑体" w:hint="eastAsia"/>
                        <w:spacing w:val="12"/>
                        <w:sz w:val="28"/>
                      </w:rPr>
                      <w:t>06</w:t>
                    </w:r>
                    <w:r>
                      <w:rPr>
                        <w:rFonts w:ascii="黑体" w:eastAsia="黑体" w:hint="eastAsia"/>
                        <w:spacing w:val="-73"/>
                        <w:sz w:val="28"/>
                      </w:rPr>
                      <w:t xml:space="preserve"> - </w:t>
                    </w:r>
                    <w:r>
                      <w:rPr>
                        <w:rFonts w:ascii="黑体" w:eastAsia="黑体" w:hint="eastAsia"/>
                        <w:spacing w:val="12"/>
                        <w:sz w:val="28"/>
                      </w:rPr>
                      <w:t>01</w:t>
                    </w:r>
                    <w:r>
                      <w:rPr>
                        <w:rFonts w:ascii="黑体" w:eastAsia="黑体" w:hint="eastAsia"/>
                        <w:spacing w:val="-3"/>
                        <w:sz w:val="28"/>
                      </w:rPr>
                      <w:t xml:space="preserve"> 实施</w:t>
                    </w:r>
                  </w:p>
                </w:txbxContent>
              </v:textbox>
            </v:shape>
            <v:shape id="_x0000_s1030" type="#_x0000_t202" style="width:5375;height:281;left:3657;position:absolute;top:961" filled="f" stroked="f">
              <v:textbox inset="0,0,0,0">
                <w:txbxContent>
                  <w:p>
                    <w:pPr>
                      <w:spacing w:before="0" w:line="281" w:lineRule="exact"/>
                      <w:ind w:left="0" w:right="0" w:firstLine="0"/>
                      <w:jc w:val="left"/>
                      <w:rPr>
                        <w:rFonts w:ascii="黑体" w:eastAsia="黑体" w:hint="eastAsia"/>
                        <w:sz w:val="28"/>
                      </w:rPr>
                    </w:pPr>
                    <w:r>
                      <w:rPr>
                        <w:rFonts w:ascii="黑体" w:eastAsia="黑体" w:hint="eastAsia"/>
                        <w:w w:val="145"/>
                        <w:sz w:val="28"/>
                      </w:rPr>
                      <w:t xml:space="preserve">广州市市场监督管理局 </w:t>
                    </w:r>
                    <w:r>
                      <w:rPr>
                        <w:rFonts w:ascii="黑体" w:eastAsia="黑体" w:hint="eastAsia"/>
                        <w:w w:val="120"/>
                        <w:sz w:val="28"/>
                      </w:rPr>
                      <w:t>发布</w:t>
                    </w:r>
                  </w:p>
                </w:txbxContent>
              </v:textbox>
            </v:shape>
            <w10:wrap type="topAndBottom"/>
          </v:group>
        </w:pict>
      </w:r>
    </w:p>
    <w:p>
      <w:pPr>
        <w:spacing w:after="0"/>
        <w:rPr>
          <w:rFonts w:ascii="黑体"/>
          <w:sz w:val="23"/>
        </w:rPr>
        <w:sectPr>
          <w:type w:val="continuous"/>
          <w:pgSz w:w="11910" w:h="16840"/>
          <w:pgMar w:top="520" w:right="260" w:bottom="280" w:left="240" w:header="708" w:footer="708"/>
          <w:cols w:space="708"/>
        </w:sect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spacing w:before="10"/>
        <w:rPr>
          <w:rFonts w:ascii="黑体"/>
          <w:sz w:val="27"/>
        </w:rPr>
      </w:pPr>
    </w:p>
    <w:p>
      <w:pPr>
        <w:pStyle w:val="BodyText"/>
        <w:ind w:left="2860"/>
        <w:rPr>
          <w:rFonts w:ascii="黑体"/>
          <w:sz w:val="20"/>
        </w:rPr>
      </w:pPr>
      <w:r>
        <w:rPr>
          <w:rFonts w:ascii="黑体"/>
          <w:sz w:val="20"/>
        </w:rPr>
        <w:drawing>
          <wp:inline distT="0" distB="0" distL="0" distR="0">
            <wp:extent cx="4028503" cy="2533650"/>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5" cstate="print"/>
                    <a:stretch>
                      <a:fillRect/>
                    </a:stretch>
                  </pic:blipFill>
                  <pic:spPr>
                    <a:xfrm>
                      <a:off x="0" y="0"/>
                      <a:ext cx="4028503" cy="2533650"/>
                    </a:xfrm>
                    <a:prstGeom prst="rect">
                      <a:avLst/>
                    </a:prstGeom>
                  </pic:spPr>
                </pic:pic>
              </a:graphicData>
            </a:graphic>
          </wp:inline>
        </w:drawing>
      </w:r>
    </w:p>
    <w:p>
      <w:pPr>
        <w:spacing w:after="0"/>
        <w:rPr>
          <w:rFonts w:ascii="黑体"/>
          <w:sz w:val="20"/>
        </w:rPr>
        <w:sectPr>
          <w:pgSz w:w="11910" w:h="16840"/>
          <w:pgMar w:top="1580" w:right="260" w:bottom="280" w:left="240" w:header="708" w:footer="708"/>
          <w:pgNumType w:start="2"/>
          <w:cols w:space="708"/>
        </w:sectPr>
      </w:pPr>
    </w:p>
    <w:p>
      <w:pPr>
        <w:pStyle w:val="BodyText"/>
        <w:rPr>
          <w:rFonts w:ascii="黑体"/>
          <w:sz w:val="20"/>
        </w:rPr>
      </w:pPr>
    </w:p>
    <w:p>
      <w:pPr>
        <w:pStyle w:val="BodyText"/>
        <w:rPr>
          <w:rFonts w:ascii="黑体"/>
          <w:sz w:val="20"/>
        </w:rPr>
      </w:pPr>
    </w:p>
    <w:p>
      <w:pPr>
        <w:pStyle w:val="BodyText"/>
        <w:rPr>
          <w:rFonts w:ascii="黑体"/>
          <w:sz w:val="20"/>
        </w:rPr>
      </w:pPr>
    </w:p>
    <w:p>
      <w:pPr>
        <w:pStyle w:val="Heading1"/>
        <w:tabs>
          <w:tab w:val="left" w:pos="1263"/>
        </w:tabs>
      </w:pPr>
      <w:bookmarkStart w:id="0" w:name="目    次"/>
      <w:bookmarkEnd w:id="0"/>
      <w:r>
        <w:t>目</w:t>
        <w:tab/>
        <w:t>次</w:t>
      </w:r>
    </w:p>
    <w:p>
      <w:pPr>
        <w:pStyle w:val="BodyText"/>
        <w:tabs>
          <w:tab w:val="right" w:leader="dot" w:pos="10417"/>
        </w:tabs>
        <w:spacing w:before="688"/>
        <w:ind w:left="1178"/>
      </w:pPr>
      <w:r>
        <w:t>目次</w:t>
      </w:r>
      <w:r>
        <w:rPr>
          <w:rFonts w:ascii="Times New Roman" w:eastAsia="Times New Roman"/>
        </w:rPr>
        <w:tab/>
      </w:r>
      <w:r>
        <w:t>I</w:t>
      </w:r>
    </w:p>
    <w:p>
      <w:pPr>
        <w:pStyle w:val="BodyText"/>
        <w:tabs>
          <w:tab w:val="right" w:leader="dot" w:pos="10419"/>
        </w:tabs>
        <w:spacing w:before="120"/>
        <w:ind w:left="1178"/>
      </w:pPr>
      <w:r>
        <w:t>前言</w:t>
      </w:r>
      <w:r>
        <w:rPr>
          <w:rFonts w:ascii="Times New Roman" w:eastAsia="Times New Roman"/>
        </w:rPr>
        <w:tab/>
      </w:r>
      <w:r>
        <w:t>II</w:t>
      </w:r>
    </w:p>
    <w:p>
      <w:pPr>
        <w:pStyle w:val="ListParagraph"/>
        <w:numPr>
          <w:ilvl w:val="0"/>
          <w:numId w:val="12"/>
        </w:numPr>
        <w:tabs>
          <w:tab w:val="left" w:pos="1493"/>
          <w:tab w:val="right" w:leader="dot" w:pos="10417"/>
        </w:tabs>
        <w:spacing w:before="122" w:after="0" w:line="240" w:lineRule="auto"/>
        <w:ind w:left="1492" w:right="0" w:hanging="315"/>
        <w:jc w:val="left"/>
        <w:rPr>
          <w:sz w:val="21"/>
        </w:rPr>
      </w:pPr>
      <w:r>
        <w:rPr>
          <w:sz w:val="21"/>
        </w:rPr>
        <w:t>范围</w:t>
      </w:r>
      <w:r>
        <w:rPr>
          <w:rFonts w:ascii="Times New Roman" w:eastAsia="Times New Roman"/>
          <w:sz w:val="21"/>
        </w:rPr>
        <w:tab/>
      </w:r>
      <w:r>
        <w:rPr>
          <w:sz w:val="21"/>
        </w:rPr>
        <w:t>1</w:t>
      </w:r>
    </w:p>
    <w:p>
      <w:pPr>
        <w:pStyle w:val="ListParagraph"/>
        <w:numPr>
          <w:ilvl w:val="0"/>
          <w:numId w:val="12"/>
        </w:numPr>
        <w:tabs>
          <w:tab w:val="left" w:pos="1493"/>
          <w:tab w:val="right" w:leader="dot" w:pos="10417"/>
        </w:tabs>
        <w:spacing w:before="43" w:after="0" w:line="240" w:lineRule="auto"/>
        <w:ind w:left="1492" w:right="0" w:hanging="315"/>
        <w:jc w:val="left"/>
        <w:rPr>
          <w:sz w:val="21"/>
        </w:rPr>
      </w:pPr>
      <w:r>
        <w:rPr>
          <w:sz w:val="21"/>
        </w:rPr>
        <w:t>规范性引用文件</w:t>
      </w:r>
      <w:r>
        <w:rPr>
          <w:rFonts w:ascii="Times New Roman" w:eastAsia="Times New Roman"/>
          <w:sz w:val="21"/>
        </w:rPr>
        <w:tab/>
      </w:r>
      <w:r>
        <w:rPr>
          <w:sz w:val="21"/>
        </w:rPr>
        <w:t>1</w:t>
      </w:r>
    </w:p>
    <w:p>
      <w:pPr>
        <w:pStyle w:val="ListParagraph"/>
        <w:numPr>
          <w:ilvl w:val="0"/>
          <w:numId w:val="12"/>
        </w:numPr>
        <w:tabs>
          <w:tab w:val="left" w:pos="1493"/>
          <w:tab w:val="right" w:leader="dot" w:pos="10417"/>
        </w:tabs>
        <w:spacing w:before="43" w:after="0" w:line="240" w:lineRule="auto"/>
        <w:ind w:left="1492" w:right="0" w:hanging="315"/>
        <w:jc w:val="left"/>
        <w:rPr>
          <w:sz w:val="21"/>
        </w:rPr>
      </w:pPr>
      <w:r>
        <w:rPr>
          <w:sz w:val="21"/>
        </w:rPr>
        <w:t>术语和定义</w:t>
      </w:r>
      <w:r>
        <w:rPr>
          <w:rFonts w:ascii="Times New Roman" w:eastAsia="Times New Roman"/>
          <w:sz w:val="21"/>
        </w:rPr>
        <w:tab/>
      </w:r>
      <w:r>
        <w:rPr>
          <w:sz w:val="21"/>
        </w:rPr>
        <w:t>1</w:t>
      </w:r>
    </w:p>
    <w:p>
      <w:pPr>
        <w:pStyle w:val="ListParagraph"/>
        <w:numPr>
          <w:ilvl w:val="0"/>
          <w:numId w:val="12"/>
        </w:numPr>
        <w:tabs>
          <w:tab w:val="left" w:pos="1493"/>
          <w:tab w:val="right" w:leader="dot" w:pos="10417"/>
        </w:tabs>
        <w:spacing w:before="43" w:after="0" w:line="240" w:lineRule="auto"/>
        <w:ind w:left="1492" w:right="0" w:hanging="315"/>
        <w:jc w:val="left"/>
        <w:rPr>
          <w:sz w:val="21"/>
        </w:rPr>
      </w:pPr>
      <w:r>
        <w:rPr>
          <w:sz w:val="21"/>
        </w:rPr>
        <w:t>设计规定</w:t>
      </w:r>
      <w:r>
        <w:rPr>
          <w:rFonts w:ascii="Times New Roman" w:eastAsia="Times New Roman"/>
          <w:sz w:val="21"/>
        </w:rPr>
        <w:tab/>
      </w:r>
      <w:r>
        <w:rPr>
          <w:sz w:val="21"/>
        </w:rPr>
        <w:t>2</w:t>
      </w:r>
    </w:p>
    <w:p>
      <w:pPr>
        <w:pStyle w:val="ListParagraph"/>
        <w:numPr>
          <w:ilvl w:val="1"/>
          <w:numId w:val="12"/>
        </w:numPr>
        <w:tabs>
          <w:tab w:val="left" w:pos="1913"/>
          <w:tab w:val="right" w:leader="dot" w:pos="10417"/>
        </w:tabs>
        <w:spacing w:before="43" w:after="0" w:line="240" w:lineRule="auto"/>
        <w:ind w:left="1912" w:right="0" w:hanging="526"/>
        <w:jc w:val="left"/>
        <w:rPr>
          <w:sz w:val="21"/>
        </w:rPr>
      </w:pPr>
      <w:r>
        <w:rPr>
          <w:sz w:val="21"/>
        </w:rPr>
        <w:t>一般要求</w:t>
      </w:r>
      <w:r>
        <w:rPr>
          <w:rFonts w:ascii="Times New Roman" w:eastAsia="Times New Roman"/>
          <w:sz w:val="21"/>
        </w:rPr>
        <w:tab/>
      </w:r>
      <w:r>
        <w:rPr>
          <w:sz w:val="21"/>
        </w:rPr>
        <w:t>2</w:t>
      </w:r>
    </w:p>
    <w:p>
      <w:pPr>
        <w:pStyle w:val="ListParagraph"/>
        <w:numPr>
          <w:ilvl w:val="1"/>
          <w:numId w:val="12"/>
        </w:numPr>
        <w:tabs>
          <w:tab w:val="left" w:pos="1913"/>
          <w:tab w:val="right" w:leader="dot" w:pos="10417"/>
        </w:tabs>
        <w:spacing w:before="43" w:after="0" w:line="240" w:lineRule="auto"/>
        <w:ind w:left="1912" w:right="0" w:hanging="526"/>
        <w:jc w:val="left"/>
        <w:rPr>
          <w:sz w:val="21"/>
        </w:rPr>
      </w:pPr>
      <w:r>
        <w:rPr>
          <w:sz w:val="21"/>
        </w:rPr>
        <w:t>场所分类</w:t>
      </w:r>
      <w:r>
        <w:rPr>
          <w:rFonts w:ascii="Times New Roman" w:eastAsia="Times New Roman"/>
          <w:sz w:val="21"/>
        </w:rPr>
        <w:tab/>
      </w:r>
      <w:r>
        <w:rPr>
          <w:sz w:val="21"/>
        </w:rPr>
        <w:t>3</w:t>
      </w:r>
    </w:p>
    <w:p>
      <w:pPr>
        <w:pStyle w:val="ListParagraph"/>
        <w:numPr>
          <w:ilvl w:val="1"/>
          <w:numId w:val="12"/>
        </w:numPr>
        <w:tabs>
          <w:tab w:val="left" w:pos="1913"/>
          <w:tab w:val="right" w:leader="dot" w:pos="10417"/>
        </w:tabs>
        <w:spacing w:before="43" w:after="0" w:line="240" w:lineRule="auto"/>
        <w:ind w:left="1912" w:right="0" w:hanging="526"/>
        <w:jc w:val="left"/>
        <w:rPr>
          <w:sz w:val="21"/>
        </w:rPr>
      </w:pPr>
      <w:r>
        <w:rPr>
          <w:sz w:val="21"/>
        </w:rPr>
        <w:t>场所开放时间要求</w:t>
      </w:r>
      <w:r>
        <w:rPr>
          <w:rFonts w:ascii="Times New Roman" w:eastAsia="Times New Roman"/>
          <w:sz w:val="21"/>
        </w:rPr>
        <w:tab/>
      </w:r>
      <w:r>
        <w:rPr>
          <w:sz w:val="21"/>
        </w:rPr>
        <w:t>3</w:t>
      </w:r>
    </w:p>
    <w:p>
      <w:pPr>
        <w:pStyle w:val="ListParagraph"/>
        <w:numPr>
          <w:ilvl w:val="1"/>
          <w:numId w:val="12"/>
        </w:numPr>
        <w:tabs>
          <w:tab w:val="left" w:pos="1913"/>
          <w:tab w:val="right" w:leader="dot" w:pos="10417"/>
        </w:tabs>
        <w:spacing w:before="43" w:after="0" w:line="240" w:lineRule="auto"/>
        <w:ind w:left="1912" w:right="0" w:hanging="526"/>
        <w:jc w:val="left"/>
        <w:rPr>
          <w:sz w:val="21"/>
        </w:rPr>
      </w:pPr>
      <w:r>
        <w:rPr>
          <w:sz w:val="21"/>
        </w:rPr>
        <w:t>控制要求</w:t>
      </w:r>
      <w:r>
        <w:rPr>
          <w:rFonts w:ascii="Times New Roman" w:eastAsia="Times New Roman"/>
          <w:sz w:val="21"/>
        </w:rPr>
        <w:tab/>
      </w:r>
      <w:r>
        <w:rPr>
          <w:sz w:val="21"/>
        </w:rPr>
        <w:t>3</w:t>
      </w:r>
    </w:p>
    <w:p>
      <w:pPr>
        <w:pStyle w:val="ListParagraph"/>
        <w:numPr>
          <w:ilvl w:val="1"/>
          <w:numId w:val="12"/>
        </w:numPr>
        <w:tabs>
          <w:tab w:val="left" w:pos="1913"/>
          <w:tab w:val="right" w:leader="dot" w:pos="10417"/>
        </w:tabs>
        <w:spacing w:before="43" w:after="0" w:line="240" w:lineRule="auto"/>
        <w:ind w:left="1912" w:right="0" w:hanging="526"/>
        <w:jc w:val="left"/>
        <w:rPr>
          <w:sz w:val="21"/>
        </w:rPr>
      </w:pPr>
      <w:r>
        <w:rPr>
          <w:sz w:val="21"/>
        </w:rPr>
        <w:t>设防要求</w:t>
      </w:r>
      <w:r>
        <w:rPr>
          <w:rFonts w:ascii="Times New Roman" w:eastAsia="Times New Roman"/>
          <w:sz w:val="21"/>
        </w:rPr>
        <w:tab/>
      </w:r>
      <w:r>
        <w:rPr>
          <w:sz w:val="21"/>
        </w:rPr>
        <w:t>3</w:t>
      </w:r>
    </w:p>
    <w:p>
      <w:pPr>
        <w:pStyle w:val="ListParagraph"/>
        <w:numPr>
          <w:ilvl w:val="1"/>
          <w:numId w:val="12"/>
        </w:numPr>
        <w:tabs>
          <w:tab w:val="left" w:pos="1913"/>
          <w:tab w:val="right" w:leader="dot" w:pos="10417"/>
        </w:tabs>
        <w:spacing w:before="43" w:after="0" w:line="240" w:lineRule="auto"/>
        <w:ind w:left="1912" w:right="0" w:hanging="526"/>
        <w:jc w:val="left"/>
        <w:rPr>
          <w:sz w:val="21"/>
        </w:rPr>
      </w:pPr>
      <w:r>
        <w:rPr>
          <w:sz w:val="21"/>
        </w:rPr>
        <w:t>选址与竖向要求</w:t>
      </w:r>
      <w:r>
        <w:rPr>
          <w:rFonts w:ascii="Times New Roman" w:eastAsia="Times New Roman"/>
          <w:sz w:val="21"/>
        </w:rPr>
        <w:tab/>
      </w:r>
      <w:r>
        <w:rPr>
          <w:sz w:val="21"/>
        </w:rPr>
        <w:t>4</w:t>
      </w:r>
    </w:p>
    <w:p>
      <w:pPr>
        <w:pStyle w:val="ListParagraph"/>
        <w:numPr>
          <w:ilvl w:val="1"/>
          <w:numId w:val="12"/>
        </w:numPr>
        <w:tabs>
          <w:tab w:val="left" w:pos="1913"/>
          <w:tab w:val="right" w:leader="dot" w:pos="10417"/>
        </w:tabs>
        <w:spacing w:before="43" w:after="0" w:line="240" w:lineRule="auto"/>
        <w:ind w:left="1912" w:right="0" w:hanging="526"/>
        <w:jc w:val="left"/>
        <w:rPr>
          <w:sz w:val="21"/>
        </w:rPr>
      </w:pPr>
      <w:r>
        <w:rPr>
          <w:sz w:val="21"/>
        </w:rPr>
        <w:t>设计内容</w:t>
      </w:r>
      <w:r>
        <w:rPr>
          <w:rFonts w:ascii="Times New Roman" w:eastAsia="Times New Roman"/>
          <w:sz w:val="21"/>
        </w:rPr>
        <w:tab/>
      </w:r>
      <w:r>
        <w:rPr>
          <w:sz w:val="21"/>
        </w:rPr>
        <w:t>4</w:t>
      </w:r>
    </w:p>
    <w:p>
      <w:pPr>
        <w:pStyle w:val="ListParagraph"/>
        <w:numPr>
          <w:ilvl w:val="0"/>
          <w:numId w:val="12"/>
        </w:numPr>
        <w:tabs>
          <w:tab w:val="left" w:pos="1493"/>
          <w:tab w:val="right" w:leader="dot" w:pos="10417"/>
        </w:tabs>
        <w:spacing w:before="43" w:after="0" w:line="240" w:lineRule="auto"/>
        <w:ind w:left="1492" w:right="0" w:hanging="315"/>
        <w:jc w:val="left"/>
        <w:rPr>
          <w:sz w:val="21"/>
        </w:rPr>
      </w:pPr>
      <w:r>
        <w:drawing>
          <wp:anchor distT="0" distB="0" distL="0" distR="0" simplePos="0" relativeHeight="251662336" behindDoc="0" locked="0" layoutInCell="1" allowOverlap="1">
            <wp:simplePos x="0" y="0"/>
            <wp:positionH relativeFrom="page">
              <wp:posOffset>215900</wp:posOffset>
            </wp:positionH>
            <wp:positionV relativeFrom="paragraph">
              <wp:posOffset>211582</wp:posOffset>
            </wp:positionV>
            <wp:extent cx="7112000" cy="4876800"/>
            <wp:effectExtent l="0" t="0" r="0" b="0"/>
            <wp:wrapNone/>
            <wp:docPr id="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r>
        <w:rPr>
          <w:sz w:val="21"/>
        </w:rPr>
        <w:t>生命线系统设施配套功能</w:t>
      </w:r>
      <w:r>
        <w:rPr>
          <w:rFonts w:ascii="Times New Roman" w:eastAsia="Times New Roman"/>
          <w:sz w:val="21"/>
        </w:rPr>
        <w:tab/>
      </w:r>
      <w:r>
        <w:rPr>
          <w:sz w:val="21"/>
        </w:rPr>
        <w:t>4</w:t>
      </w:r>
    </w:p>
    <w:p>
      <w:pPr>
        <w:pStyle w:val="ListParagraph"/>
        <w:numPr>
          <w:ilvl w:val="1"/>
          <w:numId w:val="12"/>
        </w:numPr>
        <w:tabs>
          <w:tab w:val="left" w:pos="1913"/>
          <w:tab w:val="right" w:leader="dot" w:pos="10417"/>
        </w:tabs>
        <w:spacing w:before="42" w:after="0" w:line="240" w:lineRule="auto"/>
        <w:ind w:left="1912" w:right="0" w:hanging="526"/>
        <w:jc w:val="left"/>
        <w:rPr>
          <w:sz w:val="21"/>
        </w:rPr>
      </w:pPr>
      <w:r>
        <w:rPr>
          <w:sz w:val="21"/>
        </w:rPr>
        <w:t>配套功能</w:t>
      </w:r>
      <w:r>
        <w:rPr>
          <w:rFonts w:ascii="Times New Roman" w:eastAsia="Times New Roman"/>
          <w:sz w:val="21"/>
        </w:rPr>
        <w:tab/>
      </w:r>
      <w:r>
        <w:rPr>
          <w:sz w:val="21"/>
        </w:rPr>
        <w:t>4</w:t>
      </w:r>
    </w:p>
    <w:p>
      <w:pPr>
        <w:pStyle w:val="ListParagraph"/>
        <w:numPr>
          <w:ilvl w:val="1"/>
          <w:numId w:val="12"/>
        </w:numPr>
        <w:tabs>
          <w:tab w:val="left" w:pos="1913"/>
          <w:tab w:val="right" w:leader="dot" w:pos="10417"/>
        </w:tabs>
        <w:spacing w:before="43" w:after="0" w:line="240" w:lineRule="auto"/>
        <w:ind w:left="1912" w:right="0" w:hanging="526"/>
        <w:jc w:val="left"/>
        <w:rPr>
          <w:sz w:val="21"/>
        </w:rPr>
      </w:pPr>
      <w:r>
        <w:rPr>
          <w:sz w:val="21"/>
        </w:rPr>
        <w:t>设置要求</w:t>
      </w:r>
      <w:r>
        <w:rPr>
          <w:rFonts w:ascii="Times New Roman" w:eastAsia="Times New Roman"/>
          <w:sz w:val="21"/>
        </w:rPr>
        <w:tab/>
      </w:r>
      <w:r>
        <w:rPr>
          <w:sz w:val="21"/>
        </w:rPr>
        <w:t>5</w:t>
      </w:r>
    </w:p>
    <w:p>
      <w:pPr>
        <w:pStyle w:val="ListParagraph"/>
        <w:numPr>
          <w:ilvl w:val="0"/>
          <w:numId w:val="12"/>
        </w:numPr>
        <w:tabs>
          <w:tab w:val="left" w:pos="1493"/>
          <w:tab w:val="right" w:leader="dot" w:pos="10419"/>
        </w:tabs>
        <w:spacing w:before="43" w:after="0" w:line="240" w:lineRule="auto"/>
        <w:ind w:left="1492" w:right="0" w:hanging="315"/>
        <w:jc w:val="left"/>
        <w:rPr>
          <w:sz w:val="21"/>
        </w:rPr>
      </w:pPr>
      <w:r>
        <w:rPr>
          <w:sz w:val="21"/>
        </w:rPr>
        <w:t>应急交通</w:t>
      </w:r>
      <w:r>
        <w:rPr>
          <w:rFonts w:ascii="Times New Roman" w:eastAsia="Times New Roman"/>
          <w:sz w:val="21"/>
        </w:rPr>
        <w:tab/>
      </w:r>
      <w:r>
        <w:rPr>
          <w:sz w:val="21"/>
        </w:rPr>
        <w:t>11</w:t>
      </w:r>
    </w:p>
    <w:p>
      <w:pPr>
        <w:pStyle w:val="ListParagraph"/>
        <w:numPr>
          <w:ilvl w:val="1"/>
          <w:numId w:val="12"/>
        </w:numPr>
        <w:tabs>
          <w:tab w:val="left" w:pos="1913"/>
          <w:tab w:val="right" w:leader="dot" w:pos="10419"/>
        </w:tabs>
        <w:spacing w:before="43" w:after="0" w:line="240" w:lineRule="auto"/>
        <w:ind w:left="1912" w:right="0" w:hanging="526"/>
        <w:jc w:val="left"/>
        <w:rPr>
          <w:sz w:val="21"/>
        </w:rPr>
      </w:pPr>
      <w:r>
        <w:rPr>
          <w:sz w:val="21"/>
        </w:rPr>
        <w:t>应急出入口</w:t>
      </w:r>
      <w:r>
        <w:rPr>
          <w:rFonts w:ascii="Times New Roman" w:eastAsia="Times New Roman"/>
          <w:sz w:val="21"/>
        </w:rPr>
        <w:tab/>
      </w:r>
      <w:r>
        <w:rPr>
          <w:sz w:val="21"/>
        </w:rPr>
        <w:t>11</w:t>
      </w:r>
    </w:p>
    <w:p>
      <w:pPr>
        <w:pStyle w:val="ListParagraph"/>
        <w:numPr>
          <w:ilvl w:val="1"/>
          <w:numId w:val="12"/>
        </w:numPr>
        <w:tabs>
          <w:tab w:val="left" w:pos="1913"/>
          <w:tab w:val="right" w:leader="dot" w:pos="10419"/>
        </w:tabs>
        <w:spacing w:before="43" w:after="0" w:line="240" w:lineRule="auto"/>
        <w:ind w:left="1912" w:right="0" w:hanging="526"/>
        <w:jc w:val="left"/>
        <w:rPr>
          <w:sz w:val="21"/>
        </w:rPr>
      </w:pPr>
      <w:r>
        <w:rPr>
          <w:sz w:val="21"/>
        </w:rPr>
        <w:t>疏散救援通道</w:t>
      </w:r>
      <w:r>
        <w:rPr>
          <w:rFonts w:ascii="Times New Roman" w:eastAsia="Times New Roman"/>
          <w:sz w:val="21"/>
        </w:rPr>
        <w:tab/>
      </w:r>
      <w:r>
        <w:rPr>
          <w:sz w:val="21"/>
        </w:rPr>
        <w:t>11</w:t>
      </w:r>
    </w:p>
    <w:p>
      <w:pPr>
        <w:pStyle w:val="ListParagraph"/>
        <w:numPr>
          <w:ilvl w:val="1"/>
          <w:numId w:val="12"/>
        </w:numPr>
        <w:tabs>
          <w:tab w:val="left" w:pos="1913"/>
          <w:tab w:val="right" w:leader="dot" w:pos="10419"/>
        </w:tabs>
        <w:spacing w:before="43" w:after="0" w:line="240" w:lineRule="auto"/>
        <w:ind w:left="1912" w:right="0" w:hanging="526"/>
        <w:jc w:val="left"/>
        <w:rPr>
          <w:sz w:val="21"/>
        </w:rPr>
      </w:pPr>
      <w:r>
        <w:rPr>
          <w:sz w:val="21"/>
        </w:rPr>
        <w:t>应急直升机使用区</w:t>
      </w:r>
      <w:r>
        <w:rPr>
          <w:rFonts w:ascii="Times New Roman" w:eastAsia="Times New Roman"/>
          <w:sz w:val="21"/>
        </w:rPr>
        <w:tab/>
      </w:r>
      <w:r>
        <w:rPr>
          <w:sz w:val="21"/>
        </w:rPr>
        <w:t>11</w:t>
      </w:r>
    </w:p>
    <w:p>
      <w:pPr>
        <w:pStyle w:val="ListParagraph"/>
        <w:numPr>
          <w:ilvl w:val="1"/>
          <w:numId w:val="12"/>
        </w:numPr>
        <w:tabs>
          <w:tab w:val="left" w:pos="1913"/>
          <w:tab w:val="right" w:leader="dot" w:pos="10419"/>
        </w:tabs>
        <w:spacing w:before="43" w:after="0" w:line="240" w:lineRule="auto"/>
        <w:ind w:left="1912" w:right="0" w:hanging="526"/>
        <w:jc w:val="left"/>
        <w:rPr>
          <w:sz w:val="21"/>
        </w:rPr>
      </w:pPr>
      <w:r>
        <w:rPr>
          <w:sz w:val="21"/>
        </w:rPr>
        <w:t>应急交通组织</w:t>
      </w:r>
      <w:r>
        <w:rPr>
          <w:rFonts w:ascii="Times New Roman" w:eastAsia="Times New Roman"/>
          <w:sz w:val="21"/>
        </w:rPr>
        <w:tab/>
      </w:r>
      <w:r>
        <w:rPr>
          <w:sz w:val="21"/>
        </w:rPr>
        <w:t>11</w:t>
      </w:r>
    </w:p>
    <w:p>
      <w:pPr>
        <w:pStyle w:val="ListParagraph"/>
        <w:numPr>
          <w:ilvl w:val="0"/>
          <w:numId w:val="12"/>
        </w:numPr>
        <w:tabs>
          <w:tab w:val="left" w:pos="1493"/>
          <w:tab w:val="right" w:leader="dot" w:pos="10419"/>
        </w:tabs>
        <w:spacing w:before="43" w:after="0" w:line="240" w:lineRule="auto"/>
        <w:ind w:left="1492" w:right="0" w:hanging="315"/>
        <w:jc w:val="left"/>
        <w:rPr>
          <w:sz w:val="21"/>
        </w:rPr>
      </w:pPr>
      <w:r>
        <w:rPr>
          <w:sz w:val="21"/>
        </w:rPr>
        <w:t>应急标识</w:t>
      </w:r>
      <w:r>
        <w:rPr>
          <w:rFonts w:ascii="Times New Roman" w:eastAsia="Times New Roman"/>
          <w:sz w:val="21"/>
        </w:rPr>
        <w:tab/>
      </w:r>
      <w:r>
        <w:rPr>
          <w:sz w:val="21"/>
        </w:rPr>
        <w:t>12</w:t>
      </w:r>
    </w:p>
    <w:p>
      <w:pPr>
        <w:pStyle w:val="ListParagraph"/>
        <w:numPr>
          <w:ilvl w:val="1"/>
          <w:numId w:val="12"/>
        </w:numPr>
        <w:tabs>
          <w:tab w:val="left" w:pos="1913"/>
          <w:tab w:val="right" w:leader="dot" w:pos="10419"/>
        </w:tabs>
        <w:spacing w:before="43" w:after="0" w:line="240" w:lineRule="auto"/>
        <w:ind w:left="1912" w:right="0" w:hanging="526"/>
        <w:jc w:val="left"/>
        <w:rPr>
          <w:sz w:val="21"/>
        </w:rPr>
      </w:pPr>
      <w:r>
        <w:rPr>
          <w:sz w:val="21"/>
        </w:rPr>
        <w:t>标识分类</w:t>
      </w:r>
      <w:r>
        <w:rPr>
          <w:rFonts w:ascii="Times New Roman" w:eastAsia="Times New Roman"/>
          <w:sz w:val="21"/>
        </w:rPr>
        <w:tab/>
      </w:r>
      <w:r>
        <w:rPr>
          <w:sz w:val="21"/>
        </w:rPr>
        <w:t>12</w:t>
      </w:r>
    </w:p>
    <w:p>
      <w:pPr>
        <w:pStyle w:val="ListParagraph"/>
        <w:numPr>
          <w:ilvl w:val="1"/>
          <w:numId w:val="12"/>
        </w:numPr>
        <w:tabs>
          <w:tab w:val="left" w:pos="1913"/>
          <w:tab w:val="right" w:leader="dot" w:pos="10419"/>
        </w:tabs>
        <w:spacing w:before="43" w:after="0" w:line="240" w:lineRule="auto"/>
        <w:ind w:left="1912" w:right="0" w:hanging="526"/>
        <w:jc w:val="left"/>
        <w:rPr>
          <w:sz w:val="21"/>
        </w:rPr>
      </w:pPr>
      <w:r>
        <w:rPr>
          <w:sz w:val="21"/>
        </w:rPr>
        <w:t>标识设置要求</w:t>
      </w:r>
      <w:r>
        <w:rPr>
          <w:rFonts w:ascii="Times New Roman" w:eastAsia="Times New Roman"/>
          <w:sz w:val="21"/>
        </w:rPr>
        <w:tab/>
      </w:r>
      <w:r>
        <w:rPr>
          <w:sz w:val="21"/>
        </w:rPr>
        <w:t>12</w:t>
      </w:r>
    </w:p>
    <w:p>
      <w:pPr>
        <w:pStyle w:val="ListParagraph"/>
        <w:numPr>
          <w:ilvl w:val="0"/>
          <w:numId w:val="12"/>
        </w:numPr>
        <w:tabs>
          <w:tab w:val="left" w:pos="1493"/>
          <w:tab w:val="right" w:leader="dot" w:pos="10419"/>
        </w:tabs>
        <w:spacing w:before="43" w:after="0" w:line="240" w:lineRule="auto"/>
        <w:ind w:left="1492" w:right="0" w:hanging="315"/>
        <w:jc w:val="left"/>
        <w:rPr>
          <w:sz w:val="21"/>
        </w:rPr>
      </w:pPr>
      <w:r>
        <w:rPr>
          <w:sz w:val="21"/>
        </w:rPr>
        <w:t>应急转换</w:t>
      </w:r>
      <w:r>
        <w:rPr>
          <w:rFonts w:ascii="Times New Roman" w:eastAsia="Times New Roman"/>
          <w:sz w:val="21"/>
        </w:rPr>
        <w:tab/>
      </w:r>
      <w:r>
        <w:rPr>
          <w:sz w:val="21"/>
        </w:rPr>
        <w:t>12</w:t>
      </w:r>
    </w:p>
    <w:p>
      <w:pPr>
        <w:pStyle w:val="BodyText"/>
        <w:tabs>
          <w:tab w:val="right" w:leader="dot" w:pos="10419"/>
        </w:tabs>
        <w:spacing w:before="43"/>
        <w:ind w:left="1178"/>
      </w:pPr>
      <w:r>
        <w:t>附录</w:t>
      </w:r>
      <w:r>
        <w:rPr>
          <w:spacing w:val="-54"/>
        </w:rPr>
        <w:t xml:space="preserve"> </w:t>
      </w:r>
      <w:r>
        <w:t>A（规范性）应急避护场所图形符号</w:t>
      </w:r>
      <w:r>
        <w:rPr>
          <w:rFonts w:ascii="Times New Roman" w:eastAsia="Times New Roman"/>
        </w:rPr>
        <w:tab/>
      </w:r>
      <w:r>
        <w:t>15</w:t>
      </w: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rPr>
          <w:sz w:val="18"/>
        </w:rPr>
      </w:pPr>
    </w:p>
    <w:p>
      <w:pPr>
        <w:pStyle w:val="BodyText"/>
        <w:spacing w:before="5"/>
        <w:rPr>
          <w:sz w:val="20"/>
        </w:rPr>
      </w:pPr>
    </w:p>
    <w:p>
      <w:pPr>
        <w:spacing w:before="0"/>
        <w:ind w:left="0" w:right="1070" w:firstLine="0"/>
        <w:jc w:val="right"/>
        <w:rPr>
          <w:sz w:val="18"/>
        </w:rPr>
      </w:pPr>
      <w:r>
        <w:rPr>
          <w:sz w:val="18"/>
        </w:rPr>
        <w:t>I</w:t>
      </w:r>
    </w:p>
    <w:p>
      <w:pPr>
        <w:spacing w:after="0"/>
        <w:jc w:val="right"/>
        <w:rPr>
          <w:sz w:val="18"/>
        </w:rPr>
        <w:sectPr>
          <w:headerReference w:type="even" r:id="rId6"/>
          <w:headerReference w:type="default" r:id="rId7"/>
          <w:pgSz w:w="11910" w:h="16840"/>
          <w:pgMar w:top="1660" w:right="260" w:bottom="280" w:left="240" w:header="1442" w:footer="0"/>
          <w:pgNumType w:start="3"/>
          <w:cols w:space="708"/>
        </w:sectPr>
      </w:pPr>
    </w:p>
    <w:p>
      <w:pPr>
        <w:pStyle w:val="BodyText"/>
        <w:rPr>
          <w:sz w:val="20"/>
        </w:rPr>
      </w:pPr>
    </w:p>
    <w:p>
      <w:pPr>
        <w:pStyle w:val="BodyText"/>
        <w:rPr>
          <w:sz w:val="20"/>
        </w:rPr>
      </w:pPr>
    </w:p>
    <w:p>
      <w:pPr>
        <w:pStyle w:val="BodyText"/>
        <w:rPr>
          <w:sz w:val="20"/>
        </w:rPr>
      </w:pPr>
    </w:p>
    <w:p>
      <w:pPr>
        <w:pStyle w:val="Heading1"/>
        <w:tabs>
          <w:tab w:val="left" w:pos="1584"/>
        </w:tabs>
      </w:pPr>
      <w:bookmarkStart w:id="1" w:name="前    言"/>
      <w:bookmarkEnd w:id="1"/>
      <w:r>
        <w:t>前</w:t>
        <w:tab/>
        <w:t>言</w:t>
      </w:r>
    </w:p>
    <w:p>
      <w:pPr>
        <w:pStyle w:val="BodyText"/>
        <w:rPr>
          <w:rFonts w:ascii="黑体"/>
          <w:sz w:val="32"/>
        </w:rPr>
      </w:pPr>
    </w:p>
    <w:p>
      <w:pPr>
        <w:pStyle w:val="BodyText"/>
        <w:spacing w:before="278" w:line="278" w:lineRule="auto"/>
        <w:ind w:left="1178" w:right="872" w:firstLine="420"/>
        <w:jc w:val="both"/>
      </w:pPr>
      <w:r>
        <w:rPr>
          <w:w w:val="95"/>
        </w:rPr>
        <w:t>为规范广州市应急避护场所设计工作，根据2018年广州市地方标准制定项目的通知（穗质监函</w:t>
      </w:r>
      <w:r>
        <w:t>[2018]670号），标准编制组经过充分调研，认真总结国内已有经验，在广泛征求意见的基础上，结合广州市的实际情况，制定本标准。</w:t>
      </w:r>
    </w:p>
    <w:p>
      <w:pPr>
        <w:pStyle w:val="BodyText"/>
        <w:spacing w:line="269" w:lineRule="exact"/>
        <w:ind w:left="1598"/>
      </w:pPr>
      <w:r>
        <w:t>广州市应急避护场所的设计除符合本标准外，尚应符合国家和广东省现行有关标准的规定。</w:t>
      </w:r>
    </w:p>
    <w:p>
      <w:pPr>
        <w:pStyle w:val="BodyText"/>
        <w:spacing w:before="43" w:line="278" w:lineRule="auto"/>
        <w:ind w:left="1178" w:right="867" w:firstLine="420"/>
      </w:pPr>
      <w:r>
        <w:rPr>
          <w:w w:val="95"/>
        </w:rPr>
        <w:t>本文件共8章和1</w:t>
      </w:r>
      <w:r>
        <w:rPr>
          <w:spacing w:val="-9"/>
          <w:w w:val="95"/>
        </w:rPr>
        <w:t xml:space="preserve">个附录，主要内容包括范围、规范性引用文件、术语和定义、设计规定、生命系统   </w:t>
      </w:r>
      <w:r>
        <w:rPr>
          <w:spacing w:val="-9"/>
        </w:rPr>
        <w:t>设施配套功能、应急交通、应急标识、应急转换，附录A应急避护场所图形符号。</w:t>
      </w:r>
    </w:p>
    <w:p>
      <w:pPr>
        <w:pStyle w:val="BodyText"/>
        <w:spacing w:line="278" w:lineRule="auto"/>
        <w:ind w:left="1598" w:right="776"/>
      </w:pPr>
      <w:r>
        <w:rPr>
          <w:w w:val="95"/>
        </w:rPr>
        <w:t xml:space="preserve">本文件由广州市应急管理局负责日常管理，广州市交通规划研究院有限公司负责具体内容的解释。   </w:t>
      </w:r>
      <w:r>
        <w:t>本文件按照GB/T</w:t>
      </w:r>
      <w:r>
        <w:rPr>
          <w:spacing w:val="-2"/>
        </w:rPr>
        <w:t xml:space="preserve"> </w:t>
      </w:r>
      <w:r>
        <w:t>1.1-2020给出的规则起草。</w:t>
      </w:r>
    </w:p>
    <w:p>
      <w:pPr>
        <w:pStyle w:val="BodyText"/>
        <w:spacing w:line="269" w:lineRule="exact"/>
        <w:ind w:left="1598"/>
      </w:pPr>
      <w:r>
        <w:t>本文件由广州市应急管理局提出并归口。</w:t>
      </w:r>
    </w:p>
    <w:p>
      <w:pPr>
        <w:pStyle w:val="BodyText"/>
        <w:spacing w:before="43" w:line="278" w:lineRule="auto"/>
        <w:ind w:left="1178" w:right="875" w:firstLine="420"/>
        <w:jc w:val="both"/>
      </w:pPr>
      <w:r>
        <w:rPr>
          <w:spacing w:val="-7"/>
          <w:w w:val="95"/>
        </w:rPr>
        <w:t xml:space="preserve">本文件在执行过程中，如发现需要修改和补充之处，请将意见和有关资料寄送至广州市交通规划研   </w:t>
      </w:r>
      <w:r>
        <w:rPr>
          <w:spacing w:val="26"/>
        </w:rPr>
        <w:t>究院有限公司</w:t>
      </w:r>
      <w:r>
        <w:t>（</w:t>
      </w:r>
      <w:r>
        <w:rPr>
          <w:spacing w:val="5"/>
        </w:rPr>
        <w:t xml:space="preserve"> 地址： 广州市越秀区广卫路</w:t>
      </w:r>
      <w:r>
        <w:t>10</w:t>
      </w:r>
      <w:r>
        <w:rPr>
          <w:spacing w:val="-14"/>
        </w:rPr>
        <w:t xml:space="preserve"> 号， 邮政编码： </w:t>
      </w:r>
      <w:r>
        <w:t>510030</w:t>
      </w:r>
      <w:r>
        <w:rPr>
          <w:spacing w:val="-84"/>
        </w:rPr>
        <w:t xml:space="preserve"> </w:t>
      </w:r>
      <w:r>
        <w:t>）</w:t>
      </w:r>
      <w:r>
        <w:rPr>
          <w:spacing w:val="-1"/>
        </w:rPr>
        <w:t xml:space="preserve"> ， 或发送电子邮件至</w:t>
      </w:r>
      <w:hyperlink r:id="rId8">
        <w:r>
          <w:rPr>
            <w:spacing w:val="-1"/>
          </w:rPr>
          <w:t>1020215820@qq.com</w:t>
        </w:r>
      </w:hyperlink>
      <w:r>
        <w:rPr>
          <w:spacing w:val="-1"/>
        </w:rPr>
        <w:t>，以便今后修订时参考。</w:t>
      </w:r>
    </w:p>
    <w:p>
      <w:pPr>
        <w:pStyle w:val="BodyText"/>
        <w:spacing w:line="269" w:lineRule="exact"/>
        <w:ind w:left="1598"/>
      </w:pPr>
      <w:r>
        <w:t>本文件起草单位：广州市交通规划研究院有限公司。</w:t>
      </w:r>
    </w:p>
    <w:p>
      <w:pPr>
        <w:pStyle w:val="BodyText"/>
        <w:spacing w:before="43"/>
        <w:ind w:left="1598"/>
      </w:pPr>
      <w:r>
        <w:pict>
          <v:group id="_x0000_s1031" style="width:357.9pt;height:377.45pt;margin-top:19.27pt;margin-left:70.92pt;mso-position-horizontal-relative:page;mso-wrap-distance-left:0;mso-wrap-distance-right:0;position:absolute;z-index:-251652096" coordorigin="1418,385" coordsize="7158,7549">
            <v:shape id="_x0000_s1032" type="#_x0000_t202" style="width:7158;height:833;left:1418;position:absolute;top:385" filled="f" stroked="f">
              <v:textbox inset="0,0,0,0">
                <w:txbxContent>
                  <w:p>
                    <w:pPr>
                      <w:spacing w:before="0" w:line="239" w:lineRule="exact"/>
                      <w:ind w:left="0" w:right="0" w:firstLine="0"/>
                      <w:jc w:val="left"/>
                      <w:rPr>
                        <w:sz w:val="21"/>
                      </w:rPr>
                    </w:pPr>
                    <w:r>
                      <w:rPr>
                        <w:sz w:val="21"/>
                      </w:rPr>
                      <w:t>刘玮、胡劲松、杜刚诚、张海霞、卞芸芸、李密滔。</w:t>
                    </w:r>
                  </w:p>
                  <w:p>
                    <w:pPr>
                      <w:spacing w:before="0" w:line="310" w:lineRule="atLeast"/>
                      <w:ind w:left="420" w:right="18" w:firstLine="0"/>
                      <w:jc w:val="left"/>
                      <w:rPr>
                        <w:sz w:val="21"/>
                      </w:rPr>
                    </w:pPr>
                    <w:r>
                      <w:rPr>
                        <w:w w:val="95"/>
                        <w:sz w:val="21"/>
                      </w:rPr>
                      <w:t xml:space="preserve">主要审查人：李欣、闫永涛、赖文波、廖开怀、郭艳华、毛宇丰、郑勇。  </w:t>
                    </w:r>
                    <w:r>
                      <w:rPr>
                        <w:sz w:val="21"/>
                      </w:rPr>
                      <w:t>本文件为首次发布。</w:t>
                    </w:r>
                  </w:p>
                </w:txbxContent>
              </v:textbox>
            </v:shape>
            <v:shape id="_x0000_s1033" type="#_x0000_t202" style="width:140;height:200;left:1557;position:absolute;top:7734" filled="f" stroked="f">
              <v:textbox inset="0,0,0,0">
                <w:txbxContent>
                  <w:p>
                    <w:pPr>
                      <w:spacing w:before="0" w:line="199" w:lineRule="exact"/>
                      <w:ind w:left="0" w:right="0" w:firstLine="0"/>
                      <w:jc w:val="left"/>
                      <w:rPr>
                        <w:rFonts w:ascii="Times New Roman"/>
                        <w:sz w:val="18"/>
                      </w:rPr>
                    </w:pPr>
                    <w:r>
                      <w:rPr>
                        <w:rFonts w:ascii="Times New Roman"/>
                        <w:sz w:val="18"/>
                      </w:rPr>
                      <w:t>II</w:t>
                    </w:r>
                  </w:p>
                </w:txbxContent>
              </v:textbox>
            </v:shape>
            <w10:wrap type="topAndBottom"/>
          </v:group>
        </w:pict>
      </w:r>
      <w:r>
        <w:drawing>
          <wp:anchor distT="0" distB="0" distL="0" distR="0" simplePos="0" relativeHeight="251663360" behindDoc="0" locked="0" layoutInCell="1" allowOverlap="1">
            <wp:simplePos x="0" y="0"/>
            <wp:positionH relativeFrom="page">
              <wp:posOffset>215900</wp:posOffset>
            </wp:positionH>
            <wp:positionV relativeFrom="paragraph">
              <wp:posOffset>310641</wp:posOffset>
            </wp:positionV>
            <wp:extent cx="7112000" cy="4876800"/>
            <wp:effectExtent l="0" t="0" r="0" b="0"/>
            <wp:wrapNone/>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r>
        <w:t>本文件主要起草人：景国胜、马小毅、谢加红、王其东、由梦童、吴希颖、方舟、曹辉、肖伟智、</w:t>
      </w:r>
    </w:p>
    <w:p>
      <w:pPr>
        <w:spacing w:after="0"/>
        <w:sectPr>
          <w:headerReference w:type="even" r:id="rId9"/>
          <w:headerReference w:type="default" r:id="rId10"/>
          <w:pgSz w:w="11910" w:h="16840"/>
          <w:pgMar w:top="1660" w:right="260" w:bottom="280" w:left="240" w:header="1442" w:footer="0"/>
          <w:pgNumType w:start="4"/>
          <w:cols w:space="708"/>
        </w:sectPr>
      </w:pPr>
    </w:p>
    <w:p>
      <w:pPr>
        <w:pStyle w:val="BodyText"/>
        <w:rPr>
          <w:sz w:val="20"/>
        </w:rPr>
      </w:pPr>
    </w:p>
    <w:p>
      <w:pPr>
        <w:pStyle w:val="BodyText"/>
        <w:rPr>
          <w:sz w:val="20"/>
        </w:rPr>
      </w:pPr>
    </w:p>
    <w:p>
      <w:pPr>
        <w:pStyle w:val="BodyText"/>
        <w:rPr>
          <w:sz w:val="28"/>
        </w:rPr>
      </w:pPr>
    </w:p>
    <w:p>
      <w:pPr>
        <w:pStyle w:val="Heading1"/>
        <w:spacing w:before="54"/>
      </w:pPr>
      <w:r>
        <w:t>应急避护场所设计规范</w:t>
      </w:r>
    </w:p>
    <w:p>
      <w:pPr>
        <w:pStyle w:val="BodyText"/>
        <w:rPr>
          <w:rFonts w:ascii="黑体"/>
          <w:sz w:val="20"/>
        </w:rPr>
      </w:pPr>
    </w:p>
    <w:p>
      <w:pPr>
        <w:pStyle w:val="BodyText"/>
        <w:spacing w:before="12"/>
        <w:rPr>
          <w:rFonts w:ascii="黑体"/>
          <w:sz w:val="19"/>
        </w:rPr>
      </w:pPr>
    </w:p>
    <w:p>
      <w:pPr>
        <w:pStyle w:val="ListParagraph"/>
        <w:numPr>
          <w:ilvl w:val="0"/>
          <w:numId w:val="13"/>
        </w:numPr>
        <w:tabs>
          <w:tab w:val="left" w:pos="1493"/>
        </w:tabs>
        <w:spacing w:before="70" w:after="0" w:line="240" w:lineRule="auto"/>
        <w:ind w:left="1492" w:right="0" w:hanging="315"/>
        <w:jc w:val="left"/>
        <w:rPr>
          <w:rFonts w:ascii="黑体" w:eastAsia="黑体" w:hint="eastAsia"/>
          <w:sz w:val="21"/>
        </w:rPr>
      </w:pPr>
      <w:bookmarkStart w:id="2" w:name="1　范围 "/>
      <w:bookmarkEnd w:id="2"/>
      <w:r>
        <w:rPr>
          <w:rFonts w:ascii="黑体" w:eastAsia="黑体" w:hint="eastAsia"/>
          <w:sz w:val="21"/>
        </w:rPr>
        <w:t>范围</w:t>
      </w:r>
    </w:p>
    <w:p>
      <w:pPr>
        <w:pStyle w:val="BodyText"/>
        <w:spacing w:before="8"/>
        <w:rPr>
          <w:rFonts w:ascii="黑体"/>
          <w:sz w:val="27"/>
        </w:rPr>
      </w:pPr>
    </w:p>
    <w:p>
      <w:pPr>
        <w:pStyle w:val="BodyText"/>
        <w:spacing w:before="1" w:line="278" w:lineRule="auto"/>
        <w:ind w:left="1178" w:right="872" w:firstLine="420"/>
      </w:pPr>
      <w:r>
        <w:rPr>
          <w:spacing w:val="-5"/>
          <w:w w:val="95"/>
        </w:rPr>
        <w:t xml:space="preserve">本文件规定了应急避护场所设计规范的术语和定义、设计规定、生命线系统设施配套功能、应急交   </w:t>
      </w:r>
      <w:r>
        <w:rPr>
          <w:spacing w:val="-5"/>
        </w:rPr>
        <w:t>通、应急标识和应急转换等内容。</w:t>
      </w:r>
    </w:p>
    <w:p>
      <w:pPr>
        <w:pStyle w:val="BodyText"/>
        <w:spacing w:line="269" w:lineRule="exact"/>
        <w:ind w:left="1598"/>
      </w:pPr>
      <w:r>
        <w:t>本文件适用于广州市域范围内新建、扩建和改建的应急避护场所的设计。</w:t>
      </w:r>
    </w:p>
    <w:p>
      <w:pPr>
        <w:pStyle w:val="BodyText"/>
        <w:spacing w:before="8"/>
        <w:rPr>
          <w:sz w:val="27"/>
        </w:rPr>
      </w:pPr>
    </w:p>
    <w:p>
      <w:pPr>
        <w:pStyle w:val="ListParagraph"/>
        <w:numPr>
          <w:ilvl w:val="0"/>
          <w:numId w:val="13"/>
        </w:numPr>
        <w:tabs>
          <w:tab w:val="left" w:pos="1493"/>
        </w:tabs>
        <w:spacing w:before="1" w:after="0" w:line="240" w:lineRule="auto"/>
        <w:ind w:left="1492" w:right="0" w:hanging="315"/>
        <w:jc w:val="left"/>
        <w:rPr>
          <w:rFonts w:ascii="黑体" w:eastAsia="黑体" w:hint="eastAsia"/>
          <w:sz w:val="21"/>
        </w:rPr>
      </w:pPr>
      <w:bookmarkStart w:id="3" w:name="2　规范性引用文件 "/>
      <w:bookmarkEnd w:id="3"/>
      <w:r>
        <w:rPr>
          <w:rFonts w:ascii="黑体" w:eastAsia="黑体" w:hint="eastAsia"/>
          <w:sz w:val="21"/>
        </w:rPr>
        <w:t>规范性引用文件</w:t>
      </w:r>
    </w:p>
    <w:p>
      <w:pPr>
        <w:pStyle w:val="BodyText"/>
        <w:spacing w:before="8"/>
        <w:rPr>
          <w:rFonts w:ascii="黑体"/>
          <w:sz w:val="27"/>
        </w:rPr>
      </w:pPr>
    </w:p>
    <w:p>
      <w:pPr>
        <w:pStyle w:val="BodyText"/>
        <w:spacing w:before="1" w:after="30" w:line="278" w:lineRule="auto"/>
        <w:ind w:left="1178" w:right="768" w:firstLine="420"/>
      </w:pPr>
      <w:r>
        <w:rPr>
          <w:spacing w:val="-7"/>
          <w:w w:val="95"/>
        </w:rPr>
        <w:t xml:space="preserve">下列文件中的内容通过文中的规范性引用而构成本文件必不可少的条款。其中，注日期的引用文件，   </w:t>
      </w:r>
      <w:r>
        <w:rPr>
          <w:spacing w:val="-10"/>
        </w:rPr>
        <w:t>仅该日期对应的版本适用于本文件；不注日期的引用文件，其最新版本</w:t>
      </w:r>
      <w:r>
        <w:t>（包括所有的修改单</w:t>
      </w:r>
      <w:r>
        <w:rPr>
          <w:spacing w:val="-25"/>
        </w:rPr>
        <w:t>）</w:t>
      </w:r>
      <w:r>
        <w:t>适用于本文件。</w:t>
      </w:r>
    </w:p>
    <w:tbl>
      <w:tblPr>
        <w:tblStyle w:val="TableNormal0"/>
        <w:tblW w:w="0" w:type="auto"/>
        <w:jc w:val="left"/>
        <w:tblInd w:w="15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12"/>
        <w:gridCol w:w="578"/>
        <w:gridCol w:w="2252"/>
      </w:tblGrid>
      <w:tr>
        <w:tblPrEx>
          <w:tblW w:w="0" w:type="auto"/>
          <w:jc w:val="left"/>
          <w:tblInd w:w="15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260"/>
          <w:jc w:val="left"/>
        </w:trPr>
        <w:tc>
          <w:tcPr>
            <w:tcW w:w="312" w:type="dxa"/>
          </w:tcPr>
          <w:p>
            <w:pPr>
              <w:pStyle w:val="TableParagraph"/>
              <w:spacing w:line="239" w:lineRule="exact"/>
              <w:ind w:right="49"/>
              <w:jc w:val="right"/>
              <w:rPr>
                <w:sz w:val="21"/>
              </w:rPr>
            </w:pPr>
            <w:r>
              <w:rPr>
                <w:sz w:val="21"/>
              </w:rPr>
              <w:t>GB</w:t>
            </w:r>
          </w:p>
        </w:tc>
        <w:tc>
          <w:tcPr>
            <w:tcW w:w="578" w:type="dxa"/>
          </w:tcPr>
          <w:p>
            <w:pPr>
              <w:pStyle w:val="TableParagraph"/>
              <w:spacing w:line="239" w:lineRule="exact"/>
              <w:ind w:left="34" w:right="83"/>
              <w:jc w:val="center"/>
              <w:rPr>
                <w:sz w:val="21"/>
              </w:rPr>
            </w:pPr>
            <w:r>
              <w:rPr>
                <w:sz w:val="21"/>
              </w:rPr>
              <w:t>2894</w:t>
            </w:r>
          </w:p>
        </w:tc>
        <w:tc>
          <w:tcPr>
            <w:tcW w:w="2252" w:type="dxa"/>
          </w:tcPr>
          <w:p>
            <w:pPr>
              <w:pStyle w:val="TableParagraph"/>
              <w:spacing w:line="239" w:lineRule="exact"/>
              <w:ind w:left="105"/>
              <w:rPr>
                <w:sz w:val="21"/>
              </w:rPr>
            </w:pPr>
            <w:r>
              <w:rPr>
                <w:sz w:val="21"/>
              </w:rPr>
              <w:t>安全标志及其使用导则</w:t>
            </w:r>
          </w:p>
        </w:tc>
      </w:tr>
      <w:tr>
        <w:tblPrEx>
          <w:tblW w:w="0" w:type="auto"/>
          <w:jc w:val="left"/>
          <w:tblInd w:w="1555" w:type="dxa"/>
          <w:tblLayout w:type="fixed"/>
          <w:tblCellMar>
            <w:top w:w="0" w:type="dxa"/>
            <w:left w:w="0" w:type="dxa"/>
            <w:bottom w:w="0" w:type="dxa"/>
            <w:right w:w="0" w:type="dxa"/>
          </w:tblCellMar>
          <w:tblLook w:val="01E0"/>
        </w:tblPrEx>
        <w:trPr>
          <w:trHeight w:val="312"/>
          <w:jc w:val="left"/>
        </w:trPr>
        <w:tc>
          <w:tcPr>
            <w:tcW w:w="312" w:type="dxa"/>
          </w:tcPr>
          <w:p>
            <w:pPr>
              <w:pStyle w:val="TableParagraph"/>
              <w:spacing w:before="21"/>
              <w:ind w:right="49"/>
              <w:jc w:val="right"/>
              <w:rPr>
                <w:sz w:val="21"/>
              </w:rPr>
            </w:pPr>
            <w:r>
              <w:rPr>
                <w:sz w:val="21"/>
              </w:rPr>
              <w:t>GB</w:t>
            </w:r>
          </w:p>
        </w:tc>
        <w:tc>
          <w:tcPr>
            <w:tcW w:w="578" w:type="dxa"/>
          </w:tcPr>
          <w:p>
            <w:pPr>
              <w:pStyle w:val="TableParagraph"/>
              <w:spacing w:before="21"/>
              <w:ind w:left="34" w:right="83"/>
              <w:jc w:val="center"/>
              <w:rPr>
                <w:sz w:val="21"/>
              </w:rPr>
            </w:pPr>
            <w:r>
              <w:rPr>
                <w:sz w:val="21"/>
              </w:rPr>
              <w:t>5749</w:t>
            </w:r>
          </w:p>
        </w:tc>
        <w:tc>
          <w:tcPr>
            <w:tcW w:w="2252" w:type="dxa"/>
          </w:tcPr>
          <w:p>
            <w:pPr>
              <w:pStyle w:val="TableParagraph"/>
              <w:spacing w:before="21"/>
              <w:ind w:left="105"/>
              <w:rPr>
                <w:sz w:val="21"/>
              </w:rPr>
            </w:pPr>
            <w:r>
              <w:rPr>
                <w:sz w:val="21"/>
              </w:rPr>
              <w:t>生活饮用水卫生标准</w:t>
            </w:r>
          </w:p>
        </w:tc>
      </w:tr>
      <w:tr>
        <w:tblPrEx>
          <w:tblW w:w="0" w:type="auto"/>
          <w:jc w:val="left"/>
          <w:tblInd w:w="1555" w:type="dxa"/>
          <w:tblLayout w:type="fixed"/>
          <w:tblCellMar>
            <w:top w:w="0" w:type="dxa"/>
            <w:left w:w="0" w:type="dxa"/>
            <w:bottom w:w="0" w:type="dxa"/>
            <w:right w:w="0" w:type="dxa"/>
          </w:tblCellMar>
          <w:tblLook w:val="01E0"/>
        </w:tblPrEx>
        <w:trPr>
          <w:trHeight w:val="260"/>
          <w:jc w:val="left"/>
        </w:trPr>
        <w:tc>
          <w:tcPr>
            <w:tcW w:w="312" w:type="dxa"/>
          </w:tcPr>
          <w:p>
            <w:pPr>
              <w:pStyle w:val="TableParagraph"/>
              <w:spacing w:before="21" w:line="219" w:lineRule="exact"/>
              <w:ind w:right="49"/>
              <w:jc w:val="right"/>
              <w:rPr>
                <w:sz w:val="21"/>
              </w:rPr>
            </w:pPr>
            <w:r>
              <w:rPr>
                <w:sz w:val="21"/>
              </w:rPr>
              <w:t>GB</w:t>
            </w:r>
          </w:p>
        </w:tc>
        <w:tc>
          <w:tcPr>
            <w:tcW w:w="578" w:type="dxa"/>
          </w:tcPr>
          <w:p>
            <w:pPr>
              <w:pStyle w:val="TableParagraph"/>
              <w:spacing w:before="21" w:line="219" w:lineRule="exact"/>
              <w:ind w:left="34" w:right="83"/>
              <w:jc w:val="center"/>
              <w:rPr>
                <w:sz w:val="21"/>
              </w:rPr>
            </w:pPr>
            <w:r>
              <w:rPr>
                <w:sz w:val="21"/>
              </w:rPr>
              <w:t>5768</w:t>
            </w:r>
          </w:p>
        </w:tc>
        <w:tc>
          <w:tcPr>
            <w:tcW w:w="2252" w:type="dxa"/>
          </w:tcPr>
          <w:p>
            <w:pPr>
              <w:pStyle w:val="TableParagraph"/>
              <w:spacing w:before="21" w:line="219" w:lineRule="exact"/>
              <w:ind w:left="105"/>
              <w:rPr>
                <w:sz w:val="21"/>
              </w:rPr>
            </w:pPr>
            <w:r>
              <w:rPr>
                <w:sz w:val="21"/>
              </w:rPr>
              <w:t>道路交通标志和标线</w:t>
            </w:r>
          </w:p>
        </w:tc>
      </w:tr>
    </w:tbl>
    <w:p>
      <w:pPr>
        <w:pStyle w:val="BodyText"/>
        <w:spacing w:before="72"/>
        <w:ind w:left="1598"/>
      </w:pPr>
      <w:r>
        <w:pict>
          <v:group id="_x0000_s1034" style="width:468.8pt;height:368.85pt;margin-top:20.72pt;margin-left:70.92pt;mso-position-horizontal-relative:page;position:absolute;z-index:-251650048" coordorigin="1418,414" coordsize="9376,7377">
            <v:shape id="_x0000_s1035" type="#_x0000_t202" style="width:4429;height:209;left:1838;position:absolute;top:414" filled="f" stroked="f">
              <v:textbox inset="0,0,0,0">
                <w:txbxContent>
                  <w:p>
                    <w:pPr>
                      <w:spacing w:before="0" w:line="209" w:lineRule="exact"/>
                      <w:ind w:left="0" w:right="0" w:firstLine="0"/>
                      <w:jc w:val="left"/>
                      <w:rPr>
                        <w:sz w:val="21"/>
                      </w:rPr>
                    </w:pPr>
                    <w:r>
                      <w:rPr>
                        <w:sz w:val="21"/>
                      </w:rPr>
                      <w:t>GB/T 24362-2009 地震公共信息图形符号与标志</w:t>
                    </w:r>
                  </w:p>
                </w:txbxContent>
              </v:textbox>
            </v:shape>
            <v:shape id="_x0000_s1036" type="#_x0000_t202" style="width:5164;height:1457;left:1838;position:absolute;top:2286" filled="f" stroked="f">
              <v:textbox inset="0,0,0,0">
                <w:txbxContent>
                  <w:p>
                    <w:pPr>
                      <w:spacing w:before="0" w:line="239" w:lineRule="exact"/>
                      <w:ind w:left="0" w:right="0" w:firstLine="0"/>
                      <w:jc w:val="left"/>
                      <w:rPr>
                        <w:sz w:val="21"/>
                      </w:rPr>
                    </w:pPr>
                    <w:r>
                      <w:rPr>
                        <w:sz w:val="21"/>
                      </w:rPr>
                      <w:t>GJB 3502-1998 军用永备直升机机场场道工程建设标准</w:t>
                    </w:r>
                  </w:p>
                  <w:p>
                    <w:pPr>
                      <w:spacing w:before="43"/>
                      <w:ind w:left="0" w:right="0" w:firstLine="0"/>
                      <w:jc w:val="left"/>
                      <w:rPr>
                        <w:sz w:val="21"/>
                      </w:rPr>
                    </w:pPr>
                    <w:r>
                      <w:rPr>
                        <w:sz w:val="21"/>
                      </w:rPr>
                      <w:t>CJJ 83 城市用地竖向规划规范</w:t>
                    </w:r>
                  </w:p>
                  <w:p>
                    <w:pPr>
                      <w:spacing w:before="43"/>
                      <w:ind w:left="0" w:right="0" w:firstLine="0"/>
                      <w:jc w:val="left"/>
                      <w:rPr>
                        <w:sz w:val="21"/>
                      </w:rPr>
                    </w:pPr>
                    <w:r>
                      <w:rPr>
                        <w:sz w:val="21"/>
                      </w:rPr>
                      <w:t>MH 5013-2014 民用直升机场飞行场地技术标准</w:t>
                    </w:r>
                  </w:p>
                  <w:p>
                    <w:pPr>
                      <w:spacing w:before="43"/>
                      <w:ind w:left="0" w:right="0" w:firstLine="0"/>
                      <w:jc w:val="left"/>
                      <w:rPr>
                        <w:sz w:val="21"/>
                      </w:rPr>
                    </w:pPr>
                    <w:r>
                      <w:rPr>
                        <w:sz w:val="21"/>
                      </w:rPr>
                      <w:t>JGJ/T 163 城市夜景照明设计规范</w:t>
                    </w:r>
                  </w:p>
                  <w:p>
                    <w:pPr>
                      <w:spacing w:before="42" w:line="239" w:lineRule="exact"/>
                      <w:ind w:left="0" w:right="0" w:firstLine="0"/>
                      <w:jc w:val="left"/>
                      <w:rPr>
                        <w:sz w:val="21"/>
                      </w:rPr>
                    </w:pPr>
                    <w:r>
                      <w:rPr>
                        <w:sz w:val="21"/>
                      </w:rPr>
                      <w:t>DB13/T 1378-2011 地震应急避难场所标志</w:t>
                    </w:r>
                  </w:p>
                </w:txbxContent>
              </v:textbox>
            </v:shape>
            <v:shape id="_x0000_s1037" type="#_x0000_t202" style="width:1384;height:209;left:1418;position:absolute;top:4158" filled="f" stroked="f">
              <v:textbox inset="0,0,0,0">
                <w:txbxContent>
                  <w:p>
                    <w:pPr>
                      <w:spacing w:before="0" w:line="209" w:lineRule="exact"/>
                      <w:ind w:left="0" w:right="0" w:firstLine="0"/>
                      <w:jc w:val="left"/>
                      <w:rPr>
                        <w:rFonts w:ascii="黑体" w:eastAsia="黑体" w:hint="eastAsia"/>
                        <w:sz w:val="21"/>
                      </w:rPr>
                    </w:pPr>
                    <w:r>
                      <w:rPr>
                        <w:rFonts w:ascii="黑体" w:eastAsia="黑体" w:hint="eastAsia"/>
                        <w:sz w:val="21"/>
                      </w:rPr>
                      <w:t>3 术语和定义</w:t>
                    </w:r>
                  </w:p>
                </w:txbxContent>
              </v:textbox>
            </v:shape>
            <v:shape id="_x0000_s1038" type="#_x0000_t202" style="width:9376;height:3009;left:1418;position:absolute;top:4782" filled="f" stroked="f">
              <v:textbox inset="0,0,0,0">
                <w:txbxContent>
                  <w:p>
                    <w:pPr>
                      <w:spacing w:before="0" w:line="239" w:lineRule="exact"/>
                      <w:ind w:left="420" w:right="0" w:firstLine="0"/>
                      <w:jc w:val="left"/>
                      <w:rPr>
                        <w:sz w:val="21"/>
                      </w:rPr>
                    </w:pPr>
                    <w:r>
                      <w:rPr>
                        <w:sz w:val="21"/>
                      </w:rPr>
                      <w:t>下列术语和定义适用于本文件。</w:t>
                    </w:r>
                  </w:p>
                  <w:p>
                    <w:pPr>
                      <w:spacing w:before="6" w:line="240" w:lineRule="auto"/>
                      <w:rPr>
                        <w:sz w:val="15"/>
                      </w:rPr>
                    </w:pPr>
                  </w:p>
                  <w:p>
                    <w:pPr>
                      <w:spacing w:before="0"/>
                      <w:ind w:left="0" w:right="0" w:firstLine="0"/>
                      <w:jc w:val="left"/>
                      <w:rPr>
                        <w:rFonts w:ascii="黑体"/>
                        <w:sz w:val="21"/>
                      </w:rPr>
                    </w:pPr>
                    <w:r>
                      <w:rPr>
                        <w:rFonts w:ascii="黑体"/>
                        <w:sz w:val="21"/>
                      </w:rPr>
                      <w:t>3.1</w:t>
                    </w:r>
                  </w:p>
                  <w:p>
                    <w:pPr>
                      <w:spacing w:before="7" w:line="240" w:lineRule="auto"/>
                      <w:rPr>
                        <w:rFonts w:ascii="黑体"/>
                        <w:sz w:val="15"/>
                      </w:rPr>
                    </w:pPr>
                  </w:p>
                  <w:p>
                    <w:pPr>
                      <w:spacing w:before="0"/>
                      <w:ind w:left="420" w:right="0" w:firstLine="0"/>
                      <w:jc w:val="left"/>
                      <w:rPr>
                        <w:rFonts w:ascii="黑体" w:eastAsia="黑体" w:hint="eastAsia"/>
                        <w:sz w:val="21"/>
                      </w:rPr>
                    </w:pPr>
                    <w:bookmarkStart w:id="4" w:name="应急避护场所  emergency shelter"/>
                    <w:bookmarkEnd w:id="4"/>
                    <w:r>
                      <w:rPr>
                        <w:rFonts w:ascii="黑体" w:eastAsia="黑体" w:hint="eastAsia"/>
                        <w:sz w:val="21"/>
                      </w:rPr>
                      <w:t>应急避护场所 emergency shelter</w:t>
                    </w:r>
                  </w:p>
                  <w:p>
                    <w:pPr>
                      <w:spacing w:before="43" w:line="278" w:lineRule="auto"/>
                      <w:ind w:left="0" w:right="18" w:firstLine="420"/>
                      <w:jc w:val="both"/>
                      <w:rPr>
                        <w:sz w:val="21"/>
                      </w:rPr>
                    </w:pPr>
                    <w:r>
                      <w:rPr>
                        <w:spacing w:val="-7"/>
                        <w:w w:val="95"/>
                        <w:sz w:val="21"/>
                      </w:rPr>
                      <w:t xml:space="preserve">在市民聚集地附近，以应对地震、台风、洪涝等自然灾害为主，兼顾其他突发事件的应对，具有一   </w:t>
                    </w:r>
                    <w:r>
                      <w:rPr>
                        <w:spacing w:val="-11"/>
                        <w:w w:val="95"/>
                        <w:sz w:val="21"/>
                      </w:rPr>
                      <w:t xml:space="preserve">定规模的、配套相应生命线系统设施的室外场地和室内场所，用于城市居民防灾避险、临时安置，并可   </w:t>
                    </w:r>
                    <w:r>
                      <w:rPr>
                        <w:spacing w:val="-11"/>
                        <w:sz w:val="21"/>
                      </w:rPr>
                      <w:t>供政府组织开展救灾工作。</w:t>
                    </w:r>
                  </w:p>
                  <w:p>
                    <w:pPr>
                      <w:spacing w:before="156"/>
                      <w:ind w:left="0" w:right="0" w:firstLine="0"/>
                      <w:jc w:val="left"/>
                      <w:rPr>
                        <w:rFonts w:ascii="黑体"/>
                        <w:sz w:val="21"/>
                      </w:rPr>
                    </w:pPr>
                    <w:r>
                      <w:rPr>
                        <w:rFonts w:ascii="黑体"/>
                        <w:sz w:val="21"/>
                      </w:rPr>
                      <w:t>3.2</w:t>
                    </w:r>
                  </w:p>
                  <w:p>
                    <w:pPr>
                      <w:spacing w:before="6" w:line="240" w:lineRule="auto"/>
                      <w:rPr>
                        <w:rFonts w:ascii="黑体"/>
                        <w:sz w:val="17"/>
                      </w:rPr>
                    </w:pPr>
                  </w:p>
                  <w:p>
                    <w:pPr>
                      <w:spacing w:before="0" w:line="205" w:lineRule="exact"/>
                      <w:ind w:left="0" w:right="218" w:firstLine="0"/>
                      <w:jc w:val="right"/>
                      <w:rPr>
                        <w:sz w:val="18"/>
                      </w:rPr>
                    </w:pPr>
                    <w:r>
                      <w:rPr>
                        <w:sz w:val="18"/>
                      </w:rPr>
                      <w:t>1</w:t>
                    </w:r>
                  </w:p>
                </w:txbxContent>
              </v:textbox>
            </v:shape>
          </v:group>
        </w:pict>
      </w:r>
      <w:r>
        <w:drawing>
          <wp:anchor distT="0" distB="0" distL="0" distR="0" simplePos="0" relativeHeight="251665408" behindDoc="0" locked="0" layoutInCell="1" allowOverlap="1">
            <wp:simplePos x="0" y="0"/>
            <wp:positionH relativeFrom="page">
              <wp:posOffset>215900</wp:posOffset>
            </wp:positionH>
            <wp:positionV relativeFrom="paragraph">
              <wp:posOffset>236105</wp:posOffset>
            </wp:positionV>
            <wp:extent cx="7112000" cy="4876800"/>
            <wp:effectExtent l="0" t="0" r="0" b="0"/>
            <wp:wrapNone/>
            <wp:docPr id="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r>
        <w:t>GB/T 10001.1-2000 标志用公共信息图形符号</w:t>
      </w:r>
    </w:p>
    <w:p>
      <w:pPr>
        <w:pStyle w:val="BodyText"/>
        <w:rPr>
          <w:sz w:val="20"/>
        </w:rPr>
      </w:pPr>
    </w:p>
    <w:p>
      <w:pPr>
        <w:pStyle w:val="BodyText"/>
        <w:spacing w:before="1"/>
        <w:rPr>
          <w:sz w:val="10"/>
        </w:rPr>
      </w:pPr>
    </w:p>
    <w:tbl>
      <w:tblPr>
        <w:tblStyle w:val="TableNormal0"/>
        <w:tblW w:w="0" w:type="auto"/>
        <w:jc w:val="left"/>
        <w:tblInd w:w="15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12"/>
        <w:gridCol w:w="681"/>
        <w:gridCol w:w="525"/>
        <w:gridCol w:w="2252"/>
      </w:tblGrid>
      <w:tr>
        <w:tblPrEx>
          <w:tblW w:w="0" w:type="auto"/>
          <w:jc w:val="left"/>
          <w:tblInd w:w="15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260"/>
          <w:jc w:val="left"/>
        </w:trPr>
        <w:tc>
          <w:tcPr>
            <w:tcW w:w="312" w:type="dxa"/>
          </w:tcPr>
          <w:p>
            <w:pPr>
              <w:pStyle w:val="TableParagraph"/>
              <w:spacing w:line="239" w:lineRule="exact"/>
              <w:ind w:right="49"/>
              <w:jc w:val="right"/>
              <w:rPr>
                <w:sz w:val="21"/>
              </w:rPr>
            </w:pPr>
            <w:r>
              <w:rPr>
                <w:sz w:val="21"/>
              </w:rPr>
              <w:t>GB</w:t>
            </w:r>
          </w:p>
        </w:tc>
        <w:tc>
          <w:tcPr>
            <w:tcW w:w="681" w:type="dxa"/>
          </w:tcPr>
          <w:p>
            <w:pPr>
              <w:pStyle w:val="TableParagraph"/>
              <w:spacing w:line="239" w:lineRule="exact"/>
              <w:ind w:left="52"/>
              <w:rPr>
                <w:sz w:val="21"/>
              </w:rPr>
            </w:pPr>
            <w:r>
              <w:rPr>
                <w:sz w:val="21"/>
              </w:rPr>
              <w:t>50009</w:t>
            </w:r>
          </w:p>
        </w:tc>
        <w:tc>
          <w:tcPr>
            <w:tcW w:w="2777" w:type="dxa"/>
            <w:gridSpan w:val="2"/>
          </w:tcPr>
          <w:p>
            <w:pPr>
              <w:pStyle w:val="TableParagraph"/>
              <w:spacing w:line="239" w:lineRule="exact"/>
              <w:ind w:left="105"/>
              <w:rPr>
                <w:sz w:val="21"/>
              </w:rPr>
            </w:pPr>
            <w:r>
              <w:rPr>
                <w:sz w:val="21"/>
              </w:rPr>
              <w:t>建筑结构荷载规范</w:t>
            </w:r>
          </w:p>
        </w:tc>
      </w:tr>
      <w:tr>
        <w:tblPrEx>
          <w:tblW w:w="0" w:type="auto"/>
          <w:jc w:val="left"/>
          <w:tblInd w:w="1555" w:type="dxa"/>
          <w:tblLayout w:type="fixed"/>
          <w:tblCellMar>
            <w:top w:w="0" w:type="dxa"/>
            <w:left w:w="0" w:type="dxa"/>
            <w:bottom w:w="0" w:type="dxa"/>
            <w:right w:w="0" w:type="dxa"/>
          </w:tblCellMar>
          <w:tblLook w:val="01E0"/>
        </w:tblPrEx>
        <w:trPr>
          <w:trHeight w:val="312"/>
          <w:jc w:val="left"/>
        </w:trPr>
        <w:tc>
          <w:tcPr>
            <w:tcW w:w="312" w:type="dxa"/>
          </w:tcPr>
          <w:p>
            <w:pPr>
              <w:pStyle w:val="TableParagraph"/>
              <w:spacing w:before="21"/>
              <w:ind w:right="49"/>
              <w:jc w:val="right"/>
              <w:rPr>
                <w:sz w:val="21"/>
              </w:rPr>
            </w:pPr>
            <w:r>
              <w:rPr>
                <w:sz w:val="21"/>
              </w:rPr>
              <w:t>GB</w:t>
            </w:r>
          </w:p>
        </w:tc>
        <w:tc>
          <w:tcPr>
            <w:tcW w:w="681" w:type="dxa"/>
          </w:tcPr>
          <w:p>
            <w:pPr>
              <w:pStyle w:val="TableParagraph"/>
              <w:spacing w:before="21"/>
              <w:ind w:left="52"/>
              <w:rPr>
                <w:sz w:val="21"/>
              </w:rPr>
            </w:pPr>
            <w:r>
              <w:rPr>
                <w:sz w:val="21"/>
              </w:rPr>
              <w:t>50014</w:t>
            </w:r>
          </w:p>
        </w:tc>
        <w:tc>
          <w:tcPr>
            <w:tcW w:w="2777" w:type="dxa"/>
            <w:gridSpan w:val="2"/>
          </w:tcPr>
          <w:p>
            <w:pPr>
              <w:pStyle w:val="TableParagraph"/>
              <w:spacing w:before="21"/>
              <w:ind w:left="105"/>
              <w:rPr>
                <w:sz w:val="21"/>
              </w:rPr>
            </w:pPr>
            <w:r>
              <w:rPr>
                <w:sz w:val="21"/>
              </w:rPr>
              <w:t>室外排水设计规范</w:t>
            </w:r>
          </w:p>
        </w:tc>
      </w:tr>
      <w:tr>
        <w:tblPrEx>
          <w:tblW w:w="0" w:type="auto"/>
          <w:jc w:val="left"/>
          <w:tblInd w:w="1555" w:type="dxa"/>
          <w:tblLayout w:type="fixed"/>
          <w:tblCellMar>
            <w:top w:w="0" w:type="dxa"/>
            <w:left w:w="0" w:type="dxa"/>
            <w:bottom w:w="0" w:type="dxa"/>
            <w:right w:w="0" w:type="dxa"/>
          </w:tblCellMar>
          <w:tblLook w:val="01E0"/>
        </w:tblPrEx>
        <w:trPr>
          <w:trHeight w:val="260"/>
          <w:jc w:val="left"/>
        </w:trPr>
        <w:tc>
          <w:tcPr>
            <w:tcW w:w="312" w:type="dxa"/>
          </w:tcPr>
          <w:p>
            <w:pPr>
              <w:pStyle w:val="TableParagraph"/>
              <w:spacing w:before="21" w:line="219" w:lineRule="exact"/>
              <w:ind w:right="49"/>
              <w:jc w:val="right"/>
              <w:rPr>
                <w:sz w:val="21"/>
              </w:rPr>
            </w:pPr>
            <w:r>
              <w:rPr>
                <w:sz w:val="21"/>
              </w:rPr>
              <w:t>GB</w:t>
            </w:r>
          </w:p>
        </w:tc>
        <w:tc>
          <w:tcPr>
            <w:tcW w:w="681" w:type="dxa"/>
          </w:tcPr>
          <w:p>
            <w:pPr>
              <w:pStyle w:val="TableParagraph"/>
              <w:spacing w:before="21" w:line="219" w:lineRule="exact"/>
              <w:ind w:left="52"/>
              <w:rPr>
                <w:sz w:val="21"/>
              </w:rPr>
            </w:pPr>
            <w:r>
              <w:rPr>
                <w:sz w:val="21"/>
              </w:rPr>
              <w:t>50015</w:t>
            </w:r>
          </w:p>
        </w:tc>
        <w:tc>
          <w:tcPr>
            <w:tcW w:w="2777" w:type="dxa"/>
            <w:gridSpan w:val="2"/>
          </w:tcPr>
          <w:p>
            <w:pPr>
              <w:pStyle w:val="TableParagraph"/>
              <w:spacing w:before="21" w:line="219" w:lineRule="exact"/>
              <w:ind w:left="105"/>
              <w:rPr>
                <w:sz w:val="21"/>
              </w:rPr>
            </w:pPr>
            <w:r>
              <w:rPr>
                <w:sz w:val="21"/>
              </w:rPr>
              <w:t>建筑给水排水设计标准</w:t>
            </w:r>
          </w:p>
        </w:tc>
      </w:tr>
      <w:tr>
        <w:tblPrEx>
          <w:tblW w:w="0" w:type="auto"/>
          <w:jc w:val="left"/>
          <w:tblInd w:w="1555" w:type="dxa"/>
          <w:tblLayout w:type="fixed"/>
          <w:tblCellMar>
            <w:top w:w="0" w:type="dxa"/>
            <w:left w:w="0" w:type="dxa"/>
            <w:bottom w:w="0" w:type="dxa"/>
            <w:right w:w="0" w:type="dxa"/>
          </w:tblCellMar>
          <w:tblLook w:val="01E0"/>
        </w:tblPrEx>
        <w:trPr>
          <w:trHeight w:val="363"/>
          <w:jc w:val="left"/>
        </w:trPr>
        <w:tc>
          <w:tcPr>
            <w:tcW w:w="312" w:type="dxa"/>
          </w:tcPr>
          <w:p>
            <w:pPr>
              <w:pStyle w:val="TableParagraph"/>
              <w:spacing w:before="72"/>
              <w:ind w:right="49"/>
              <w:jc w:val="right"/>
              <w:rPr>
                <w:sz w:val="21"/>
              </w:rPr>
            </w:pPr>
            <w:r>
              <w:rPr>
                <w:sz w:val="21"/>
              </w:rPr>
              <w:t>GB</w:t>
            </w:r>
          </w:p>
        </w:tc>
        <w:tc>
          <w:tcPr>
            <w:tcW w:w="1206" w:type="dxa"/>
            <w:gridSpan w:val="2"/>
          </w:tcPr>
          <w:p>
            <w:pPr>
              <w:pStyle w:val="TableParagraph"/>
              <w:spacing w:before="72"/>
              <w:ind w:left="52"/>
              <w:rPr>
                <w:sz w:val="21"/>
              </w:rPr>
            </w:pPr>
            <w:r>
              <w:rPr>
                <w:sz w:val="21"/>
              </w:rPr>
              <w:t>50763-2012</w:t>
            </w:r>
          </w:p>
        </w:tc>
        <w:tc>
          <w:tcPr>
            <w:tcW w:w="2252" w:type="dxa"/>
          </w:tcPr>
          <w:p>
            <w:pPr>
              <w:pStyle w:val="TableParagraph"/>
              <w:spacing w:before="72"/>
              <w:ind w:left="106"/>
              <w:rPr>
                <w:sz w:val="21"/>
              </w:rPr>
            </w:pPr>
            <w:r>
              <w:rPr>
                <w:sz w:val="21"/>
              </w:rPr>
              <w:t>无障碍设计规范</w:t>
            </w:r>
          </w:p>
        </w:tc>
      </w:tr>
      <w:tr>
        <w:tblPrEx>
          <w:tblW w:w="0" w:type="auto"/>
          <w:jc w:val="left"/>
          <w:tblInd w:w="1555" w:type="dxa"/>
          <w:tblLayout w:type="fixed"/>
          <w:tblCellMar>
            <w:top w:w="0" w:type="dxa"/>
            <w:left w:w="0" w:type="dxa"/>
            <w:bottom w:w="0" w:type="dxa"/>
            <w:right w:w="0" w:type="dxa"/>
          </w:tblCellMar>
          <w:tblLook w:val="01E0"/>
        </w:tblPrEx>
        <w:trPr>
          <w:trHeight w:val="260"/>
          <w:jc w:val="left"/>
        </w:trPr>
        <w:tc>
          <w:tcPr>
            <w:tcW w:w="312" w:type="dxa"/>
          </w:tcPr>
          <w:p>
            <w:pPr>
              <w:pStyle w:val="TableParagraph"/>
              <w:spacing w:before="21" w:line="219" w:lineRule="exact"/>
              <w:ind w:right="49"/>
              <w:jc w:val="right"/>
              <w:rPr>
                <w:sz w:val="21"/>
              </w:rPr>
            </w:pPr>
            <w:r>
              <w:rPr>
                <w:sz w:val="21"/>
              </w:rPr>
              <w:t>GB</w:t>
            </w:r>
          </w:p>
        </w:tc>
        <w:tc>
          <w:tcPr>
            <w:tcW w:w="1206" w:type="dxa"/>
            <w:gridSpan w:val="2"/>
          </w:tcPr>
          <w:p>
            <w:pPr>
              <w:pStyle w:val="TableParagraph"/>
              <w:spacing w:before="21" w:line="219" w:lineRule="exact"/>
              <w:ind w:left="52"/>
              <w:rPr>
                <w:sz w:val="21"/>
              </w:rPr>
            </w:pPr>
            <w:r>
              <w:rPr>
                <w:sz w:val="21"/>
              </w:rPr>
              <w:t>51143-2015</w:t>
            </w:r>
          </w:p>
        </w:tc>
        <w:tc>
          <w:tcPr>
            <w:tcW w:w="2252" w:type="dxa"/>
          </w:tcPr>
          <w:p>
            <w:pPr>
              <w:pStyle w:val="TableParagraph"/>
              <w:spacing w:before="21" w:line="219" w:lineRule="exact"/>
              <w:ind w:left="106"/>
              <w:rPr>
                <w:sz w:val="21"/>
              </w:rPr>
            </w:pPr>
            <w:r>
              <w:rPr>
                <w:sz w:val="21"/>
              </w:rPr>
              <w:t>防灾避难场所设计规范</w:t>
            </w:r>
          </w:p>
        </w:tc>
      </w:tr>
    </w:tbl>
    <w:p>
      <w:pPr>
        <w:spacing w:after="0" w:line="219" w:lineRule="exact"/>
        <w:rPr>
          <w:sz w:val="21"/>
        </w:rPr>
        <w:sectPr>
          <w:headerReference w:type="even" r:id="rId11"/>
          <w:headerReference w:type="default" r:id="rId12"/>
          <w:pgSz w:w="11910" w:h="16840"/>
          <w:pgMar w:top="1660" w:right="260" w:bottom="280" w:left="240" w:header="1442" w:footer="0"/>
          <w:pgNumType w:start="5"/>
          <w:cols w:space="708"/>
        </w:sectPr>
      </w:pPr>
    </w:p>
    <w:p>
      <w:pPr>
        <w:pStyle w:val="BodyText"/>
        <w:spacing w:before="9"/>
        <w:rPr>
          <w:sz w:val="14"/>
        </w:rPr>
      </w:pPr>
    </w:p>
    <w:p>
      <w:pPr>
        <w:pStyle w:val="BodyText"/>
        <w:spacing w:before="70"/>
        <w:ind w:left="1598"/>
        <w:rPr>
          <w:rFonts w:ascii="黑体" w:eastAsia="黑体" w:hint="eastAsia"/>
        </w:rPr>
      </w:pPr>
      <w:bookmarkStart w:id="5" w:name="中心应急避护场所  central emergency shelter"/>
      <w:bookmarkEnd w:id="5"/>
      <w:r>
        <w:rPr>
          <w:rFonts w:ascii="黑体" w:eastAsia="黑体" w:hint="eastAsia"/>
        </w:rPr>
        <w:t>中心应急避护场所 central emergency shelter</w:t>
      </w:r>
    </w:p>
    <w:p>
      <w:pPr>
        <w:pStyle w:val="BodyText"/>
        <w:spacing w:before="43" w:line="278" w:lineRule="auto"/>
        <w:ind w:left="1178" w:right="872" w:firstLine="420"/>
      </w:pPr>
      <w:r>
        <w:rPr>
          <w:spacing w:val="-10"/>
          <w:w w:val="95"/>
        </w:rPr>
        <w:t xml:space="preserve">规模较大、功能较全、安全度高、承担区域疏散调度和临时救援中心功能的应急避护场所，承担区   </w:t>
      </w:r>
      <w:r>
        <w:rPr>
          <w:spacing w:val="-10"/>
        </w:rPr>
        <w:t>域性应急避护场所功能，兼顾固定、紧急应急避护场所功能，按管理级别对应为市级应急避护场所。</w:t>
      </w:r>
    </w:p>
    <w:p>
      <w:pPr>
        <w:pStyle w:val="BodyText"/>
        <w:spacing w:before="155"/>
        <w:ind w:left="1178"/>
        <w:rPr>
          <w:rFonts w:ascii="黑体"/>
        </w:rPr>
      </w:pPr>
      <w:r>
        <w:rPr>
          <w:rFonts w:ascii="黑体"/>
        </w:rPr>
        <w:t>3.3</w:t>
      </w:r>
    </w:p>
    <w:p>
      <w:pPr>
        <w:pStyle w:val="BodyText"/>
        <w:spacing w:before="7"/>
        <w:rPr>
          <w:rFonts w:ascii="黑体"/>
          <w:sz w:val="15"/>
        </w:rPr>
      </w:pPr>
    </w:p>
    <w:p>
      <w:pPr>
        <w:pStyle w:val="BodyText"/>
        <w:ind w:left="1598"/>
        <w:rPr>
          <w:rFonts w:ascii="黑体" w:eastAsia="黑体" w:hint="eastAsia"/>
        </w:rPr>
      </w:pPr>
      <w:bookmarkStart w:id="6" w:name="固定应急避护场所  resident emergency shelter"/>
      <w:bookmarkEnd w:id="6"/>
      <w:r>
        <w:rPr>
          <w:rFonts w:ascii="黑体" w:eastAsia="黑体" w:hint="eastAsia"/>
        </w:rPr>
        <w:t>固定应急避护场所 resident emergency shelter</w:t>
      </w:r>
    </w:p>
    <w:p>
      <w:pPr>
        <w:pStyle w:val="BodyText"/>
        <w:spacing w:before="43" w:line="278" w:lineRule="auto"/>
        <w:ind w:left="1178" w:right="776" w:firstLine="420"/>
      </w:pPr>
      <w:r>
        <w:t>供市民较长时间（</w:t>
      </w:r>
      <w:r>
        <w:rPr>
          <w:spacing w:val="-21"/>
        </w:rPr>
        <w:t xml:space="preserve">通常 </w:t>
      </w:r>
      <w:r>
        <w:t>3</w:t>
      </w:r>
      <w:r>
        <w:rPr>
          <w:spacing w:val="-15"/>
        </w:rPr>
        <w:t xml:space="preserve"> 天以上</w:t>
      </w:r>
      <w:r>
        <w:t>）避难和进行集中性救援并具备一定生活保障和指挥功能的场所， 按管理级别对应为区级或街（镇）级应急避护场所。</w:t>
      </w:r>
    </w:p>
    <w:p>
      <w:pPr>
        <w:pStyle w:val="BodyText"/>
        <w:spacing w:before="156"/>
        <w:ind w:left="1178"/>
        <w:rPr>
          <w:rFonts w:ascii="黑体"/>
        </w:rPr>
      </w:pPr>
      <w:r>
        <w:rPr>
          <w:rFonts w:ascii="黑体"/>
        </w:rPr>
        <w:t>3.4</w:t>
      </w:r>
    </w:p>
    <w:p>
      <w:pPr>
        <w:pStyle w:val="BodyText"/>
        <w:spacing w:before="6"/>
        <w:rPr>
          <w:rFonts w:ascii="黑体"/>
          <w:sz w:val="15"/>
        </w:rPr>
      </w:pPr>
    </w:p>
    <w:p>
      <w:pPr>
        <w:pStyle w:val="BodyText"/>
        <w:spacing w:before="1"/>
        <w:ind w:left="1598"/>
        <w:rPr>
          <w:rFonts w:ascii="黑体" w:eastAsia="黑体" w:hint="eastAsia"/>
        </w:rPr>
      </w:pPr>
      <w:bookmarkStart w:id="7" w:name="紧急应急避护场所  emergency evacuation and embar"/>
      <w:bookmarkEnd w:id="7"/>
      <w:r>
        <w:rPr>
          <w:rFonts w:ascii="黑体" w:eastAsia="黑体" w:hint="eastAsia"/>
        </w:rPr>
        <w:t>紧急应急避护场所 emergency evacuation and embarkation shelter</w:t>
      </w:r>
    </w:p>
    <w:p>
      <w:pPr>
        <w:pStyle w:val="BodyText"/>
        <w:spacing w:before="43" w:line="278" w:lineRule="auto"/>
        <w:ind w:left="1178" w:right="776" w:firstLine="420"/>
      </w:pPr>
      <w:r>
        <w:rPr>
          <w:spacing w:val="-3"/>
        </w:rPr>
        <w:t>供市民就近紧急疏散和临时安置</w:t>
      </w:r>
      <w:r>
        <w:t>（</w:t>
      </w:r>
      <w:r>
        <w:rPr>
          <w:spacing w:val="-6"/>
        </w:rPr>
        <w:t xml:space="preserve">通常为灾害发生前后 </w:t>
      </w:r>
      <w:r>
        <w:rPr>
          <w:rFonts w:ascii="Times New Roman" w:eastAsia="Times New Roman"/>
        </w:rPr>
        <w:t xml:space="preserve">3 </w:t>
      </w:r>
      <w:r>
        <w:t>天内</w:t>
      </w:r>
      <w:r>
        <w:rPr>
          <w:spacing w:val="-32"/>
        </w:rPr>
        <w:t>）</w:t>
      </w:r>
      <w:r>
        <w:rPr>
          <w:spacing w:val="-4"/>
        </w:rPr>
        <w:t>并具备基本生活保障、救援及指挥</w:t>
      </w:r>
      <w:r>
        <w:rPr>
          <w:spacing w:val="-4"/>
          <w:w w:val="95"/>
        </w:rPr>
        <w:t xml:space="preserve">的临时性场所，也是受灾人员集合并转移到固定避护场所的过渡性场所，按管理级别对应为社区（村）   </w:t>
      </w:r>
      <w:r>
        <w:rPr>
          <w:spacing w:val="-4"/>
        </w:rPr>
        <w:t>级应急避护场所。</w:t>
      </w:r>
    </w:p>
    <w:p>
      <w:pPr>
        <w:pStyle w:val="BodyText"/>
        <w:spacing w:before="155"/>
        <w:ind w:left="1178"/>
        <w:rPr>
          <w:rFonts w:ascii="黑体"/>
        </w:rPr>
      </w:pPr>
      <w:r>
        <w:rPr>
          <w:rFonts w:ascii="黑体"/>
        </w:rPr>
        <w:t>3.5</w:t>
      </w:r>
    </w:p>
    <w:p>
      <w:pPr>
        <w:pStyle w:val="BodyText"/>
        <w:spacing w:before="7"/>
        <w:rPr>
          <w:rFonts w:ascii="黑体"/>
          <w:sz w:val="15"/>
        </w:rPr>
      </w:pPr>
    </w:p>
    <w:p>
      <w:pPr>
        <w:pStyle w:val="BodyText"/>
        <w:ind w:left="1598"/>
        <w:rPr>
          <w:rFonts w:ascii="黑体" w:eastAsia="黑体" w:hint="eastAsia"/>
        </w:rPr>
      </w:pPr>
      <w:bookmarkStart w:id="8" w:name="应急交通  emergency transportation"/>
      <w:bookmarkEnd w:id="8"/>
      <w:r>
        <w:rPr>
          <w:rFonts w:ascii="黑体" w:eastAsia="黑体" w:hint="eastAsia"/>
        </w:rPr>
        <w:t>应急交通 emergency transportation</w:t>
      </w:r>
    </w:p>
    <w:p>
      <w:pPr>
        <w:pStyle w:val="BodyText"/>
        <w:spacing w:before="43"/>
        <w:ind w:left="1598"/>
      </w:pPr>
      <w:r>
        <w:t>用于抢险救灾、人员疏散和应急物资运输的陆、海、空交通通道或救助线。</w:t>
      </w:r>
    </w:p>
    <w:p>
      <w:pPr>
        <w:pStyle w:val="BodyText"/>
        <w:spacing w:before="7"/>
        <w:rPr>
          <w:sz w:val="15"/>
        </w:rPr>
      </w:pPr>
    </w:p>
    <w:p>
      <w:pPr>
        <w:pStyle w:val="BodyText"/>
        <w:ind w:left="1178"/>
        <w:rPr>
          <w:rFonts w:ascii="黑体"/>
        </w:rPr>
      </w:pPr>
      <w:r>
        <w:rPr>
          <w:rFonts w:ascii="黑体"/>
        </w:rPr>
        <w:t>3.6</w:t>
      </w:r>
    </w:p>
    <w:p>
      <w:pPr>
        <w:pStyle w:val="BodyText"/>
        <w:spacing w:before="6"/>
        <w:rPr>
          <w:rFonts w:ascii="黑体"/>
          <w:sz w:val="15"/>
        </w:rPr>
      </w:pPr>
    </w:p>
    <w:p>
      <w:pPr>
        <w:pStyle w:val="BodyText"/>
        <w:ind w:left="1598"/>
        <w:rPr>
          <w:rFonts w:ascii="黑体" w:eastAsia="黑体" w:hint="eastAsia"/>
        </w:rPr>
      </w:pPr>
      <w:r>
        <w:drawing>
          <wp:anchor distT="0" distB="0" distL="0" distR="0" simplePos="0" relativeHeight="251667456" behindDoc="0" locked="0" layoutInCell="1" allowOverlap="1">
            <wp:simplePos x="0" y="0"/>
            <wp:positionH relativeFrom="page">
              <wp:posOffset>215900</wp:posOffset>
            </wp:positionH>
            <wp:positionV relativeFrom="paragraph">
              <wp:posOffset>54736</wp:posOffset>
            </wp:positionV>
            <wp:extent cx="7112000" cy="4876800"/>
            <wp:effectExtent l="0" t="0" r="0" b="0"/>
            <wp:wrapNone/>
            <wp:docPr id="1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bookmarkStart w:id="9" w:name="生命线系统设施配套功能  lifeline system facilities "/>
      <w:bookmarkEnd w:id="9"/>
      <w:r>
        <w:rPr>
          <w:rFonts w:ascii="黑体" w:eastAsia="黑体" w:hint="eastAsia"/>
        </w:rPr>
        <w:t>生命线系统设施配套功能 lifeline system facilities supporting functions</w:t>
      </w:r>
    </w:p>
    <w:p>
      <w:pPr>
        <w:pStyle w:val="BodyText"/>
        <w:spacing w:before="43"/>
        <w:ind w:left="1598"/>
      </w:pPr>
      <w:r>
        <w:t>用于保障人员避护时所需的供电、供水、医疗卫生、物资供应、广播、通信等配套设施功能。</w:t>
      </w:r>
    </w:p>
    <w:p>
      <w:pPr>
        <w:pStyle w:val="BodyText"/>
        <w:spacing w:before="7"/>
        <w:rPr>
          <w:sz w:val="15"/>
        </w:rPr>
      </w:pPr>
    </w:p>
    <w:p>
      <w:pPr>
        <w:pStyle w:val="BodyText"/>
        <w:ind w:left="1178"/>
        <w:rPr>
          <w:rFonts w:ascii="黑体"/>
        </w:rPr>
      </w:pPr>
      <w:r>
        <w:rPr>
          <w:rFonts w:ascii="黑体"/>
        </w:rPr>
        <w:t>3.7</w:t>
      </w:r>
    </w:p>
    <w:p>
      <w:pPr>
        <w:pStyle w:val="BodyText"/>
        <w:spacing w:before="7"/>
        <w:rPr>
          <w:rFonts w:ascii="黑体"/>
          <w:sz w:val="15"/>
        </w:rPr>
      </w:pPr>
    </w:p>
    <w:p>
      <w:pPr>
        <w:pStyle w:val="BodyText"/>
        <w:ind w:left="1598"/>
        <w:rPr>
          <w:rFonts w:ascii="黑体" w:eastAsia="黑体" w:hint="eastAsia"/>
        </w:rPr>
      </w:pPr>
      <w:bookmarkStart w:id="10" w:name="应急标识  emergency signage"/>
      <w:bookmarkEnd w:id="10"/>
      <w:r>
        <w:rPr>
          <w:rFonts w:ascii="黑体" w:eastAsia="黑体" w:hint="eastAsia"/>
        </w:rPr>
        <w:t>应急标识 emergency signage</w:t>
      </w:r>
    </w:p>
    <w:p>
      <w:pPr>
        <w:pStyle w:val="BodyText"/>
        <w:spacing w:before="43"/>
        <w:ind w:left="1598"/>
      </w:pPr>
      <w:r>
        <w:t>用于指引应急避护场所位置、标明应急避护场所功能设施的标识，包括场所周边标识、内部标识。</w:t>
      </w:r>
    </w:p>
    <w:p>
      <w:pPr>
        <w:pStyle w:val="BodyText"/>
        <w:spacing w:before="6"/>
        <w:rPr>
          <w:sz w:val="15"/>
        </w:rPr>
      </w:pPr>
    </w:p>
    <w:p>
      <w:pPr>
        <w:pStyle w:val="BodyText"/>
        <w:spacing w:before="1"/>
        <w:ind w:left="1178"/>
        <w:rPr>
          <w:rFonts w:ascii="黑体"/>
        </w:rPr>
      </w:pPr>
      <w:r>
        <w:rPr>
          <w:rFonts w:ascii="黑体"/>
        </w:rPr>
        <w:t>3.8</w:t>
      </w:r>
    </w:p>
    <w:p>
      <w:pPr>
        <w:pStyle w:val="BodyText"/>
        <w:spacing w:before="6"/>
        <w:rPr>
          <w:rFonts w:ascii="黑体"/>
          <w:sz w:val="15"/>
        </w:rPr>
      </w:pPr>
    </w:p>
    <w:p>
      <w:pPr>
        <w:pStyle w:val="BodyText"/>
        <w:ind w:left="1598"/>
        <w:rPr>
          <w:rFonts w:ascii="黑体" w:eastAsia="黑体" w:hint="eastAsia"/>
        </w:rPr>
      </w:pPr>
      <w:bookmarkStart w:id="11" w:name="有效避护面积  effective refuge area"/>
      <w:bookmarkEnd w:id="11"/>
      <w:r>
        <w:rPr>
          <w:rFonts w:ascii="黑体" w:eastAsia="黑体" w:hint="eastAsia"/>
        </w:rPr>
        <w:t>有效避护面积 effective refuge area</w:t>
      </w:r>
    </w:p>
    <w:p>
      <w:pPr>
        <w:pStyle w:val="BodyText"/>
        <w:spacing w:before="43" w:line="278" w:lineRule="auto"/>
        <w:ind w:left="1178" w:right="875" w:firstLine="420"/>
      </w:pPr>
      <w:r>
        <w:rPr>
          <w:spacing w:val="-4"/>
          <w:w w:val="95"/>
        </w:rPr>
        <w:t>应急避护场所内，扣除水域、建</w:t>
      </w:r>
      <w:r>
        <w:rPr>
          <w:w w:val="95"/>
        </w:rPr>
        <w:t>（构</w:t>
      </w:r>
      <w:r>
        <w:rPr>
          <w:spacing w:val="-15"/>
          <w:w w:val="95"/>
        </w:rPr>
        <w:t>）</w:t>
      </w:r>
      <w:r>
        <w:rPr>
          <w:spacing w:val="-4"/>
          <w:w w:val="95"/>
        </w:rPr>
        <w:t xml:space="preserve">筑物倒塌影响区域、陡坡、密林等不能用于人员安全避护的   </w:t>
      </w:r>
      <w:r>
        <w:rPr>
          <w:spacing w:val="-4"/>
        </w:rPr>
        <w:t>面积外，可用于人员宿住、人员活动及其应急功能设施的面积。</w:t>
      </w:r>
    </w:p>
    <w:p>
      <w:pPr>
        <w:pStyle w:val="BodyText"/>
        <w:spacing w:before="156"/>
        <w:ind w:left="1178"/>
        <w:rPr>
          <w:rFonts w:ascii="黑体"/>
        </w:rPr>
      </w:pPr>
      <w:r>
        <w:rPr>
          <w:rFonts w:ascii="黑体"/>
        </w:rPr>
        <w:t>3.9</w:t>
      </w:r>
    </w:p>
    <w:p>
      <w:pPr>
        <w:pStyle w:val="BodyText"/>
        <w:spacing w:before="7"/>
        <w:rPr>
          <w:rFonts w:ascii="黑体"/>
          <w:sz w:val="15"/>
        </w:rPr>
      </w:pPr>
    </w:p>
    <w:p>
      <w:pPr>
        <w:pStyle w:val="BodyText"/>
        <w:ind w:left="1598"/>
        <w:rPr>
          <w:rFonts w:ascii="黑体" w:eastAsia="黑体" w:hint="eastAsia"/>
        </w:rPr>
      </w:pPr>
      <w:bookmarkStart w:id="12" w:name="临时防疫医疗设施  improvised epidemic prevention"/>
      <w:bookmarkEnd w:id="12"/>
      <w:r>
        <w:rPr>
          <w:rFonts w:ascii="黑体" w:eastAsia="黑体" w:hint="eastAsia"/>
        </w:rPr>
        <w:t>临时防疫医疗设施 improvised epidemic prevention medical facilities</w:t>
      </w:r>
    </w:p>
    <w:p>
      <w:pPr>
        <w:pStyle w:val="BodyText"/>
        <w:spacing w:before="43" w:line="278" w:lineRule="auto"/>
        <w:ind w:left="1178" w:right="768" w:firstLine="420"/>
      </w:pPr>
      <w:r>
        <w:rPr>
          <w:spacing w:val="-4"/>
        </w:rPr>
        <w:t xml:space="preserve">临时防疫医疗设施是指为应对类似 </w:t>
      </w:r>
      <w:r>
        <w:t>SARS</w:t>
      </w:r>
      <w:r>
        <w:rPr>
          <w:spacing w:val="-49"/>
        </w:rPr>
        <w:t>、</w:t>
      </w:r>
      <w:r>
        <w:t>H1N1</w:t>
      </w:r>
      <w:r>
        <w:rPr>
          <w:spacing w:val="-12"/>
        </w:rPr>
        <w:t xml:space="preserve"> 流感和新型冠状病毒肺</w:t>
      </w:r>
      <w:r>
        <w:t>（CoronaVirusDisease2019， COVID-19）等传染病而建设的应急防疫临时医院和方舱医院等。</w:t>
      </w:r>
    </w:p>
    <w:p>
      <w:pPr>
        <w:pStyle w:val="BodyText"/>
        <w:spacing w:before="4"/>
        <w:rPr>
          <w:sz w:val="24"/>
        </w:rPr>
      </w:pPr>
    </w:p>
    <w:p>
      <w:pPr>
        <w:pStyle w:val="ListParagraph"/>
        <w:numPr>
          <w:ilvl w:val="0"/>
          <w:numId w:val="10"/>
        </w:numPr>
        <w:tabs>
          <w:tab w:val="left" w:pos="1493"/>
        </w:tabs>
        <w:spacing w:before="0" w:after="0" w:line="240" w:lineRule="auto"/>
        <w:ind w:left="1492" w:right="0" w:hanging="315"/>
        <w:jc w:val="left"/>
        <w:rPr>
          <w:rFonts w:ascii="黑体" w:eastAsia="黑体" w:hint="eastAsia"/>
          <w:sz w:val="21"/>
        </w:rPr>
      </w:pPr>
      <w:bookmarkStart w:id="13" w:name="4　设计规定"/>
      <w:bookmarkEnd w:id="13"/>
      <w:r>
        <w:rPr>
          <w:rFonts w:ascii="黑体" w:eastAsia="黑体" w:hint="eastAsia"/>
          <w:sz w:val="21"/>
        </w:rPr>
        <w:t>设计规定</w:t>
      </w:r>
    </w:p>
    <w:p>
      <w:pPr>
        <w:pStyle w:val="BodyText"/>
        <w:spacing w:before="9"/>
        <w:rPr>
          <w:rFonts w:ascii="黑体"/>
          <w:sz w:val="27"/>
        </w:rPr>
      </w:pPr>
    </w:p>
    <w:p>
      <w:pPr>
        <w:pStyle w:val="ListParagraph"/>
        <w:numPr>
          <w:ilvl w:val="1"/>
          <w:numId w:val="10"/>
        </w:numPr>
        <w:tabs>
          <w:tab w:val="left" w:pos="1704"/>
        </w:tabs>
        <w:spacing w:before="0" w:after="0" w:line="240" w:lineRule="auto"/>
        <w:ind w:left="1704" w:right="0" w:hanging="526"/>
        <w:jc w:val="left"/>
        <w:rPr>
          <w:rFonts w:ascii="黑体" w:eastAsia="黑体" w:hint="eastAsia"/>
          <w:sz w:val="21"/>
        </w:rPr>
      </w:pPr>
      <w:bookmarkStart w:id="14" w:name="4.1　一般要求"/>
      <w:bookmarkEnd w:id="14"/>
      <w:r>
        <w:rPr>
          <w:rFonts w:ascii="黑体" w:eastAsia="黑体" w:hint="eastAsia"/>
          <w:sz w:val="21"/>
        </w:rPr>
        <w:t>一般要求</w:t>
      </w:r>
    </w:p>
    <w:p>
      <w:pPr>
        <w:pStyle w:val="BodyText"/>
        <w:spacing w:before="7"/>
        <w:rPr>
          <w:rFonts w:ascii="黑体"/>
          <w:sz w:val="15"/>
        </w:rPr>
      </w:pPr>
    </w:p>
    <w:p>
      <w:pPr>
        <w:pStyle w:val="BodyText"/>
        <w:spacing w:line="278" w:lineRule="auto"/>
        <w:ind w:left="1178" w:right="870" w:firstLine="420"/>
        <w:jc w:val="both"/>
      </w:pPr>
      <w:r>
        <w:rPr>
          <w:spacing w:val="-7"/>
          <w:w w:val="95"/>
        </w:rPr>
        <w:t xml:space="preserve">应急避护场所应充分利用公共设施，将城市公园、广场、绿地、学校、体育场所、会展设施、福利   </w:t>
      </w:r>
      <w:r>
        <w:rPr>
          <w:spacing w:val="-10"/>
          <w:w w:val="95"/>
        </w:rPr>
        <w:t>设施、街道</w:t>
      </w:r>
      <w:r>
        <w:rPr>
          <w:w w:val="95"/>
        </w:rPr>
        <w:t>（社区</w:t>
      </w:r>
      <w:r>
        <w:rPr>
          <w:spacing w:val="-15"/>
          <w:w w:val="95"/>
        </w:rPr>
        <w:t>）</w:t>
      </w:r>
      <w:r>
        <w:rPr>
          <w:spacing w:val="-6"/>
          <w:w w:val="95"/>
        </w:rPr>
        <w:t xml:space="preserve">中心、大型露天公共停车场、公共地下空间等室内外空间及设施，通过配置必要的   </w:t>
      </w:r>
      <w:r>
        <w:rPr>
          <w:spacing w:val="-11"/>
          <w:w w:val="95"/>
        </w:rPr>
        <w:t>应急功能，整合形成应急避护场所。应急避护场所设计应贯彻以人为本、安全可靠、因地制宜、平灾结</w:t>
      </w:r>
    </w:p>
    <w:p>
      <w:pPr>
        <w:spacing w:before="0" w:line="198" w:lineRule="exact"/>
        <w:ind w:left="1317" w:right="0" w:firstLine="0"/>
        <w:jc w:val="left"/>
        <w:rPr>
          <w:rFonts w:ascii="Times New Roman"/>
          <w:sz w:val="18"/>
        </w:rPr>
      </w:pPr>
      <w:r>
        <w:rPr>
          <w:rFonts w:ascii="Times New Roman"/>
          <w:sz w:val="18"/>
        </w:rPr>
        <w:t>2</w:t>
      </w:r>
    </w:p>
    <w:p>
      <w:pPr>
        <w:spacing w:after="0" w:line="198" w:lineRule="exact"/>
        <w:jc w:val="left"/>
        <w:rPr>
          <w:rFonts w:ascii="Times New Roman"/>
          <w:sz w:val="18"/>
        </w:rPr>
        <w:sectPr>
          <w:headerReference w:type="even" r:id="rId13"/>
          <w:headerReference w:type="default" r:id="rId14"/>
          <w:pgSz w:w="11910" w:h="16840"/>
          <w:pgMar w:top="1660" w:right="260" w:bottom="280" w:left="240" w:header="1442" w:footer="0"/>
          <w:pgNumType w:start="6"/>
          <w:cols w:space="708"/>
        </w:sectPr>
      </w:pPr>
    </w:p>
    <w:p>
      <w:pPr>
        <w:pStyle w:val="BodyText"/>
        <w:spacing w:before="4"/>
        <w:rPr>
          <w:rFonts w:ascii="Times New Roman"/>
          <w:sz w:val="16"/>
        </w:rPr>
      </w:pPr>
    </w:p>
    <w:p>
      <w:pPr>
        <w:pStyle w:val="BodyText"/>
        <w:spacing w:before="70"/>
        <w:ind w:left="1178"/>
      </w:pPr>
      <w:r>
        <w:t>合、易于通达、便于管理的原则。</w:t>
      </w:r>
    </w:p>
    <w:p>
      <w:pPr>
        <w:pStyle w:val="BodyText"/>
        <w:spacing w:before="7"/>
        <w:rPr>
          <w:sz w:val="15"/>
        </w:rPr>
      </w:pPr>
    </w:p>
    <w:p>
      <w:pPr>
        <w:pStyle w:val="ListParagraph"/>
        <w:numPr>
          <w:ilvl w:val="1"/>
          <w:numId w:val="10"/>
        </w:numPr>
        <w:tabs>
          <w:tab w:val="left" w:pos="1704"/>
        </w:tabs>
        <w:spacing w:before="0" w:after="0" w:line="240" w:lineRule="auto"/>
        <w:ind w:left="1704" w:right="0" w:hanging="526"/>
        <w:jc w:val="left"/>
        <w:rPr>
          <w:rFonts w:ascii="黑体" w:eastAsia="黑体" w:hint="eastAsia"/>
          <w:sz w:val="21"/>
        </w:rPr>
      </w:pPr>
      <w:bookmarkStart w:id="15" w:name="4.2　场所分类"/>
      <w:bookmarkEnd w:id="15"/>
      <w:r>
        <w:rPr>
          <w:rFonts w:ascii="黑体" w:eastAsia="黑体" w:hint="eastAsia"/>
          <w:sz w:val="21"/>
        </w:rPr>
        <w:t>场所分类</w:t>
      </w:r>
    </w:p>
    <w:p>
      <w:pPr>
        <w:pStyle w:val="BodyText"/>
        <w:spacing w:before="6"/>
        <w:rPr>
          <w:rFonts w:ascii="黑体"/>
          <w:sz w:val="15"/>
        </w:rPr>
      </w:pPr>
    </w:p>
    <w:p>
      <w:pPr>
        <w:pStyle w:val="BodyText"/>
        <w:spacing w:before="1" w:line="278" w:lineRule="auto"/>
        <w:ind w:left="1178" w:right="768" w:firstLine="420"/>
      </w:pPr>
      <w:r>
        <w:rPr>
          <w:spacing w:val="-5"/>
        </w:rPr>
        <w:t>应急避护场所根据其应急功能配置、避护规模、使用时效可分为中心应急避护场所、固定应急避护</w:t>
      </w:r>
      <w:r>
        <w:rPr>
          <w:spacing w:val="-14"/>
          <w:w w:val="95"/>
        </w:rPr>
        <w:t xml:space="preserve">场所和紧急应急避护场所三个等级。应急避护场所的等级、性质、规模等内容应以批准的国土空间规划、   </w:t>
      </w:r>
      <w:r>
        <w:rPr>
          <w:spacing w:val="-14"/>
        </w:rPr>
        <w:t>城乡应急空间规划、应急避护场所建设规划为依据。</w:t>
      </w:r>
    </w:p>
    <w:p>
      <w:pPr>
        <w:pStyle w:val="ListParagraph"/>
        <w:numPr>
          <w:ilvl w:val="1"/>
          <w:numId w:val="10"/>
        </w:numPr>
        <w:tabs>
          <w:tab w:val="left" w:pos="1704"/>
        </w:tabs>
        <w:spacing w:before="155" w:after="0" w:line="240" w:lineRule="auto"/>
        <w:ind w:left="1704" w:right="0" w:hanging="526"/>
        <w:jc w:val="left"/>
        <w:rPr>
          <w:rFonts w:ascii="黑体" w:eastAsia="黑体" w:hint="eastAsia"/>
          <w:sz w:val="21"/>
        </w:rPr>
      </w:pPr>
      <w:bookmarkStart w:id="16" w:name="4.3　场所开放时间要求"/>
      <w:bookmarkEnd w:id="16"/>
      <w:r>
        <w:rPr>
          <w:rFonts w:ascii="黑体" w:eastAsia="黑体" w:hint="eastAsia"/>
          <w:sz w:val="21"/>
        </w:rPr>
        <w:t>场所开放时间要求</w:t>
      </w:r>
    </w:p>
    <w:p>
      <w:pPr>
        <w:pStyle w:val="BodyText"/>
        <w:spacing w:before="7"/>
        <w:rPr>
          <w:rFonts w:ascii="黑体"/>
          <w:sz w:val="15"/>
        </w:rPr>
      </w:pPr>
    </w:p>
    <w:p>
      <w:pPr>
        <w:pStyle w:val="BodyText"/>
        <w:ind w:left="1598"/>
      </w:pPr>
      <w:r>
        <w:t>应急避护场所的设计开放时间不宜超过表 1 的规定。</w:t>
      </w:r>
    </w:p>
    <w:p>
      <w:pPr>
        <w:pStyle w:val="BodyText"/>
        <w:spacing w:before="7"/>
        <w:rPr>
          <w:sz w:val="15"/>
        </w:rPr>
      </w:pPr>
    </w:p>
    <w:p>
      <w:pPr>
        <w:pStyle w:val="BodyText"/>
        <w:ind w:left="301"/>
        <w:jc w:val="center"/>
        <w:rPr>
          <w:rFonts w:ascii="黑体" w:eastAsia="黑体" w:hint="eastAsia"/>
        </w:rPr>
      </w:pPr>
      <w:bookmarkStart w:id="17" w:name="表1  应急避护场所的设计开放时间"/>
      <w:bookmarkEnd w:id="17"/>
      <w:r>
        <w:rPr>
          <w:rFonts w:ascii="黑体" w:eastAsia="黑体" w:hint="eastAsia"/>
        </w:rPr>
        <w:t>表1 应急避护场所的设计开放时间</w:t>
      </w:r>
    </w:p>
    <w:p>
      <w:pPr>
        <w:pStyle w:val="BodyText"/>
        <w:spacing w:before="10"/>
        <w:rPr>
          <w:rFonts w:ascii="黑体"/>
          <w:sz w:val="13"/>
        </w:rPr>
      </w:pPr>
    </w:p>
    <w:tbl>
      <w:tblPr>
        <w:tblStyle w:val="TableNormal1"/>
        <w:tblW w:w="0" w:type="auto"/>
        <w:jc w:val="left"/>
        <w:tblInd w:w="108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2018"/>
        <w:gridCol w:w="2056"/>
        <w:gridCol w:w="1106"/>
        <w:gridCol w:w="986"/>
        <w:gridCol w:w="888"/>
        <w:gridCol w:w="1281"/>
        <w:gridCol w:w="1235"/>
      </w:tblGrid>
      <w:tr>
        <w:tblPrEx>
          <w:tblW w:w="0" w:type="auto"/>
          <w:jc w:val="left"/>
          <w:tblInd w:w="108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Ex>
        <w:trPr>
          <w:trHeight w:val="312"/>
          <w:jc w:val="left"/>
        </w:trPr>
        <w:tc>
          <w:tcPr>
            <w:tcW w:w="2018" w:type="dxa"/>
            <w:tcBorders>
              <w:bottom w:val="single" w:sz="6" w:space="0" w:color="000000"/>
              <w:right w:val="single" w:sz="6" w:space="0" w:color="000000"/>
            </w:tcBorders>
          </w:tcPr>
          <w:p>
            <w:pPr>
              <w:pStyle w:val="TableParagraph"/>
              <w:spacing w:before="41"/>
              <w:ind w:left="647"/>
              <w:rPr>
                <w:sz w:val="18"/>
              </w:rPr>
            </w:pPr>
            <w:r>
              <w:rPr>
                <w:sz w:val="18"/>
              </w:rPr>
              <w:t>适用场所</w:t>
            </w:r>
          </w:p>
        </w:tc>
        <w:tc>
          <w:tcPr>
            <w:tcW w:w="2056" w:type="dxa"/>
            <w:tcBorders>
              <w:left w:val="single" w:sz="6" w:space="0" w:color="000000"/>
              <w:bottom w:val="single" w:sz="6" w:space="0" w:color="000000"/>
              <w:right w:val="single" w:sz="6" w:space="0" w:color="000000"/>
            </w:tcBorders>
          </w:tcPr>
          <w:p>
            <w:pPr>
              <w:pStyle w:val="TableParagraph"/>
              <w:spacing w:before="41"/>
              <w:ind w:left="294" w:right="266"/>
              <w:jc w:val="center"/>
              <w:rPr>
                <w:sz w:val="18"/>
              </w:rPr>
            </w:pPr>
            <w:r>
              <w:rPr>
                <w:sz w:val="18"/>
              </w:rPr>
              <w:t>中心应急避护场所</w:t>
            </w:r>
          </w:p>
        </w:tc>
        <w:tc>
          <w:tcPr>
            <w:tcW w:w="2980" w:type="dxa"/>
            <w:gridSpan w:val="3"/>
            <w:tcBorders>
              <w:left w:val="single" w:sz="6" w:space="0" w:color="000000"/>
              <w:bottom w:val="single" w:sz="6" w:space="0" w:color="000000"/>
              <w:right w:val="single" w:sz="6" w:space="0" w:color="000000"/>
            </w:tcBorders>
          </w:tcPr>
          <w:p>
            <w:pPr>
              <w:pStyle w:val="TableParagraph"/>
              <w:spacing w:before="41"/>
              <w:ind w:left="776"/>
              <w:rPr>
                <w:sz w:val="18"/>
              </w:rPr>
            </w:pPr>
            <w:r>
              <w:rPr>
                <w:sz w:val="18"/>
              </w:rPr>
              <w:t>固定应急避护场所</w:t>
            </w:r>
          </w:p>
        </w:tc>
        <w:tc>
          <w:tcPr>
            <w:tcW w:w="2516" w:type="dxa"/>
            <w:gridSpan w:val="2"/>
            <w:tcBorders>
              <w:left w:val="single" w:sz="6" w:space="0" w:color="000000"/>
              <w:bottom w:val="single" w:sz="6" w:space="0" w:color="000000"/>
            </w:tcBorders>
          </w:tcPr>
          <w:p>
            <w:pPr>
              <w:pStyle w:val="TableParagraph"/>
              <w:spacing w:before="41"/>
              <w:ind w:left="544"/>
              <w:rPr>
                <w:sz w:val="18"/>
              </w:rPr>
            </w:pPr>
            <w:r>
              <w:rPr>
                <w:sz w:val="18"/>
              </w:rPr>
              <w:t>紧急应急避护场所</w:t>
            </w:r>
          </w:p>
        </w:tc>
      </w:tr>
      <w:tr>
        <w:tblPrEx>
          <w:tblW w:w="0" w:type="auto"/>
          <w:jc w:val="left"/>
          <w:tblInd w:w="1085" w:type="dxa"/>
          <w:tblLayout w:type="fixed"/>
          <w:tblCellMar>
            <w:top w:w="0" w:type="dxa"/>
            <w:left w:w="0" w:type="dxa"/>
            <w:bottom w:w="0" w:type="dxa"/>
            <w:right w:w="0" w:type="dxa"/>
          </w:tblCellMar>
          <w:tblLook w:val="01E0"/>
        </w:tblPrEx>
        <w:trPr>
          <w:trHeight w:val="311"/>
          <w:jc w:val="left"/>
        </w:trPr>
        <w:tc>
          <w:tcPr>
            <w:tcW w:w="2018" w:type="dxa"/>
            <w:tcBorders>
              <w:top w:val="single" w:sz="6" w:space="0" w:color="000000"/>
              <w:bottom w:val="single" w:sz="6" w:space="0" w:color="000000"/>
              <w:right w:val="single" w:sz="6" w:space="0" w:color="000000"/>
            </w:tcBorders>
          </w:tcPr>
          <w:p>
            <w:pPr>
              <w:pStyle w:val="TableParagraph"/>
              <w:spacing w:before="40"/>
              <w:ind w:left="647"/>
              <w:rPr>
                <w:sz w:val="18"/>
              </w:rPr>
            </w:pPr>
            <w:r>
              <w:rPr>
                <w:sz w:val="18"/>
              </w:rPr>
              <w:t>保障性能</w:t>
            </w:r>
          </w:p>
        </w:tc>
        <w:tc>
          <w:tcPr>
            <w:tcW w:w="2056" w:type="dxa"/>
            <w:tcBorders>
              <w:top w:val="single" w:sz="6" w:space="0" w:color="000000"/>
              <w:left w:val="single" w:sz="6" w:space="0" w:color="000000"/>
              <w:bottom w:val="single" w:sz="6" w:space="0" w:color="000000"/>
              <w:right w:val="single" w:sz="6" w:space="0" w:color="000000"/>
            </w:tcBorders>
          </w:tcPr>
          <w:p>
            <w:pPr>
              <w:pStyle w:val="TableParagraph"/>
              <w:spacing w:before="40"/>
              <w:ind w:left="294" w:right="266"/>
              <w:jc w:val="center"/>
              <w:rPr>
                <w:sz w:val="18"/>
              </w:rPr>
            </w:pPr>
            <w:r>
              <w:rPr>
                <w:sz w:val="18"/>
              </w:rPr>
              <w:t>固定避护</w:t>
            </w:r>
          </w:p>
        </w:tc>
        <w:tc>
          <w:tcPr>
            <w:tcW w:w="2980" w:type="dxa"/>
            <w:gridSpan w:val="3"/>
            <w:tcBorders>
              <w:top w:val="single" w:sz="6" w:space="0" w:color="000000"/>
              <w:left w:val="single" w:sz="6" w:space="0" w:color="000000"/>
              <w:bottom w:val="single" w:sz="6" w:space="0" w:color="000000"/>
              <w:right w:val="single" w:sz="6" w:space="0" w:color="000000"/>
            </w:tcBorders>
          </w:tcPr>
          <w:p>
            <w:pPr>
              <w:pStyle w:val="TableParagraph"/>
              <w:spacing w:before="40"/>
              <w:ind w:left="1116" w:right="1088"/>
              <w:jc w:val="center"/>
              <w:rPr>
                <w:sz w:val="18"/>
              </w:rPr>
            </w:pPr>
            <w:r>
              <w:rPr>
                <w:sz w:val="18"/>
              </w:rPr>
              <w:t>固定避护</w:t>
            </w:r>
          </w:p>
        </w:tc>
        <w:tc>
          <w:tcPr>
            <w:tcW w:w="2516" w:type="dxa"/>
            <w:gridSpan w:val="2"/>
            <w:tcBorders>
              <w:top w:val="single" w:sz="6" w:space="0" w:color="000000"/>
              <w:left w:val="single" w:sz="6" w:space="0" w:color="000000"/>
              <w:bottom w:val="single" w:sz="6" w:space="0" w:color="000000"/>
            </w:tcBorders>
          </w:tcPr>
          <w:p>
            <w:pPr>
              <w:pStyle w:val="TableParagraph"/>
              <w:spacing w:before="40"/>
              <w:ind w:left="884" w:right="849"/>
              <w:jc w:val="center"/>
              <w:rPr>
                <w:sz w:val="18"/>
              </w:rPr>
            </w:pPr>
            <w:r>
              <w:rPr>
                <w:sz w:val="18"/>
              </w:rPr>
              <w:t>紧急避护</w:t>
            </w:r>
          </w:p>
        </w:tc>
      </w:tr>
      <w:tr>
        <w:tblPrEx>
          <w:tblW w:w="0" w:type="auto"/>
          <w:jc w:val="left"/>
          <w:tblInd w:w="1085" w:type="dxa"/>
          <w:tblLayout w:type="fixed"/>
          <w:tblCellMar>
            <w:top w:w="0" w:type="dxa"/>
            <w:left w:w="0" w:type="dxa"/>
            <w:bottom w:w="0" w:type="dxa"/>
            <w:right w:w="0" w:type="dxa"/>
          </w:tblCellMar>
          <w:tblLook w:val="01E0"/>
        </w:tblPrEx>
        <w:trPr>
          <w:trHeight w:val="312"/>
          <w:jc w:val="left"/>
        </w:trPr>
        <w:tc>
          <w:tcPr>
            <w:tcW w:w="2018" w:type="dxa"/>
            <w:tcBorders>
              <w:top w:val="single" w:sz="6" w:space="0" w:color="000000"/>
              <w:bottom w:val="single" w:sz="6" w:space="0" w:color="000000"/>
              <w:right w:val="single" w:sz="6" w:space="0" w:color="000000"/>
            </w:tcBorders>
          </w:tcPr>
          <w:p>
            <w:pPr>
              <w:pStyle w:val="TableParagraph"/>
              <w:spacing w:before="40"/>
              <w:ind w:left="647"/>
              <w:rPr>
                <w:sz w:val="18"/>
              </w:rPr>
            </w:pPr>
            <w:r>
              <w:rPr>
                <w:sz w:val="18"/>
              </w:rPr>
              <w:t>避护阶段</w:t>
            </w:r>
          </w:p>
        </w:tc>
        <w:tc>
          <w:tcPr>
            <w:tcW w:w="2056" w:type="dxa"/>
            <w:tcBorders>
              <w:top w:val="single" w:sz="6" w:space="0" w:color="000000"/>
              <w:left w:val="single" w:sz="6" w:space="0" w:color="000000"/>
              <w:bottom w:val="single" w:sz="6" w:space="0" w:color="000000"/>
              <w:right w:val="single" w:sz="6" w:space="0" w:color="000000"/>
            </w:tcBorders>
          </w:tcPr>
          <w:p>
            <w:pPr>
              <w:pStyle w:val="TableParagraph"/>
              <w:spacing w:before="40"/>
              <w:ind w:left="294" w:right="266"/>
              <w:jc w:val="center"/>
              <w:rPr>
                <w:sz w:val="18"/>
              </w:rPr>
            </w:pPr>
            <w:r>
              <w:rPr>
                <w:sz w:val="18"/>
              </w:rPr>
              <w:t>长期</w:t>
            </w:r>
          </w:p>
        </w:tc>
        <w:tc>
          <w:tcPr>
            <w:tcW w:w="1106" w:type="dxa"/>
            <w:tcBorders>
              <w:top w:val="single" w:sz="6" w:space="0" w:color="000000"/>
              <w:left w:val="single" w:sz="6" w:space="0" w:color="000000"/>
              <w:bottom w:val="single" w:sz="6" w:space="0" w:color="000000"/>
              <w:right w:val="single" w:sz="6" w:space="0" w:color="000000"/>
            </w:tcBorders>
          </w:tcPr>
          <w:p>
            <w:pPr>
              <w:pStyle w:val="TableParagraph"/>
              <w:spacing w:before="40"/>
              <w:ind w:left="360" w:right="330"/>
              <w:jc w:val="center"/>
              <w:rPr>
                <w:sz w:val="18"/>
              </w:rPr>
            </w:pPr>
            <w:r>
              <w:rPr>
                <w:sz w:val="18"/>
              </w:rPr>
              <w:t>长期</w:t>
            </w:r>
          </w:p>
        </w:tc>
        <w:tc>
          <w:tcPr>
            <w:tcW w:w="986" w:type="dxa"/>
            <w:tcBorders>
              <w:top w:val="single" w:sz="6" w:space="0" w:color="000000"/>
              <w:left w:val="single" w:sz="6" w:space="0" w:color="000000"/>
              <w:bottom w:val="single" w:sz="6" w:space="0" w:color="000000"/>
              <w:right w:val="single" w:sz="6" w:space="0" w:color="000000"/>
            </w:tcBorders>
          </w:tcPr>
          <w:p>
            <w:pPr>
              <w:pStyle w:val="TableParagraph"/>
              <w:spacing w:before="40"/>
              <w:ind w:left="300" w:right="270"/>
              <w:jc w:val="center"/>
              <w:rPr>
                <w:sz w:val="18"/>
              </w:rPr>
            </w:pPr>
            <w:r>
              <w:rPr>
                <w:sz w:val="18"/>
              </w:rPr>
              <w:t>中期</w:t>
            </w:r>
          </w:p>
        </w:tc>
        <w:tc>
          <w:tcPr>
            <w:tcW w:w="888" w:type="dxa"/>
            <w:tcBorders>
              <w:top w:val="single" w:sz="6" w:space="0" w:color="000000"/>
              <w:left w:val="single" w:sz="6" w:space="0" w:color="000000"/>
              <w:bottom w:val="single" w:sz="6" w:space="0" w:color="000000"/>
              <w:right w:val="single" w:sz="6" w:space="0" w:color="000000"/>
            </w:tcBorders>
          </w:tcPr>
          <w:p>
            <w:pPr>
              <w:pStyle w:val="TableParagraph"/>
              <w:spacing w:before="40"/>
              <w:ind w:left="250" w:right="222"/>
              <w:jc w:val="center"/>
              <w:rPr>
                <w:sz w:val="18"/>
              </w:rPr>
            </w:pPr>
            <w:r>
              <w:rPr>
                <w:sz w:val="18"/>
              </w:rPr>
              <w:t>短期</w:t>
            </w:r>
          </w:p>
        </w:tc>
        <w:tc>
          <w:tcPr>
            <w:tcW w:w="1281" w:type="dxa"/>
            <w:tcBorders>
              <w:top w:val="single" w:sz="6" w:space="0" w:color="000000"/>
              <w:left w:val="single" w:sz="6" w:space="0" w:color="000000"/>
              <w:bottom w:val="single" w:sz="6" w:space="0" w:color="000000"/>
              <w:right w:val="single" w:sz="6" w:space="0" w:color="000000"/>
            </w:tcBorders>
          </w:tcPr>
          <w:p>
            <w:pPr>
              <w:pStyle w:val="TableParagraph"/>
              <w:spacing w:before="40"/>
              <w:ind w:left="447" w:right="418"/>
              <w:jc w:val="center"/>
              <w:rPr>
                <w:sz w:val="18"/>
              </w:rPr>
            </w:pPr>
            <w:r>
              <w:rPr>
                <w:sz w:val="18"/>
              </w:rPr>
              <w:t>临时</w:t>
            </w:r>
          </w:p>
        </w:tc>
        <w:tc>
          <w:tcPr>
            <w:tcW w:w="1235" w:type="dxa"/>
            <w:tcBorders>
              <w:top w:val="single" w:sz="6" w:space="0" w:color="000000"/>
              <w:left w:val="single" w:sz="6" w:space="0" w:color="000000"/>
              <w:bottom w:val="single" w:sz="6" w:space="0" w:color="000000"/>
            </w:tcBorders>
          </w:tcPr>
          <w:p>
            <w:pPr>
              <w:pStyle w:val="TableParagraph"/>
              <w:spacing w:before="40"/>
              <w:ind w:left="424" w:right="388"/>
              <w:jc w:val="center"/>
              <w:rPr>
                <w:sz w:val="18"/>
              </w:rPr>
            </w:pPr>
            <w:r>
              <w:rPr>
                <w:sz w:val="18"/>
              </w:rPr>
              <w:t>紧急</w:t>
            </w:r>
          </w:p>
        </w:tc>
      </w:tr>
      <w:tr>
        <w:tblPrEx>
          <w:tblW w:w="0" w:type="auto"/>
          <w:jc w:val="left"/>
          <w:tblInd w:w="1085" w:type="dxa"/>
          <w:tblLayout w:type="fixed"/>
          <w:tblCellMar>
            <w:top w:w="0" w:type="dxa"/>
            <w:left w:w="0" w:type="dxa"/>
            <w:bottom w:w="0" w:type="dxa"/>
            <w:right w:w="0" w:type="dxa"/>
          </w:tblCellMar>
          <w:tblLook w:val="01E0"/>
        </w:tblPrEx>
        <w:trPr>
          <w:trHeight w:val="311"/>
          <w:jc w:val="left"/>
        </w:trPr>
        <w:tc>
          <w:tcPr>
            <w:tcW w:w="2018" w:type="dxa"/>
            <w:tcBorders>
              <w:top w:val="single" w:sz="6" w:space="0" w:color="000000"/>
              <w:right w:val="single" w:sz="6" w:space="0" w:color="000000"/>
            </w:tcBorders>
          </w:tcPr>
          <w:p>
            <w:pPr>
              <w:pStyle w:val="TableParagraph"/>
              <w:spacing w:before="42"/>
              <w:ind w:left="107" w:right="-15"/>
              <w:rPr>
                <w:sz w:val="18"/>
              </w:rPr>
            </w:pPr>
            <w:r>
              <w:rPr>
                <w:spacing w:val="-12"/>
                <w:sz w:val="18"/>
              </w:rPr>
              <w:t>最长设计开放时间</w:t>
            </w:r>
            <w:r>
              <w:rPr>
                <w:sz w:val="18"/>
              </w:rPr>
              <w:t>（天）</w:t>
            </w:r>
          </w:p>
        </w:tc>
        <w:tc>
          <w:tcPr>
            <w:tcW w:w="2056" w:type="dxa"/>
            <w:tcBorders>
              <w:top w:val="single" w:sz="6" w:space="0" w:color="000000"/>
              <w:left w:val="single" w:sz="6" w:space="0" w:color="000000"/>
              <w:right w:val="single" w:sz="6" w:space="0" w:color="000000"/>
            </w:tcBorders>
          </w:tcPr>
          <w:p>
            <w:pPr>
              <w:pStyle w:val="TableParagraph"/>
              <w:spacing w:before="42"/>
              <w:ind w:left="294" w:right="265"/>
              <w:jc w:val="center"/>
              <w:rPr>
                <w:sz w:val="18"/>
              </w:rPr>
            </w:pPr>
            <w:r>
              <w:rPr>
                <w:sz w:val="18"/>
              </w:rPr>
              <w:t>100</w:t>
            </w:r>
          </w:p>
        </w:tc>
        <w:tc>
          <w:tcPr>
            <w:tcW w:w="1106" w:type="dxa"/>
            <w:tcBorders>
              <w:top w:val="single" w:sz="6" w:space="0" w:color="000000"/>
              <w:left w:val="single" w:sz="6" w:space="0" w:color="000000"/>
              <w:right w:val="single" w:sz="6" w:space="0" w:color="000000"/>
            </w:tcBorders>
          </w:tcPr>
          <w:p>
            <w:pPr>
              <w:pStyle w:val="TableParagraph"/>
              <w:spacing w:before="42"/>
              <w:ind w:left="356" w:right="330"/>
              <w:jc w:val="center"/>
              <w:rPr>
                <w:sz w:val="18"/>
              </w:rPr>
            </w:pPr>
            <w:r>
              <w:rPr>
                <w:sz w:val="18"/>
              </w:rPr>
              <w:t>100</w:t>
            </w:r>
          </w:p>
        </w:tc>
        <w:tc>
          <w:tcPr>
            <w:tcW w:w="986" w:type="dxa"/>
            <w:tcBorders>
              <w:top w:val="single" w:sz="6" w:space="0" w:color="000000"/>
              <w:left w:val="single" w:sz="6" w:space="0" w:color="000000"/>
              <w:right w:val="single" w:sz="6" w:space="0" w:color="000000"/>
            </w:tcBorders>
          </w:tcPr>
          <w:p>
            <w:pPr>
              <w:pStyle w:val="TableParagraph"/>
              <w:spacing w:before="42"/>
              <w:ind w:left="299" w:right="270"/>
              <w:jc w:val="center"/>
              <w:rPr>
                <w:sz w:val="18"/>
              </w:rPr>
            </w:pPr>
            <w:r>
              <w:rPr>
                <w:sz w:val="18"/>
              </w:rPr>
              <w:t>30</w:t>
            </w:r>
          </w:p>
        </w:tc>
        <w:tc>
          <w:tcPr>
            <w:tcW w:w="888" w:type="dxa"/>
            <w:tcBorders>
              <w:top w:val="single" w:sz="6" w:space="0" w:color="000000"/>
              <w:left w:val="single" w:sz="6" w:space="0" w:color="000000"/>
              <w:right w:val="single" w:sz="6" w:space="0" w:color="000000"/>
            </w:tcBorders>
          </w:tcPr>
          <w:p>
            <w:pPr>
              <w:pStyle w:val="TableParagraph"/>
              <w:spacing w:before="42"/>
              <w:ind w:left="249" w:right="222"/>
              <w:jc w:val="center"/>
              <w:rPr>
                <w:sz w:val="18"/>
              </w:rPr>
            </w:pPr>
            <w:r>
              <w:rPr>
                <w:sz w:val="18"/>
              </w:rPr>
              <w:t>15</w:t>
            </w:r>
          </w:p>
        </w:tc>
        <w:tc>
          <w:tcPr>
            <w:tcW w:w="1281" w:type="dxa"/>
            <w:tcBorders>
              <w:top w:val="single" w:sz="6" w:space="0" w:color="000000"/>
              <w:left w:val="single" w:sz="6" w:space="0" w:color="000000"/>
              <w:right w:val="single" w:sz="6" w:space="0" w:color="000000"/>
            </w:tcBorders>
          </w:tcPr>
          <w:p>
            <w:pPr>
              <w:pStyle w:val="TableParagraph"/>
              <w:spacing w:before="42"/>
              <w:ind w:left="28"/>
              <w:jc w:val="center"/>
              <w:rPr>
                <w:sz w:val="18"/>
              </w:rPr>
            </w:pPr>
            <w:r>
              <w:rPr>
                <w:sz w:val="18"/>
              </w:rPr>
              <w:t>3</w:t>
            </w:r>
          </w:p>
        </w:tc>
        <w:tc>
          <w:tcPr>
            <w:tcW w:w="1235" w:type="dxa"/>
            <w:tcBorders>
              <w:top w:val="single" w:sz="6" w:space="0" w:color="000000"/>
              <w:left w:val="single" w:sz="6" w:space="0" w:color="000000"/>
            </w:tcBorders>
          </w:tcPr>
          <w:p>
            <w:pPr>
              <w:pStyle w:val="TableParagraph"/>
              <w:spacing w:before="42"/>
              <w:ind w:left="34"/>
              <w:jc w:val="center"/>
              <w:rPr>
                <w:sz w:val="18"/>
              </w:rPr>
            </w:pPr>
            <w:r>
              <w:rPr>
                <w:sz w:val="18"/>
              </w:rPr>
              <w:t>1</w:t>
            </w:r>
          </w:p>
        </w:tc>
      </w:tr>
    </w:tbl>
    <w:p>
      <w:pPr>
        <w:pStyle w:val="BodyText"/>
        <w:rPr>
          <w:rFonts w:ascii="黑体"/>
          <w:sz w:val="20"/>
        </w:rPr>
      </w:pPr>
    </w:p>
    <w:p>
      <w:pPr>
        <w:pStyle w:val="BodyText"/>
        <w:spacing w:before="2"/>
        <w:rPr>
          <w:rFonts w:ascii="黑体"/>
          <w:sz w:val="18"/>
        </w:rPr>
      </w:pPr>
    </w:p>
    <w:p>
      <w:pPr>
        <w:pStyle w:val="ListParagraph"/>
        <w:numPr>
          <w:ilvl w:val="1"/>
          <w:numId w:val="10"/>
        </w:numPr>
        <w:tabs>
          <w:tab w:val="left" w:pos="1704"/>
        </w:tabs>
        <w:spacing w:before="0" w:after="0" w:line="240" w:lineRule="auto"/>
        <w:ind w:left="1704" w:right="0" w:hanging="526"/>
        <w:jc w:val="left"/>
        <w:rPr>
          <w:rFonts w:ascii="黑体" w:eastAsia="黑体" w:hint="eastAsia"/>
          <w:sz w:val="21"/>
        </w:rPr>
      </w:pPr>
      <w:bookmarkStart w:id="18" w:name="4.4　控制要求"/>
      <w:bookmarkEnd w:id="18"/>
      <w:r>
        <w:rPr>
          <w:rFonts w:ascii="黑体" w:eastAsia="黑体" w:hint="eastAsia"/>
          <w:sz w:val="21"/>
        </w:rPr>
        <w:t>控制要求</w:t>
      </w:r>
    </w:p>
    <w:p>
      <w:pPr>
        <w:pStyle w:val="BodyText"/>
        <w:spacing w:before="7"/>
        <w:rPr>
          <w:rFonts w:ascii="黑体"/>
          <w:sz w:val="15"/>
        </w:rPr>
      </w:pPr>
    </w:p>
    <w:p>
      <w:pPr>
        <w:pStyle w:val="BodyText"/>
        <w:spacing w:line="278" w:lineRule="auto"/>
        <w:ind w:left="1178" w:right="871" w:firstLine="420"/>
      </w:pPr>
      <w:r>
        <w:pict>
          <v:group id="_x0000_s1039" style="width:468.75pt;height:360.8pt;margin-top:40.52pt;margin-left:70.92pt;mso-position-horizontal-relative:page;position:absolute;z-index:-251646976" coordorigin="1418,810" coordsize="9375,7216">
            <v:shape id="_x0000_s1040" type="#_x0000_t202" style="width:3064;height:209;left:4572;position:absolute;top:810" filled="f" stroked="f">
              <v:textbox inset="0,0,0,0">
                <w:txbxContent>
                  <w:p>
                    <w:pPr>
                      <w:spacing w:before="0" w:line="209" w:lineRule="exact"/>
                      <w:ind w:left="0" w:right="0" w:firstLine="0"/>
                      <w:jc w:val="left"/>
                      <w:rPr>
                        <w:rFonts w:ascii="黑体" w:eastAsia="黑体" w:hint="eastAsia"/>
                        <w:sz w:val="21"/>
                      </w:rPr>
                    </w:pPr>
                    <w:r>
                      <w:rPr>
                        <w:rFonts w:ascii="黑体" w:eastAsia="黑体" w:hint="eastAsia"/>
                        <w:sz w:val="21"/>
                      </w:rPr>
                      <w:t>表2 各级应急避护场所控制要求</w:t>
                    </w:r>
                  </w:p>
                </w:txbxContent>
              </v:textbox>
            </v:shape>
            <v:shape id="_x0000_s1041" type="#_x0000_t202" style="width:9375;height:3964;left:1418;position:absolute;top:4062" filled="f" stroked="f">
              <v:textbox inset="0,0,0,0">
                <w:txbxContent>
                  <w:p>
                    <w:pPr>
                      <w:numPr>
                        <w:ilvl w:val="1"/>
                        <w:numId w:val="9"/>
                      </w:numPr>
                      <w:tabs>
                        <w:tab w:val="left" w:pos="526"/>
                      </w:tabs>
                      <w:spacing w:before="0" w:line="239" w:lineRule="exact"/>
                      <w:ind w:left="525" w:right="0" w:hanging="526"/>
                      <w:jc w:val="left"/>
                      <w:rPr>
                        <w:rFonts w:ascii="黑体" w:eastAsia="黑体" w:hint="eastAsia"/>
                        <w:sz w:val="21"/>
                      </w:rPr>
                    </w:pPr>
                    <w:bookmarkStart w:id="19" w:name="4.5　设防要求"/>
                    <w:bookmarkEnd w:id="19"/>
                    <w:r>
                      <w:rPr>
                        <w:rFonts w:ascii="黑体" w:eastAsia="黑体" w:hint="eastAsia"/>
                        <w:sz w:val="21"/>
                      </w:rPr>
                      <w:t>设防要求</w:t>
                    </w:r>
                  </w:p>
                  <w:p>
                    <w:pPr>
                      <w:spacing w:before="6" w:line="240" w:lineRule="auto"/>
                      <w:rPr>
                        <w:rFonts w:ascii="黑体"/>
                        <w:sz w:val="15"/>
                      </w:rPr>
                    </w:pPr>
                  </w:p>
                  <w:p>
                    <w:pPr>
                      <w:numPr>
                        <w:ilvl w:val="2"/>
                        <w:numId w:val="9"/>
                      </w:numPr>
                      <w:tabs>
                        <w:tab w:val="left" w:pos="735"/>
                      </w:tabs>
                      <w:spacing w:before="0"/>
                      <w:ind w:left="734" w:right="0" w:hanging="735"/>
                      <w:jc w:val="left"/>
                      <w:rPr>
                        <w:sz w:val="21"/>
                      </w:rPr>
                    </w:pPr>
                    <w:bookmarkStart w:id="20" w:name="4.5.1　应急避护场所设防应符合下列规定："/>
                    <w:bookmarkEnd w:id="20"/>
                    <w:r>
                      <w:rPr>
                        <w:sz w:val="21"/>
                      </w:rPr>
                      <w:t>应急避护场所设防应符合下列规定：</w:t>
                    </w:r>
                  </w:p>
                  <w:p>
                    <w:pPr>
                      <w:numPr>
                        <w:ilvl w:val="3"/>
                        <w:numId w:val="9"/>
                      </w:numPr>
                      <w:tabs>
                        <w:tab w:val="left" w:pos="736"/>
                      </w:tabs>
                      <w:spacing w:before="43" w:line="278" w:lineRule="auto"/>
                      <w:ind w:left="0" w:right="19" w:firstLine="420"/>
                      <w:jc w:val="left"/>
                      <w:rPr>
                        <w:sz w:val="21"/>
                      </w:rPr>
                    </w:pPr>
                    <w:bookmarkStart w:id="21" w:name="a）在遭受不高于防御标准灾害的影响下，应急避护建筑和应急避护设施不应发生严重破坏"/>
                    <w:bookmarkEnd w:id="21"/>
                    <w:r>
                      <w:rPr>
                        <w:sz w:val="21"/>
                      </w:rPr>
                      <w:t>在遭受不高于防御标准灾害的影响下，应急避护建筑和应急避护设施不应发生严重破坏，且能</w:t>
                    </w:r>
                    <w:r>
                      <w:rPr>
                        <w:sz w:val="21"/>
                      </w:rPr>
                      <w:t>及时恢复；临时设置的应急避护设施应能顺利安装和启用。</w:t>
                    </w:r>
                  </w:p>
                  <w:p>
                    <w:pPr>
                      <w:numPr>
                        <w:ilvl w:val="3"/>
                        <w:numId w:val="9"/>
                      </w:numPr>
                      <w:tabs>
                        <w:tab w:val="left" w:pos="740"/>
                      </w:tabs>
                      <w:spacing w:before="0" w:line="278" w:lineRule="auto"/>
                      <w:ind w:left="0" w:right="18" w:firstLine="420"/>
                      <w:jc w:val="left"/>
                      <w:rPr>
                        <w:sz w:val="21"/>
                      </w:rPr>
                    </w:pPr>
                    <w:bookmarkStart w:id="22" w:name="b） 在遭受高于防御标准灾害的影响下，应急避护建筑和应急避护设施应确保避护人员的"/>
                    <w:bookmarkEnd w:id="22"/>
                    <w:r>
                      <w:rPr>
                        <w:spacing w:val="-7"/>
                        <w:w w:val="95"/>
                        <w:sz w:val="21"/>
                      </w:rPr>
                      <w:t>在遭受高于防御标准灾害的影响下，应急避护建筑和应急避护设施应确保避护人员的生命安全,</w:t>
                    </w:r>
                    <w:r>
                      <w:rPr>
                        <w:spacing w:val="-7"/>
                        <w:w w:val="95"/>
                        <w:sz w:val="21"/>
                      </w:rPr>
                      <w:t xml:space="preserve">   </w:t>
                    </w:r>
                    <w:r>
                      <w:rPr>
                        <w:spacing w:val="-7"/>
                        <w:sz w:val="21"/>
                      </w:rPr>
                      <w:t>且避护功能应能及时恢复。</w:t>
                    </w:r>
                  </w:p>
                  <w:p>
                    <w:pPr>
                      <w:numPr>
                        <w:ilvl w:val="3"/>
                        <w:numId w:val="9"/>
                      </w:numPr>
                      <w:tabs>
                        <w:tab w:val="left" w:pos="840"/>
                      </w:tabs>
                      <w:spacing w:before="0" w:line="278" w:lineRule="auto"/>
                      <w:ind w:left="0" w:right="21" w:firstLine="420"/>
                      <w:jc w:val="left"/>
                      <w:rPr>
                        <w:sz w:val="21"/>
                      </w:rPr>
                    </w:pPr>
                    <w:bookmarkStart w:id="23" w:name="c） 对于临灾时期和灾时启用的应急避护场所,应保证承担应急避护功能的建筑和设施不"/>
                    <w:bookmarkEnd w:id="23"/>
                    <w:r>
                      <w:rPr>
                        <w:sz w:val="21"/>
                      </w:rPr>
                      <w:t>对于临灾时期和灾时启用的应急避护场所,应保证承担应急避护功能的建筑和设施不发生危及</w:t>
                    </w:r>
                    <w:r>
                      <w:rPr>
                        <w:sz w:val="21"/>
                      </w:rPr>
                      <w:t>避护人员生命安全的破坏。</w:t>
                    </w:r>
                  </w:p>
                  <w:p>
                    <w:pPr>
                      <w:numPr>
                        <w:ilvl w:val="3"/>
                        <w:numId w:val="9"/>
                      </w:numPr>
                      <w:tabs>
                        <w:tab w:val="left" w:pos="840"/>
                      </w:tabs>
                      <w:spacing w:before="0" w:line="278" w:lineRule="auto"/>
                      <w:ind w:left="0" w:right="19" w:firstLine="420"/>
                      <w:jc w:val="left"/>
                      <w:rPr>
                        <w:sz w:val="21"/>
                      </w:rPr>
                    </w:pPr>
                    <w:bookmarkStart w:id="24" w:name="d） 对于应急避护场所内与应急功能无关的建筑工程设施和设备,不得影响应急避护场所"/>
                    <w:bookmarkEnd w:id="24"/>
                    <w:r>
                      <w:rPr>
                        <w:sz w:val="21"/>
                      </w:rPr>
                      <w:t>对于应急避护场所内与应急功能无关的建筑工程设施和设备,不得影响应急避护场所应急功能</w:t>
                    </w:r>
                    <w:r>
                      <w:rPr>
                        <w:sz w:val="21"/>
                      </w:rPr>
                      <w:t>的发挥，不得危及避护人员生命安全。</w:t>
                    </w:r>
                  </w:p>
                  <w:p>
                    <w:pPr>
                      <w:numPr>
                        <w:ilvl w:val="2"/>
                        <w:numId w:val="9"/>
                      </w:numPr>
                      <w:tabs>
                        <w:tab w:val="left" w:pos="735"/>
                      </w:tabs>
                      <w:spacing w:before="0" w:line="269" w:lineRule="exact"/>
                      <w:ind w:left="734" w:right="0" w:hanging="735"/>
                      <w:jc w:val="left"/>
                      <w:rPr>
                        <w:sz w:val="21"/>
                      </w:rPr>
                    </w:pPr>
                    <w:bookmarkStart w:id="25" w:name="4.5.2　应急避护场所预定抗震设防烈度标准不应低于7度。"/>
                    <w:bookmarkEnd w:id="25"/>
                    <w:r>
                      <w:rPr>
                        <w:spacing w:val="-3"/>
                        <w:sz w:val="21"/>
                      </w:rPr>
                      <w:t xml:space="preserve">应急避护场所预定抗震设防烈度标准不应低于 </w:t>
                    </w:r>
                    <w:r>
                      <w:rPr>
                        <w:sz w:val="21"/>
                      </w:rPr>
                      <w:t>7</w:t>
                    </w:r>
                    <w:r>
                      <w:rPr>
                        <w:spacing w:val="-18"/>
                        <w:sz w:val="21"/>
                      </w:rPr>
                      <w:t xml:space="preserve"> 度。</w:t>
                    </w:r>
                  </w:p>
                  <w:p>
                    <w:pPr>
                      <w:spacing w:before="12" w:line="240" w:lineRule="auto"/>
                      <w:rPr>
                        <w:sz w:val="18"/>
                      </w:rPr>
                    </w:pPr>
                  </w:p>
                  <w:p>
                    <w:pPr>
                      <w:spacing w:before="0" w:line="205" w:lineRule="exact"/>
                      <w:ind w:left="0" w:right="217" w:firstLine="0"/>
                      <w:jc w:val="right"/>
                      <w:rPr>
                        <w:sz w:val="18"/>
                      </w:rPr>
                    </w:pPr>
                    <w:r>
                      <w:rPr>
                        <w:sz w:val="18"/>
                      </w:rPr>
                      <w:t>3</w:t>
                    </w:r>
                  </w:p>
                </w:txbxContent>
              </v:textbox>
            </v:shape>
          </v:group>
        </w:pict>
      </w:r>
      <w:r>
        <w:pict>
          <v:group id="_x0000_s1042" style="width:560pt;height:384pt;margin-top:30.35pt;margin-left:17pt;mso-position-horizontal-relative:page;position:absolute;z-index:251668480" coordorigin="340,607" coordsize="11200,7680">
            <v:shape id="_x0000_s1043" style="width:2363;height:652;left:1444;position:absolute;top:1243" coordorigin="1444,1243" coordsize="2363,652" path="m3803,1895l1444,1255,1448,1243,3807,1883,3803,1895xe" filled="t" fillcolor="black" stroked="f">
              <v:fill type="solid"/>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44" type="#_x0000_t75" style="width:11200;height:7680;left:340;position:absolute;top:607" stroked="f">
              <v:imagedata r:id="rId4" o:title=""/>
            </v:shape>
          </v:group>
        </w:pict>
      </w:r>
      <w:r>
        <w:t>中心应急避护场所需兼备区域性应急避护场所的功能，各类应急避护场所的控制要求应符合表 2 的规定。</w:t>
      </w:r>
    </w:p>
    <w:p>
      <w:pPr>
        <w:pStyle w:val="BodyText"/>
        <w:rPr>
          <w:sz w:val="20"/>
        </w:rPr>
      </w:pPr>
    </w:p>
    <w:p>
      <w:pPr>
        <w:pStyle w:val="BodyText"/>
        <w:spacing w:before="1"/>
        <w:rPr>
          <w:sz w:val="27"/>
        </w:rPr>
      </w:pPr>
    </w:p>
    <w:tbl>
      <w:tblPr>
        <w:tblStyle w:val="TableNormal1"/>
        <w:tblW w:w="0" w:type="auto"/>
        <w:jc w:val="left"/>
        <w:tblInd w:w="12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
      <w:tblGrid>
        <w:gridCol w:w="1348"/>
        <w:gridCol w:w="1019"/>
        <w:gridCol w:w="2157"/>
        <w:gridCol w:w="1942"/>
        <w:gridCol w:w="1230"/>
        <w:gridCol w:w="1628"/>
      </w:tblGrid>
      <w:tr>
        <w:tblPrEx>
          <w:tblW w:w="0" w:type="auto"/>
          <w:jc w:val="left"/>
          <w:tblInd w:w="1208"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top w:w="0" w:type="dxa"/>
            <w:left w:w="0" w:type="dxa"/>
            <w:bottom w:w="0" w:type="dxa"/>
            <w:right w:w="0" w:type="dxa"/>
          </w:tblCellMar>
          <w:tblLook w:val="01E0"/>
        </w:tblPrEx>
        <w:trPr>
          <w:trHeight w:val="623"/>
          <w:jc w:val="left"/>
        </w:trPr>
        <w:tc>
          <w:tcPr>
            <w:tcW w:w="2367" w:type="dxa"/>
            <w:gridSpan w:val="2"/>
            <w:tcBorders>
              <w:right w:val="single" w:sz="4" w:space="0" w:color="000000"/>
            </w:tcBorders>
          </w:tcPr>
          <w:p>
            <w:pPr>
              <w:pStyle w:val="TableParagraph"/>
              <w:spacing w:before="42"/>
              <w:ind w:left="1897"/>
              <w:rPr>
                <w:sz w:val="18"/>
              </w:rPr>
            </w:pPr>
            <w:r>
              <w:rPr>
                <w:sz w:val="18"/>
              </w:rPr>
              <w:t>类别</w:t>
            </w:r>
          </w:p>
          <w:p>
            <w:pPr>
              <w:pStyle w:val="TableParagraph"/>
              <w:spacing w:before="81"/>
              <w:ind w:left="107"/>
              <w:rPr>
                <w:sz w:val="18"/>
              </w:rPr>
            </w:pPr>
            <w:r>
              <w:rPr>
                <w:sz w:val="18"/>
              </w:rPr>
              <w:t>级别</w:t>
            </w:r>
          </w:p>
        </w:tc>
        <w:tc>
          <w:tcPr>
            <w:tcW w:w="2157" w:type="dxa"/>
            <w:tcBorders>
              <w:left w:val="single" w:sz="4" w:space="0" w:color="000000"/>
              <w:right w:val="single" w:sz="4" w:space="0" w:color="000000"/>
            </w:tcBorders>
          </w:tcPr>
          <w:p>
            <w:pPr>
              <w:pStyle w:val="TableParagraph"/>
              <w:spacing w:before="42"/>
              <w:ind w:left="526" w:right="501"/>
              <w:jc w:val="center"/>
              <w:rPr>
                <w:sz w:val="18"/>
              </w:rPr>
            </w:pPr>
            <w:bookmarkStart w:id="26" w:name="表2  各级应急避护场所控制要求"/>
            <w:bookmarkEnd w:id="26"/>
            <w:r>
              <w:rPr>
                <w:sz w:val="18"/>
              </w:rPr>
              <w:t>有效避护面积</w:t>
            </w:r>
          </w:p>
          <w:p>
            <w:pPr>
              <w:pStyle w:val="TableParagraph"/>
              <w:spacing w:before="81"/>
              <w:ind w:left="526" w:right="496"/>
              <w:jc w:val="center"/>
              <w:rPr>
                <w:sz w:val="18"/>
              </w:rPr>
            </w:pPr>
            <w:r>
              <w:rPr>
                <w:sz w:val="18"/>
              </w:rPr>
              <w:t>（hm</w:t>
            </w:r>
            <w:r>
              <w:rPr>
                <w:position w:val="9"/>
                <w:sz w:val="9"/>
              </w:rPr>
              <w:t>2</w:t>
            </w:r>
            <w:r>
              <w:rPr>
                <w:sz w:val="18"/>
              </w:rPr>
              <w:t>）</w:t>
            </w:r>
          </w:p>
        </w:tc>
        <w:tc>
          <w:tcPr>
            <w:tcW w:w="1942" w:type="dxa"/>
            <w:tcBorders>
              <w:left w:val="single" w:sz="4" w:space="0" w:color="000000"/>
              <w:right w:val="single" w:sz="4" w:space="0" w:color="000000"/>
            </w:tcBorders>
          </w:tcPr>
          <w:p>
            <w:pPr>
              <w:pStyle w:val="TableParagraph"/>
              <w:spacing w:before="42"/>
              <w:ind w:left="241" w:right="211"/>
              <w:jc w:val="center"/>
              <w:rPr>
                <w:sz w:val="18"/>
              </w:rPr>
            </w:pPr>
            <w:r>
              <w:rPr>
                <w:sz w:val="18"/>
              </w:rPr>
              <w:t>人均有效避护面积</w:t>
            </w:r>
          </w:p>
          <w:p>
            <w:pPr>
              <w:pStyle w:val="TableParagraph"/>
              <w:spacing w:before="81"/>
              <w:ind w:left="239" w:right="211"/>
              <w:jc w:val="center"/>
              <w:rPr>
                <w:sz w:val="18"/>
              </w:rPr>
            </w:pPr>
            <w:r>
              <w:rPr>
                <w:sz w:val="18"/>
              </w:rPr>
              <w:t>（m</w:t>
            </w:r>
            <w:r>
              <w:rPr>
                <w:position w:val="9"/>
                <w:sz w:val="9"/>
              </w:rPr>
              <w:t>2</w:t>
            </w:r>
            <w:r>
              <w:rPr>
                <w:sz w:val="18"/>
              </w:rPr>
              <w:t>/人）</w:t>
            </w:r>
          </w:p>
        </w:tc>
        <w:tc>
          <w:tcPr>
            <w:tcW w:w="1230" w:type="dxa"/>
            <w:tcBorders>
              <w:left w:val="single" w:sz="4" w:space="0" w:color="000000"/>
              <w:right w:val="single" w:sz="4" w:space="0" w:color="000000"/>
            </w:tcBorders>
          </w:tcPr>
          <w:p>
            <w:pPr>
              <w:pStyle w:val="TableParagraph"/>
              <w:spacing w:before="42"/>
              <w:ind w:left="263"/>
              <w:rPr>
                <w:sz w:val="18"/>
              </w:rPr>
            </w:pPr>
            <w:r>
              <w:rPr>
                <w:sz w:val="18"/>
              </w:rPr>
              <w:t>疏散距离</w:t>
            </w:r>
          </w:p>
          <w:p>
            <w:pPr>
              <w:pStyle w:val="TableParagraph"/>
              <w:spacing w:before="81"/>
              <w:ind w:left="354"/>
              <w:rPr>
                <w:sz w:val="18"/>
              </w:rPr>
            </w:pPr>
            <w:r>
              <w:rPr>
                <w:sz w:val="18"/>
              </w:rPr>
              <w:t>（km）</w:t>
            </w:r>
          </w:p>
        </w:tc>
        <w:tc>
          <w:tcPr>
            <w:tcW w:w="1628" w:type="dxa"/>
            <w:tcBorders>
              <w:left w:val="single" w:sz="4" w:space="0" w:color="000000"/>
            </w:tcBorders>
          </w:tcPr>
          <w:p>
            <w:pPr>
              <w:pStyle w:val="TableParagraph"/>
              <w:spacing w:before="42"/>
              <w:ind w:left="192"/>
              <w:rPr>
                <w:sz w:val="18"/>
              </w:rPr>
            </w:pPr>
            <w:r>
              <w:rPr>
                <w:sz w:val="18"/>
              </w:rPr>
              <w:t>责任区服务人口</w:t>
            </w:r>
          </w:p>
          <w:p>
            <w:pPr>
              <w:pStyle w:val="TableParagraph"/>
              <w:spacing w:before="81"/>
              <w:ind w:left="283"/>
              <w:rPr>
                <w:sz w:val="18"/>
              </w:rPr>
            </w:pPr>
            <w:r>
              <w:rPr>
                <w:sz w:val="18"/>
              </w:rPr>
              <w:t>规模（万人）</w:t>
            </w:r>
          </w:p>
        </w:tc>
      </w:tr>
      <w:tr>
        <w:tblPrEx>
          <w:tblW w:w="0" w:type="auto"/>
          <w:jc w:val="left"/>
          <w:tblInd w:w="1208" w:type="dxa"/>
          <w:tblLayout w:type="fixed"/>
          <w:tblCellMar>
            <w:top w:w="0" w:type="dxa"/>
            <w:left w:w="0" w:type="dxa"/>
            <w:bottom w:w="0" w:type="dxa"/>
            <w:right w:w="0" w:type="dxa"/>
          </w:tblCellMar>
          <w:tblLook w:val="01E0"/>
        </w:tblPrEx>
        <w:trPr>
          <w:trHeight w:val="312"/>
          <w:jc w:val="left"/>
        </w:trPr>
        <w:tc>
          <w:tcPr>
            <w:tcW w:w="2367" w:type="dxa"/>
            <w:gridSpan w:val="2"/>
            <w:tcBorders>
              <w:bottom w:val="single" w:sz="4" w:space="0" w:color="000000"/>
              <w:right w:val="single" w:sz="4" w:space="0" w:color="000000"/>
            </w:tcBorders>
          </w:tcPr>
          <w:p>
            <w:pPr>
              <w:pStyle w:val="TableParagraph"/>
              <w:spacing w:before="41"/>
              <w:ind w:left="462"/>
              <w:rPr>
                <w:sz w:val="18"/>
              </w:rPr>
            </w:pPr>
            <w:r>
              <w:rPr>
                <w:sz w:val="18"/>
              </w:rPr>
              <w:t>中心应急避护场所</w:t>
            </w:r>
          </w:p>
        </w:tc>
        <w:tc>
          <w:tcPr>
            <w:tcW w:w="2157" w:type="dxa"/>
            <w:tcBorders>
              <w:left w:val="single" w:sz="4" w:space="0" w:color="000000"/>
              <w:bottom w:val="single" w:sz="4" w:space="0" w:color="000000"/>
              <w:right w:val="single" w:sz="4" w:space="0" w:color="000000"/>
            </w:tcBorders>
          </w:tcPr>
          <w:p>
            <w:pPr>
              <w:pStyle w:val="TableParagraph"/>
              <w:spacing w:before="41"/>
              <w:ind w:right="877"/>
              <w:jc w:val="right"/>
              <w:rPr>
                <w:sz w:val="18"/>
              </w:rPr>
            </w:pPr>
            <w:r>
              <w:rPr>
                <w:sz w:val="18"/>
              </w:rPr>
              <w:t>≥10</w:t>
            </w:r>
          </w:p>
        </w:tc>
        <w:tc>
          <w:tcPr>
            <w:tcW w:w="1942" w:type="dxa"/>
            <w:tcBorders>
              <w:left w:val="single" w:sz="4" w:space="0" w:color="000000"/>
              <w:bottom w:val="single" w:sz="4" w:space="0" w:color="000000"/>
              <w:right w:val="single" w:sz="4" w:space="0" w:color="000000"/>
            </w:tcBorders>
          </w:tcPr>
          <w:p>
            <w:pPr>
              <w:pStyle w:val="TableParagraph"/>
              <w:spacing w:before="41"/>
              <w:ind w:left="240" w:right="211"/>
              <w:jc w:val="center"/>
              <w:rPr>
                <w:sz w:val="18"/>
              </w:rPr>
            </w:pPr>
            <w:r>
              <w:rPr>
                <w:sz w:val="18"/>
              </w:rPr>
              <w:t>≥4.5</w:t>
            </w:r>
          </w:p>
        </w:tc>
        <w:tc>
          <w:tcPr>
            <w:tcW w:w="1230" w:type="dxa"/>
            <w:tcBorders>
              <w:left w:val="single" w:sz="4" w:space="0" w:color="000000"/>
              <w:bottom w:val="single" w:sz="4" w:space="0" w:color="000000"/>
              <w:right w:val="single" w:sz="4" w:space="0" w:color="000000"/>
            </w:tcBorders>
          </w:tcPr>
          <w:p>
            <w:pPr>
              <w:pStyle w:val="TableParagraph"/>
              <w:spacing w:before="41"/>
              <w:ind w:left="376" w:right="350"/>
              <w:jc w:val="center"/>
              <w:rPr>
                <w:sz w:val="18"/>
              </w:rPr>
            </w:pPr>
            <w:r>
              <w:rPr>
                <w:sz w:val="18"/>
              </w:rPr>
              <w:t>——</w:t>
            </w:r>
          </w:p>
        </w:tc>
        <w:tc>
          <w:tcPr>
            <w:tcW w:w="1628" w:type="dxa"/>
            <w:tcBorders>
              <w:left w:val="single" w:sz="4" w:space="0" w:color="000000"/>
              <w:bottom w:val="single" w:sz="4" w:space="0" w:color="000000"/>
            </w:tcBorders>
          </w:tcPr>
          <w:p>
            <w:pPr>
              <w:pStyle w:val="TableParagraph"/>
              <w:spacing w:before="41"/>
              <w:ind w:left="578" w:right="539"/>
              <w:jc w:val="center"/>
              <w:rPr>
                <w:sz w:val="18"/>
              </w:rPr>
            </w:pPr>
            <w:r>
              <w:rPr>
                <w:sz w:val="18"/>
              </w:rPr>
              <w:t>——</w:t>
            </w:r>
          </w:p>
        </w:tc>
      </w:tr>
      <w:tr>
        <w:tblPrEx>
          <w:tblW w:w="0" w:type="auto"/>
          <w:jc w:val="left"/>
          <w:tblInd w:w="1208" w:type="dxa"/>
          <w:tblLayout w:type="fixed"/>
          <w:tblCellMar>
            <w:top w:w="0" w:type="dxa"/>
            <w:left w:w="0" w:type="dxa"/>
            <w:bottom w:w="0" w:type="dxa"/>
            <w:right w:w="0" w:type="dxa"/>
          </w:tblCellMar>
          <w:tblLook w:val="01E0"/>
        </w:tblPrEx>
        <w:trPr>
          <w:trHeight w:val="311"/>
          <w:jc w:val="left"/>
        </w:trPr>
        <w:tc>
          <w:tcPr>
            <w:tcW w:w="1348" w:type="dxa"/>
            <w:vMerge w:val="restart"/>
            <w:tcBorders>
              <w:top w:val="single" w:sz="4" w:space="0" w:color="000000"/>
              <w:bottom w:val="single" w:sz="4" w:space="0" w:color="000000"/>
              <w:right w:val="single" w:sz="4" w:space="0" w:color="000000"/>
            </w:tcBorders>
          </w:tcPr>
          <w:p>
            <w:pPr>
              <w:pStyle w:val="TableParagraph"/>
              <w:spacing w:before="3"/>
              <w:rPr>
                <w:sz w:val="16"/>
              </w:rPr>
            </w:pPr>
          </w:p>
          <w:p>
            <w:pPr>
              <w:pStyle w:val="TableParagraph"/>
              <w:spacing w:line="324" w:lineRule="auto"/>
              <w:ind w:left="493" w:right="112" w:hanging="360"/>
              <w:rPr>
                <w:sz w:val="18"/>
              </w:rPr>
            </w:pPr>
            <w:r>
              <w:rPr>
                <w:sz w:val="18"/>
              </w:rPr>
              <w:t>固定应急避护场所</w:t>
            </w:r>
          </w:p>
        </w:tc>
        <w:tc>
          <w:tcPr>
            <w:tcW w:w="1019" w:type="dxa"/>
            <w:tcBorders>
              <w:top w:val="single" w:sz="4" w:space="0" w:color="000000"/>
              <w:left w:val="single" w:sz="4" w:space="0" w:color="000000"/>
              <w:bottom w:val="single" w:sz="4" w:space="0" w:color="000000"/>
              <w:right w:val="single" w:sz="4" w:space="0" w:color="000000"/>
            </w:tcBorders>
          </w:tcPr>
          <w:p>
            <w:pPr>
              <w:pStyle w:val="TableParagraph"/>
              <w:spacing w:before="40"/>
              <w:ind w:left="338"/>
              <w:rPr>
                <w:sz w:val="18"/>
              </w:rPr>
            </w:pPr>
            <w:r>
              <w:rPr>
                <w:sz w:val="18"/>
              </w:rPr>
              <w:t>长期</w:t>
            </w:r>
          </w:p>
        </w:tc>
        <w:tc>
          <w:tcPr>
            <w:tcW w:w="2157" w:type="dxa"/>
            <w:tcBorders>
              <w:top w:val="single" w:sz="4" w:space="0" w:color="000000"/>
              <w:left w:val="single" w:sz="4" w:space="0" w:color="000000"/>
              <w:bottom w:val="single" w:sz="4" w:space="0" w:color="000000"/>
              <w:right w:val="single" w:sz="4" w:space="0" w:color="000000"/>
            </w:tcBorders>
          </w:tcPr>
          <w:p>
            <w:pPr>
              <w:pStyle w:val="TableParagraph"/>
              <w:spacing w:before="40"/>
              <w:ind w:right="923"/>
              <w:jc w:val="right"/>
              <w:rPr>
                <w:sz w:val="18"/>
              </w:rPr>
            </w:pPr>
            <w:r>
              <w:rPr>
                <w:sz w:val="18"/>
              </w:rPr>
              <w:t>≥5</w:t>
            </w:r>
          </w:p>
        </w:tc>
        <w:tc>
          <w:tcPr>
            <w:tcW w:w="1942" w:type="dxa"/>
            <w:tcBorders>
              <w:top w:val="single" w:sz="4" w:space="0" w:color="000000"/>
              <w:left w:val="single" w:sz="4" w:space="0" w:color="000000"/>
              <w:bottom w:val="single" w:sz="4" w:space="0" w:color="000000"/>
              <w:right w:val="single" w:sz="4" w:space="0" w:color="000000"/>
            </w:tcBorders>
          </w:tcPr>
          <w:p>
            <w:pPr>
              <w:pStyle w:val="TableParagraph"/>
              <w:spacing w:before="40"/>
              <w:ind w:left="240" w:right="211"/>
              <w:jc w:val="center"/>
              <w:rPr>
                <w:sz w:val="18"/>
              </w:rPr>
            </w:pPr>
            <w:r>
              <w:rPr>
                <w:sz w:val="18"/>
              </w:rPr>
              <w:t>≥4.5</w:t>
            </w:r>
          </w:p>
        </w:tc>
        <w:tc>
          <w:tcPr>
            <w:tcW w:w="1230" w:type="dxa"/>
            <w:tcBorders>
              <w:top w:val="single" w:sz="4" w:space="0" w:color="000000"/>
              <w:left w:val="single" w:sz="4" w:space="0" w:color="000000"/>
              <w:bottom w:val="single" w:sz="4" w:space="0" w:color="000000"/>
              <w:right w:val="single" w:sz="4" w:space="0" w:color="000000"/>
            </w:tcBorders>
          </w:tcPr>
          <w:p>
            <w:pPr>
              <w:pStyle w:val="TableParagraph"/>
              <w:spacing w:before="40"/>
              <w:ind w:left="379" w:right="350"/>
              <w:jc w:val="center"/>
              <w:rPr>
                <w:sz w:val="18"/>
              </w:rPr>
            </w:pPr>
            <w:r>
              <w:rPr>
                <w:sz w:val="18"/>
              </w:rPr>
              <w:t>≤2.5</w:t>
            </w:r>
          </w:p>
        </w:tc>
        <w:tc>
          <w:tcPr>
            <w:tcW w:w="1628" w:type="dxa"/>
            <w:tcBorders>
              <w:top w:val="single" w:sz="4" w:space="0" w:color="000000"/>
              <w:left w:val="single" w:sz="4" w:space="0" w:color="000000"/>
              <w:bottom w:val="single" w:sz="4" w:space="0" w:color="000000"/>
            </w:tcBorders>
          </w:tcPr>
          <w:p>
            <w:pPr>
              <w:pStyle w:val="TableParagraph"/>
              <w:spacing w:before="40"/>
              <w:ind w:left="576" w:right="539"/>
              <w:jc w:val="center"/>
              <w:rPr>
                <w:sz w:val="18"/>
              </w:rPr>
            </w:pPr>
            <w:r>
              <w:rPr>
                <w:sz w:val="18"/>
              </w:rPr>
              <w:t>≤15</w:t>
            </w:r>
          </w:p>
        </w:tc>
      </w:tr>
      <w:tr>
        <w:tblPrEx>
          <w:tblW w:w="0" w:type="auto"/>
          <w:jc w:val="left"/>
          <w:tblInd w:w="1208" w:type="dxa"/>
          <w:tblLayout w:type="fixed"/>
          <w:tblCellMar>
            <w:top w:w="0" w:type="dxa"/>
            <w:left w:w="0" w:type="dxa"/>
            <w:bottom w:w="0" w:type="dxa"/>
            <w:right w:w="0" w:type="dxa"/>
          </w:tblCellMar>
          <w:tblLook w:val="01E0"/>
        </w:tblPrEx>
        <w:trPr>
          <w:trHeight w:val="312"/>
          <w:jc w:val="left"/>
        </w:trPr>
        <w:tc>
          <w:tcPr>
            <w:tcW w:w="1348" w:type="dxa"/>
            <w:vMerge/>
            <w:tcBorders>
              <w:top w:val="nil"/>
              <w:bottom w:val="single" w:sz="4" w:space="0" w:color="000000"/>
              <w:right w:val="single" w:sz="4" w:space="0" w:color="000000"/>
            </w:tcBorders>
          </w:tcPr>
          <w:p>
            <w:pPr>
              <w:rPr>
                <w:sz w:val="2"/>
                <w:szCs w:val="2"/>
              </w:rPr>
            </w:pPr>
          </w:p>
        </w:tc>
        <w:tc>
          <w:tcPr>
            <w:tcW w:w="1019" w:type="dxa"/>
            <w:tcBorders>
              <w:top w:val="single" w:sz="4" w:space="0" w:color="000000"/>
              <w:left w:val="single" w:sz="4" w:space="0" w:color="000000"/>
              <w:bottom w:val="single" w:sz="4" w:space="0" w:color="000000"/>
              <w:right w:val="single" w:sz="4" w:space="0" w:color="000000"/>
            </w:tcBorders>
          </w:tcPr>
          <w:p>
            <w:pPr>
              <w:pStyle w:val="TableParagraph"/>
              <w:spacing w:before="42"/>
              <w:ind w:left="338"/>
              <w:rPr>
                <w:sz w:val="18"/>
              </w:rPr>
            </w:pPr>
            <w:r>
              <w:rPr>
                <w:sz w:val="18"/>
              </w:rPr>
              <w:t>中期</w:t>
            </w:r>
          </w:p>
        </w:tc>
        <w:tc>
          <w:tcPr>
            <w:tcW w:w="2157" w:type="dxa"/>
            <w:tcBorders>
              <w:top w:val="single" w:sz="4" w:space="0" w:color="000000"/>
              <w:left w:val="single" w:sz="4" w:space="0" w:color="000000"/>
              <w:bottom w:val="single" w:sz="4" w:space="0" w:color="000000"/>
              <w:right w:val="single" w:sz="4" w:space="0" w:color="000000"/>
            </w:tcBorders>
          </w:tcPr>
          <w:p>
            <w:pPr>
              <w:pStyle w:val="TableParagraph"/>
              <w:spacing w:before="42"/>
              <w:ind w:right="923"/>
              <w:jc w:val="right"/>
              <w:rPr>
                <w:sz w:val="18"/>
              </w:rPr>
            </w:pPr>
            <w:r>
              <w:rPr>
                <w:sz w:val="18"/>
              </w:rPr>
              <w:t>≥1</w:t>
            </w:r>
          </w:p>
        </w:tc>
        <w:tc>
          <w:tcPr>
            <w:tcW w:w="1942" w:type="dxa"/>
            <w:tcBorders>
              <w:top w:val="single" w:sz="4" w:space="0" w:color="000000"/>
              <w:left w:val="single" w:sz="4" w:space="0" w:color="000000"/>
              <w:bottom w:val="single" w:sz="4" w:space="0" w:color="000000"/>
              <w:right w:val="single" w:sz="4" w:space="0" w:color="000000"/>
            </w:tcBorders>
          </w:tcPr>
          <w:p>
            <w:pPr>
              <w:pStyle w:val="TableParagraph"/>
              <w:spacing w:before="42"/>
              <w:ind w:left="237" w:right="211"/>
              <w:jc w:val="center"/>
              <w:rPr>
                <w:sz w:val="18"/>
              </w:rPr>
            </w:pPr>
            <w:r>
              <w:rPr>
                <w:sz w:val="18"/>
              </w:rPr>
              <w:t>≥3</w:t>
            </w:r>
          </w:p>
        </w:tc>
        <w:tc>
          <w:tcPr>
            <w:tcW w:w="1230" w:type="dxa"/>
            <w:tcBorders>
              <w:top w:val="single" w:sz="4" w:space="0" w:color="000000"/>
              <w:left w:val="single" w:sz="4" w:space="0" w:color="000000"/>
              <w:bottom w:val="single" w:sz="4" w:space="0" w:color="000000"/>
              <w:right w:val="single" w:sz="4" w:space="0" w:color="000000"/>
            </w:tcBorders>
          </w:tcPr>
          <w:p>
            <w:pPr>
              <w:pStyle w:val="TableParagraph"/>
              <w:spacing w:before="42"/>
              <w:ind w:left="379" w:right="350"/>
              <w:jc w:val="center"/>
              <w:rPr>
                <w:sz w:val="18"/>
              </w:rPr>
            </w:pPr>
            <w:r>
              <w:rPr>
                <w:sz w:val="18"/>
              </w:rPr>
              <w:t>≤1.5</w:t>
            </w:r>
          </w:p>
        </w:tc>
        <w:tc>
          <w:tcPr>
            <w:tcW w:w="1628" w:type="dxa"/>
            <w:tcBorders>
              <w:top w:val="single" w:sz="4" w:space="0" w:color="000000"/>
              <w:left w:val="single" w:sz="4" w:space="0" w:color="000000"/>
              <w:bottom w:val="single" w:sz="4" w:space="0" w:color="000000"/>
            </w:tcBorders>
          </w:tcPr>
          <w:p>
            <w:pPr>
              <w:pStyle w:val="TableParagraph"/>
              <w:spacing w:before="42"/>
              <w:ind w:left="579" w:right="539"/>
              <w:jc w:val="center"/>
              <w:rPr>
                <w:sz w:val="18"/>
              </w:rPr>
            </w:pPr>
            <w:r>
              <w:rPr>
                <w:sz w:val="18"/>
              </w:rPr>
              <w:t>≤5</w:t>
            </w:r>
          </w:p>
        </w:tc>
      </w:tr>
      <w:tr>
        <w:tblPrEx>
          <w:tblW w:w="0" w:type="auto"/>
          <w:jc w:val="left"/>
          <w:tblInd w:w="1208" w:type="dxa"/>
          <w:tblLayout w:type="fixed"/>
          <w:tblCellMar>
            <w:top w:w="0" w:type="dxa"/>
            <w:left w:w="0" w:type="dxa"/>
            <w:bottom w:w="0" w:type="dxa"/>
            <w:right w:w="0" w:type="dxa"/>
          </w:tblCellMar>
          <w:tblLook w:val="01E0"/>
        </w:tblPrEx>
        <w:trPr>
          <w:trHeight w:val="311"/>
          <w:jc w:val="left"/>
        </w:trPr>
        <w:tc>
          <w:tcPr>
            <w:tcW w:w="1348" w:type="dxa"/>
            <w:vMerge/>
            <w:tcBorders>
              <w:top w:val="nil"/>
              <w:bottom w:val="single" w:sz="4" w:space="0" w:color="000000"/>
              <w:right w:val="single" w:sz="4" w:space="0" w:color="000000"/>
            </w:tcBorders>
          </w:tcPr>
          <w:p>
            <w:pPr>
              <w:rPr>
                <w:sz w:val="2"/>
                <w:szCs w:val="2"/>
              </w:rPr>
            </w:pPr>
          </w:p>
        </w:tc>
        <w:tc>
          <w:tcPr>
            <w:tcW w:w="1019" w:type="dxa"/>
            <w:tcBorders>
              <w:top w:val="single" w:sz="4" w:space="0" w:color="000000"/>
              <w:left w:val="single" w:sz="4" w:space="0" w:color="000000"/>
              <w:bottom w:val="single" w:sz="4" w:space="0" w:color="000000"/>
              <w:right w:val="single" w:sz="4" w:space="0" w:color="000000"/>
            </w:tcBorders>
          </w:tcPr>
          <w:p>
            <w:pPr>
              <w:pStyle w:val="TableParagraph"/>
              <w:spacing w:before="42"/>
              <w:ind w:left="338"/>
              <w:rPr>
                <w:sz w:val="18"/>
              </w:rPr>
            </w:pPr>
            <w:r>
              <w:rPr>
                <w:sz w:val="18"/>
              </w:rPr>
              <w:t>短期</w:t>
            </w:r>
          </w:p>
        </w:tc>
        <w:tc>
          <w:tcPr>
            <w:tcW w:w="2157" w:type="dxa"/>
            <w:tcBorders>
              <w:top w:val="single" w:sz="4" w:space="0" w:color="000000"/>
              <w:left w:val="single" w:sz="4" w:space="0" w:color="000000"/>
              <w:bottom w:val="single" w:sz="4" w:space="0" w:color="000000"/>
              <w:right w:val="single" w:sz="4" w:space="0" w:color="000000"/>
            </w:tcBorders>
          </w:tcPr>
          <w:p>
            <w:pPr>
              <w:pStyle w:val="TableParagraph"/>
              <w:spacing w:before="42"/>
              <w:ind w:right="832"/>
              <w:jc w:val="right"/>
              <w:rPr>
                <w:sz w:val="18"/>
              </w:rPr>
            </w:pPr>
            <w:r>
              <w:rPr>
                <w:sz w:val="18"/>
              </w:rPr>
              <w:t>≥0.2</w:t>
            </w:r>
          </w:p>
        </w:tc>
        <w:tc>
          <w:tcPr>
            <w:tcW w:w="1942" w:type="dxa"/>
            <w:tcBorders>
              <w:top w:val="single" w:sz="4" w:space="0" w:color="000000"/>
              <w:left w:val="single" w:sz="4" w:space="0" w:color="000000"/>
              <w:bottom w:val="single" w:sz="4" w:space="0" w:color="000000"/>
              <w:right w:val="single" w:sz="4" w:space="0" w:color="000000"/>
            </w:tcBorders>
          </w:tcPr>
          <w:p>
            <w:pPr>
              <w:pStyle w:val="TableParagraph"/>
              <w:spacing w:before="42"/>
              <w:ind w:left="237" w:right="211"/>
              <w:jc w:val="center"/>
              <w:rPr>
                <w:sz w:val="18"/>
              </w:rPr>
            </w:pPr>
            <w:r>
              <w:rPr>
                <w:sz w:val="18"/>
              </w:rPr>
              <w:t>≥2</w:t>
            </w:r>
          </w:p>
        </w:tc>
        <w:tc>
          <w:tcPr>
            <w:tcW w:w="1230" w:type="dxa"/>
            <w:tcBorders>
              <w:top w:val="single" w:sz="4" w:space="0" w:color="000000"/>
              <w:left w:val="single" w:sz="4" w:space="0" w:color="000000"/>
              <w:bottom w:val="single" w:sz="4" w:space="0" w:color="000000"/>
              <w:right w:val="single" w:sz="4" w:space="0" w:color="000000"/>
            </w:tcBorders>
          </w:tcPr>
          <w:p>
            <w:pPr>
              <w:pStyle w:val="TableParagraph"/>
              <w:spacing w:before="42"/>
              <w:ind w:left="379" w:right="349"/>
              <w:jc w:val="center"/>
              <w:rPr>
                <w:sz w:val="18"/>
              </w:rPr>
            </w:pPr>
            <w:r>
              <w:rPr>
                <w:sz w:val="18"/>
              </w:rPr>
              <w:t>≤1.0</w:t>
            </w:r>
          </w:p>
        </w:tc>
        <w:tc>
          <w:tcPr>
            <w:tcW w:w="1628" w:type="dxa"/>
            <w:tcBorders>
              <w:top w:val="single" w:sz="4" w:space="0" w:color="000000"/>
              <w:left w:val="single" w:sz="4" w:space="0" w:color="000000"/>
              <w:bottom w:val="single" w:sz="4" w:space="0" w:color="000000"/>
            </w:tcBorders>
          </w:tcPr>
          <w:p>
            <w:pPr>
              <w:pStyle w:val="TableParagraph"/>
              <w:spacing w:before="42"/>
              <w:ind w:left="579" w:right="539"/>
              <w:jc w:val="center"/>
              <w:rPr>
                <w:sz w:val="18"/>
              </w:rPr>
            </w:pPr>
            <w:r>
              <w:rPr>
                <w:sz w:val="18"/>
              </w:rPr>
              <w:t>≤3.5</w:t>
            </w:r>
          </w:p>
        </w:tc>
      </w:tr>
      <w:tr>
        <w:tblPrEx>
          <w:tblW w:w="0" w:type="auto"/>
          <w:jc w:val="left"/>
          <w:tblInd w:w="1208" w:type="dxa"/>
          <w:tblLayout w:type="fixed"/>
          <w:tblCellMar>
            <w:top w:w="0" w:type="dxa"/>
            <w:left w:w="0" w:type="dxa"/>
            <w:bottom w:w="0" w:type="dxa"/>
            <w:right w:w="0" w:type="dxa"/>
          </w:tblCellMar>
          <w:tblLook w:val="01E0"/>
        </w:tblPrEx>
        <w:trPr>
          <w:trHeight w:val="311"/>
          <w:jc w:val="left"/>
        </w:trPr>
        <w:tc>
          <w:tcPr>
            <w:tcW w:w="2367" w:type="dxa"/>
            <w:gridSpan w:val="2"/>
            <w:tcBorders>
              <w:top w:val="single" w:sz="4" w:space="0" w:color="000000"/>
              <w:right w:val="single" w:sz="4" w:space="0" w:color="000000"/>
            </w:tcBorders>
          </w:tcPr>
          <w:p>
            <w:pPr>
              <w:pStyle w:val="TableParagraph"/>
              <w:spacing w:before="41"/>
              <w:ind w:left="462"/>
              <w:rPr>
                <w:sz w:val="18"/>
              </w:rPr>
            </w:pPr>
            <w:r>
              <w:rPr>
                <w:sz w:val="18"/>
              </w:rPr>
              <w:t>紧急应急避护场所</w:t>
            </w:r>
          </w:p>
        </w:tc>
        <w:tc>
          <w:tcPr>
            <w:tcW w:w="2157" w:type="dxa"/>
            <w:tcBorders>
              <w:top w:val="single" w:sz="4" w:space="0" w:color="000000"/>
              <w:left w:val="single" w:sz="4" w:space="0" w:color="000000"/>
              <w:right w:val="single" w:sz="4" w:space="0" w:color="000000"/>
            </w:tcBorders>
          </w:tcPr>
          <w:p>
            <w:pPr>
              <w:pStyle w:val="TableParagraph"/>
              <w:spacing w:before="41"/>
              <w:ind w:right="832"/>
              <w:jc w:val="right"/>
              <w:rPr>
                <w:sz w:val="18"/>
              </w:rPr>
            </w:pPr>
            <w:r>
              <w:rPr>
                <w:sz w:val="18"/>
              </w:rPr>
              <w:t>≥0.2</w:t>
            </w:r>
          </w:p>
        </w:tc>
        <w:tc>
          <w:tcPr>
            <w:tcW w:w="1942" w:type="dxa"/>
            <w:tcBorders>
              <w:top w:val="single" w:sz="4" w:space="0" w:color="000000"/>
              <w:left w:val="single" w:sz="4" w:space="0" w:color="000000"/>
              <w:right w:val="single" w:sz="4" w:space="0" w:color="000000"/>
            </w:tcBorders>
          </w:tcPr>
          <w:p>
            <w:pPr>
              <w:pStyle w:val="TableParagraph"/>
              <w:spacing w:before="41"/>
              <w:ind w:left="237" w:right="211"/>
              <w:jc w:val="center"/>
              <w:rPr>
                <w:sz w:val="18"/>
              </w:rPr>
            </w:pPr>
            <w:r>
              <w:rPr>
                <w:sz w:val="18"/>
              </w:rPr>
              <w:t>≥1</w:t>
            </w:r>
          </w:p>
        </w:tc>
        <w:tc>
          <w:tcPr>
            <w:tcW w:w="1230" w:type="dxa"/>
            <w:tcBorders>
              <w:top w:val="single" w:sz="4" w:space="0" w:color="000000"/>
              <w:left w:val="single" w:sz="4" w:space="0" w:color="000000"/>
              <w:right w:val="single" w:sz="4" w:space="0" w:color="000000"/>
            </w:tcBorders>
          </w:tcPr>
          <w:p>
            <w:pPr>
              <w:pStyle w:val="TableParagraph"/>
              <w:spacing w:before="41"/>
              <w:ind w:left="379" w:right="350"/>
              <w:jc w:val="center"/>
              <w:rPr>
                <w:sz w:val="18"/>
              </w:rPr>
            </w:pPr>
            <w:r>
              <w:rPr>
                <w:sz w:val="18"/>
              </w:rPr>
              <w:t>≤0.5</w:t>
            </w:r>
          </w:p>
        </w:tc>
        <w:tc>
          <w:tcPr>
            <w:tcW w:w="1628" w:type="dxa"/>
            <w:tcBorders>
              <w:top w:val="single" w:sz="4" w:space="0" w:color="000000"/>
              <w:left w:val="single" w:sz="4" w:space="0" w:color="000000"/>
            </w:tcBorders>
          </w:tcPr>
          <w:p>
            <w:pPr>
              <w:pStyle w:val="TableParagraph"/>
              <w:spacing w:before="41"/>
              <w:ind w:left="578" w:right="539"/>
              <w:jc w:val="center"/>
              <w:rPr>
                <w:sz w:val="18"/>
              </w:rPr>
            </w:pPr>
            <w:r>
              <w:rPr>
                <w:sz w:val="18"/>
              </w:rPr>
              <w:t>——</w:t>
            </w:r>
          </w:p>
        </w:tc>
      </w:tr>
    </w:tbl>
    <w:p>
      <w:pPr>
        <w:spacing w:after="0"/>
        <w:jc w:val="center"/>
        <w:rPr>
          <w:sz w:val="18"/>
        </w:rPr>
        <w:sectPr>
          <w:headerReference w:type="even" r:id="rId15"/>
          <w:headerReference w:type="default" r:id="rId16"/>
          <w:pgSz w:w="11910" w:h="16840"/>
          <w:pgMar w:top="1660" w:right="260" w:bottom="280" w:left="240" w:header="1442" w:footer="0"/>
          <w:pgNumType w:start="7"/>
          <w:cols w:space="708"/>
        </w:sectPr>
      </w:pPr>
    </w:p>
    <w:p>
      <w:pPr>
        <w:pStyle w:val="BodyText"/>
        <w:spacing w:before="9"/>
        <w:rPr>
          <w:sz w:val="14"/>
        </w:rPr>
      </w:pPr>
    </w:p>
    <w:p>
      <w:pPr>
        <w:pStyle w:val="ListParagraph"/>
        <w:numPr>
          <w:ilvl w:val="2"/>
          <w:numId w:val="8"/>
        </w:numPr>
        <w:tabs>
          <w:tab w:val="left" w:pos="1913"/>
        </w:tabs>
        <w:spacing w:before="70" w:after="0" w:line="278" w:lineRule="auto"/>
        <w:ind w:left="1178" w:right="872" w:firstLine="0"/>
        <w:jc w:val="both"/>
        <w:rPr>
          <w:sz w:val="21"/>
        </w:rPr>
      </w:pPr>
      <w:bookmarkStart w:id="27" w:name="4.5.3　应急避护场所的设定防御标准所对应的风灾影响不应低于100年一遇的基本"/>
      <w:bookmarkEnd w:id="27"/>
      <w:r>
        <w:rPr>
          <w:spacing w:val="-3"/>
          <w:sz w:val="21"/>
        </w:rPr>
        <w:t xml:space="preserve">应急避护场所的设定防御标准所对应的风灾影响不应低于 </w:t>
      </w:r>
      <w:r>
        <w:rPr>
          <w:sz w:val="21"/>
        </w:rPr>
        <w:t>100</w:t>
      </w:r>
      <w:r>
        <w:rPr>
          <w:spacing w:val="-8"/>
          <w:sz w:val="21"/>
        </w:rPr>
        <w:t xml:space="preserve"> 年一遇的基本风压对应的风灾影</w:t>
      </w:r>
      <w:r>
        <w:rPr>
          <w:spacing w:val="-10"/>
          <w:w w:val="95"/>
          <w:sz w:val="21"/>
        </w:rPr>
        <w:t xml:space="preserve">响，防风避护场所设计应满足临灾时期和灾时避护使用的安全防护要求，龙卷风安全防护时间不应低于 </w:t>
      </w:r>
      <w:r>
        <w:rPr>
          <w:spacing w:val="-10"/>
          <w:sz w:val="21"/>
        </w:rPr>
        <w:t>3h</w:t>
      </w:r>
      <w:r>
        <w:rPr>
          <w:spacing w:val="-14"/>
          <w:sz w:val="21"/>
        </w:rPr>
        <w:t xml:space="preserve">，台风安全防护时间不应低于 </w:t>
      </w:r>
      <w:r>
        <w:rPr>
          <w:sz w:val="21"/>
        </w:rPr>
        <w:t>24h。</w:t>
      </w:r>
    </w:p>
    <w:p>
      <w:pPr>
        <w:pStyle w:val="ListParagraph"/>
        <w:numPr>
          <w:ilvl w:val="2"/>
          <w:numId w:val="8"/>
        </w:numPr>
        <w:tabs>
          <w:tab w:val="left" w:pos="1913"/>
        </w:tabs>
        <w:spacing w:before="0" w:after="0" w:line="278" w:lineRule="auto"/>
        <w:ind w:left="1178" w:right="872" w:firstLine="0"/>
        <w:jc w:val="both"/>
        <w:rPr>
          <w:sz w:val="21"/>
        </w:rPr>
      </w:pPr>
      <w:bookmarkStart w:id="28" w:name="4.5.4　位于防洪保护区的应急避护场所的设定防御标准应高于当地防洪标准所确定的"/>
      <w:bookmarkEnd w:id="28"/>
      <w:r>
        <w:rPr>
          <w:sz w:val="21"/>
        </w:rPr>
        <w:t>位于防洪保护区的应急避护场所的设定防御标准应高于当地防洪标准所确定的淹没水位，且避</w:t>
      </w:r>
      <w:r>
        <w:rPr>
          <w:spacing w:val="-2"/>
          <w:sz w:val="21"/>
        </w:rPr>
        <w:t xml:space="preserve">洪场地的应急功能区的地面标高应按该地区历史最大洪水水位确定，且安全超高不应低于 </w:t>
      </w:r>
      <w:r>
        <w:rPr>
          <w:sz w:val="21"/>
        </w:rPr>
        <w:t>0.5m。</w:t>
      </w:r>
    </w:p>
    <w:p>
      <w:pPr>
        <w:pStyle w:val="ListParagraph"/>
        <w:numPr>
          <w:ilvl w:val="2"/>
          <w:numId w:val="8"/>
        </w:numPr>
        <w:tabs>
          <w:tab w:val="left" w:pos="1913"/>
        </w:tabs>
        <w:spacing w:before="0" w:after="0" w:line="269" w:lineRule="exact"/>
        <w:ind w:left="1912" w:right="0" w:hanging="735"/>
        <w:jc w:val="both"/>
        <w:rPr>
          <w:sz w:val="21"/>
        </w:rPr>
      </w:pPr>
      <w:bookmarkStart w:id="29" w:name="4.5.5　应急避护场所排水工程设计应符合下列规定："/>
      <w:bookmarkEnd w:id="29"/>
      <w:r>
        <w:rPr>
          <w:sz w:val="21"/>
        </w:rPr>
        <w:t>应急避护场所排水工程设计应符合下列规定：</w:t>
      </w:r>
    </w:p>
    <w:p>
      <w:pPr>
        <w:pStyle w:val="ListParagraph"/>
        <w:numPr>
          <w:ilvl w:val="3"/>
          <w:numId w:val="8"/>
        </w:numPr>
        <w:tabs>
          <w:tab w:val="left" w:pos="1914"/>
        </w:tabs>
        <w:spacing w:before="42" w:after="0" w:line="240" w:lineRule="auto"/>
        <w:ind w:left="1914" w:right="0" w:hanging="316"/>
        <w:jc w:val="both"/>
        <w:rPr>
          <w:sz w:val="21"/>
        </w:rPr>
      </w:pPr>
      <w:bookmarkStart w:id="30" w:name="a）中心、固定应急避护场所周边区域的排水设计重现期不应低于5年，紧急应急避护场所"/>
      <w:bookmarkEnd w:id="30"/>
      <w:r>
        <w:rPr>
          <w:spacing w:val="-2"/>
          <w:sz w:val="21"/>
        </w:rPr>
        <w:t xml:space="preserve">中心、固定应急避护场所周边区域的排水设计重现期不应低于 </w:t>
      </w:r>
      <w:r>
        <w:rPr>
          <w:sz w:val="21"/>
        </w:rPr>
        <w:t>5</w:t>
      </w:r>
      <w:r>
        <w:rPr>
          <w:spacing w:val="-8"/>
          <w:sz w:val="21"/>
        </w:rPr>
        <w:t xml:space="preserve"> 年，紧急应急避护场所周边区</w:t>
      </w:r>
    </w:p>
    <w:p>
      <w:pPr>
        <w:pStyle w:val="BodyText"/>
        <w:spacing w:before="43"/>
        <w:ind w:left="1178"/>
        <w:jc w:val="both"/>
      </w:pPr>
      <w:r>
        <w:t>域的排水设计重现期不应低于 3 年。</w:t>
      </w:r>
    </w:p>
    <w:p>
      <w:pPr>
        <w:pStyle w:val="ListParagraph"/>
        <w:numPr>
          <w:ilvl w:val="3"/>
          <w:numId w:val="8"/>
        </w:numPr>
        <w:tabs>
          <w:tab w:val="left" w:pos="1914"/>
        </w:tabs>
        <w:spacing w:before="43" w:after="0" w:line="240" w:lineRule="auto"/>
        <w:ind w:left="1914" w:right="0" w:hanging="316"/>
        <w:jc w:val="both"/>
        <w:rPr>
          <w:sz w:val="21"/>
        </w:rPr>
      </w:pPr>
      <w:bookmarkStart w:id="31" w:name="b）室内场所的建筑屋面排水设计重现期不应低于5年，室外场地不应低于3年。"/>
      <w:bookmarkEnd w:id="31"/>
      <w:r>
        <w:rPr>
          <w:spacing w:val="-3"/>
          <w:sz w:val="21"/>
        </w:rPr>
        <w:t xml:space="preserve">室内场所的建筑屋面排水设计重现期不应低于 </w:t>
      </w:r>
      <w:r>
        <w:rPr>
          <w:sz w:val="21"/>
        </w:rPr>
        <w:t>5</w:t>
      </w:r>
      <w:r>
        <w:rPr>
          <w:spacing w:val="-12"/>
          <w:sz w:val="21"/>
        </w:rPr>
        <w:t xml:space="preserve"> 年，室外场地不应低于 </w:t>
      </w:r>
      <w:r>
        <w:rPr>
          <w:sz w:val="21"/>
        </w:rPr>
        <w:t>3</w:t>
      </w:r>
      <w:r>
        <w:rPr>
          <w:spacing w:val="-18"/>
          <w:sz w:val="21"/>
        </w:rPr>
        <w:t xml:space="preserve"> 年。</w:t>
      </w:r>
    </w:p>
    <w:p>
      <w:pPr>
        <w:pStyle w:val="ListParagraph"/>
        <w:numPr>
          <w:ilvl w:val="3"/>
          <w:numId w:val="8"/>
        </w:numPr>
        <w:tabs>
          <w:tab w:val="left" w:pos="1914"/>
        </w:tabs>
        <w:spacing w:before="43" w:after="0" w:line="278" w:lineRule="auto"/>
        <w:ind w:left="1178" w:right="872" w:firstLine="420"/>
        <w:jc w:val="both"/>
        <w:rPr>
          <w:sz w:val="21"/>
        </w:rPr>
      </w:pPr>
      <w:bookmarkStart w:id="32" w:name="c）应急避护场所排水设计应保证在100年一遇的台风暴雨条件下，场所内用于避护的建"/>
      <w:bookmarkEnd w:id="32"/>
      <w:r>
        <w:rPr>
          <w:spacing w:val="-4"/>
          <w:sz w:val="21"/>
        </w:rPr>
        <w:t xml:space="preserve">应急避护场所排水设计应保证在 </w:t>
      </w:r>
      <w:r>
        <w:rPr>
          <w:sz w:val="21"/>
        </w:rPr>
        <w:t>100</w:t>
      </w:r>
      <w:r>
        <w:rPr>
          <w:spacing w:val="-8"/>
          <w:sz w:val="21"/>
        </w:rPr>
        <w:t xml:space="preserve"> 年一遇的台风暴雨条件下，场所内用于避护的建筑首层地面不被淹没。</w:t>
      </w:r>
    </w:p>
    <w:p>
      <w:pPr>
        <w:pStyle w:val="ListParagraph"/>
        <w:numPr>
          <w:ilvl w:val="2"/>
          <w:numId w:val="8"/>
        </w:numPr>
        <w:tabs>
          <w:tab w:val="left" w:pos="1913"/>
        </w:tabs>
        <w:spacing w:before="0" w:after="0" w:line="269" w:lineRule="exact"/>
        <w:ind w:left="1912" w:right="0" w:hanging="735"/>
        <w:jc w:val="both"/>
        <w:rPr>
          <w:sz w:val="21"/>
        </w:rPr>
      </w:pPr>
      <w:bookmarkStart w:id="33" w:name="4.5.6　应急避护场所的排水要求应符合现行国家标准GB 50014和GB 50"/>
      <w:bookmarkEnd w:id="33"/>
      <w:r>
        <w:rPr>
          <w:spacing w:val="-3"/>
          <w:sz w:val="21"/>
        </w:rPr>
        <w:t xml:space="preserve">应急避护场所的排水要求应符合现行国家标准 </w:t>
      </w:r>
      <w:r>
        <w:rPr>
          <w:sz w:val="21"/>
        </w:rPr>
        <w:t>GB</w:t>
      </w:r>
      <w:r>
        <w:rPr>
          <w:spacing w:val="-2"/>
          <w:sz w:val="21"/>
        </w:rPr>
        <w:t xml:space="preserve"> </w:t>
      </w:r>
      <w:r>
        <w:rPr>
          <w:sz w:val="21"/>
        </w:rPr>
        <w:t>50014</w:t>
      </w:r>
      <w:r>
        <w:rPr>
          <w:spacing w:val="-35"/>
          <w:sz w:val="21"/>
        </w:rPr>
        <w:t xml:space="preserve"> 和 </w:t>
      </w:r>
      <w:r>
        <w:rPr>
          <w:sz w:val="21"/>
        </w:rPr>
        <w:t>GB</w:t>
      </w:r>
      <w:r>
        <w:rPr>
          <w:spacing w:val="-2"/>
          <w:sz w:val="21"/>
        </w:rPr>
        <w:t xml:space="preserve"> </w:t>
      </w:r>
      <w:r>
        <w:rPr>
          <w:sz w:val="21"/>
        </w:rPr>
        <w:t>50015</w:t>
      </w:r>
      <w:r>
        <w:rPr>
          <w:spacing w:val="-12"/>
          <w:sz w:val="21"/>
        </w:rPr>
        <w:t xml:space="preserve"> 的规定。</w:t>
      </w:r>
    </w:p>
    <w:p>
      <w:pPr>
        <w:pStyle w:val="BodyText"/>
        <w:spacing w:before="7"/>
        <w:rPr>
          <w:sz w:val="15"/>
        </w:rPr>
      </w:pPr>
    </w:p>
    <w:p>
      <w:pPr>
        <w:pStyle w:val="ListParagraph"/>
        <w:numPr>
          <w:ilvl w:val="1"/>
          <w:numId w:val="7"/>
        </w:numPr>
        <w:tabs>
          <w:tab w:val="left" w:pos="1704"/>
        </w:tabs>
        <w:spacing w:before="0" w:after="0" w:line="240" w:lineRule="auto"/>
        <w:ind w:left="1704" w:right="0" w:hanging="526"/>
        <w:jc w:val="left"/>
        <w:rPr>
          <w:rFonts w:ascii="黑体" w:eastAsia="黑体" w:hint="eastAsia"/>
          <w:sz w:val="21"/>
        </w:rPr>
      </w:pPr>
      <w:bookmarkStart w:id="34" w:name="4.6　选址与竖向要求"/>
      <w:bookmarkEnd w:id="34"/>
      <w:r>
        <w:rPr>
          <w:rFonts w:ascii="黑体" w:eastAsia="黑体" w:hint="eastAsia"/>
          <w:sz w:val="21"/>
        </w:rPr>
        <w:t>选址与竖向要求</w:t>
      </w:r>
    </w:p>
    <w:p>
      <w:pPr>
        <w:pStyle w:val="BodyText"/>
        <w:spacing w:before="6"/>
        <w:rPr>
          <w:rFonts w:ascii="黑体"/>
          <w:sz w:val="15"/>
        </w:rPr>
      </w:pPr>
    </w:p>
    <w:p>
      <w:pPr>
        <w:pStyle w:val="ListParagraph"/>
        <w:numPr>
          <w:ilvl w:val="2"/>
          <w:numId w:val="7"/>
        </w:numPr>
        <w:tabs>
          <w:tab w:val="left" w:pos="1913"/>
        </w:tabs>
        <w:spacing w:before="1" w:after="0" w:line="278" w:lineRule="auto"/>
        <w:ind w:left="1178" w:right="872" w:firstLine="0"/>
        <w:jc w:val="left"/>
        <w:rPr>
          <w:sz w:val="21"/>
        </w:rPr>
      </w:pPr>
      <w:bookmarkStart w:id="35" w:name="4.6.1　应急避护场所的室外场地宜利用公园绿地、防护绿地、附属绿地、生态绿地、"/>
      <w:bookmarkEnd w:id="35"/>
      <w:r>
        <w:rPr>
          <w:sz w:val="21"/>
        </w:rPr>
        <w:t>应急避护场所的室外场地宜利用公园绿地、防护绿地、附属绿地、生态绿地、学校操场、大型</w:t>
      </w:r>
      <w:r>
        <w:rPr>
          <w:sz w:val="21"/>
        </w:rPr>
        <w:t>露天停车场、城市广场、人防疏散基地等进行设计。</w:t>
      </w:r>
    </w:p>
    <w:p>
      <w:pPr>
        <w:pStyle w:val="ListParagraph"/>
        <w:numPr>
          <w:ilvl w:val="2"/>
          <w:numId w:val="7"/>
        </w:numPr>
        <w:tabs>
          <w:tab w:val="left" w:pos="1913"/>
        </w:tabs>
        <w:spacing w:before="0" w:after="0" w:line="278" w:lineRule="auto"/>
        <w:ind w:left="1178" w:right="872" w:firstLine="0"/>
        <w:jc w:val="left"/>
        <w:rPr>
          <w:sz w:val="21"/>
        </w:rPr>
      </w:pPr>
      <w:bookmarkStart w:id="36" w:name="4.6.2　用于应急避护场所的城市绿地，其内部的绿化植物应在满足其应急避护功能的"/>
      <w:bookmarkEnd w:id="36"/>
      <w:r>
        <w:rPr>
          <w:sz w:val="21"/>
        </w:rPr>
        <w:t>用于应急避护场所的城市绿地，其内部的绿化植物应在满足其应急避护功能的基础上，避免次</w:t>
      </w:r>
      <w:r>
        <w:rPr>
          <w:sz w:val="21"/>
        </w:rPr>
        <w:t>生灾害发生。</w:t>
      </w:r>
    </w:p>
    <w:p>
      <w:pPr>
        <w:pStyle w:val="ListParagraph"/>
        <w:numPr>
          <w:ilvl w:val="2"/>
          <w:numId w:val="7"/>
        </w:numPr>
        <w:tabs>
          <w:tab w:val="left" w:pos="1913"/>
        </w:tabs>
        <w:spacing w:before="0" w:after="0" w:line="278" w:lineRule="auto"/>
        <w:ind w:left="1178" w:right="872" w:firstLine="0"/>
        <w:jc w:val="left"/>
        <w:rPr>
          <w:sz w:val="21"/>
        </w:rPr>
      </w:pPr>
      <w:bookmarkStart w:id="37" w:name="4.6.3　应急避护场所的室内场所宜利用学校教学楼、学校食堂、体育馆、公共服务设"/>
      <w:bookmarkEnd w:id="37"/>
      <w:r>
        <w:rPr>
          <w:sz w:val="21"/>
        </w:rPr>
        <w:t>应急避护场所的室内场所宜利用学校教学楼、学校食堂、体育馆、公共服务设施的人防工程、</w:t>
      </w:r>
      <w:r>
        <w:rPr>
          <w:sz w:val="21"/>
        </w:rPr>
        <w:t>地铁车站等公共建筑。</w:t>
      </w:r>
    </w:p>
    <w:p>
      <w:pPr>
        <w:pStyle w:val="ListParagraph"/>
        <w:numPr>
          <w:ilvl w:val="2"/>
          <w:numId w:val="7"/>
        </w:numPr>
        <w:tabs>
          <w:tab w:val="left" w:pos="1913"/>
        </w:tabs>
        <w:spacing w:before="0" w:after="0" w:line="278" w:lineRule="auto"/>
        <w:ind w:left="1178" w:right="872" w:firstLine="0"/>
        <w:jc w:val="left"/>
        <w:rPr>
          <w:sz w:val="21"/>
        </w:rPr>
      </w:pPr>
      <w:r>
        <w:drawing>
          <wp:anchor distT="0" distB="0" distL="0" distR="0" simplePos="0" relativeHeight="251670528" behindDoc="0" locked="0" layoutInCell="1" allowOverlap="1">
            <wp:simplePos x="0" y="0"/>
            <wp:positionH relativeFrom="page">
              <wp:posOffset>215900</wp:posOffset>
            </wp:positionH>
            <wp:positionV relativeFrom="paragraph">
              <wp:posOffset>54736</wp:posOffset>
            </wp:positionV>
            <wp:extent cx="7112000" cy="4876800"/>
            <wp:effectExtent l="0" t="0" r="0" b="0"/>
            <wp:wrapNone/>
            <wp:docPr id="1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bookmarkStart w:id="38" w:name="4.6.4　应急功能区应选址在场地地质结构稳定、地形较平坦、地势较高、空气流通、"/>
      <w:bookmarkEnd w:id="38"/>
      <w:r>
        <w:rPr>
          <w:sz w:val="21"/>
        </w:rPr>
        <w:t>应急功能区应选址在场地地质结构稳定、地形较平坦、地势较高、空气流通、周边道路畅通、</w:t>
      </w:r>
      <w:r>
        <w:rPr>
          <w:sz w:val="21"/>
        </w:rPr>
        <w:t>交通便利、具备一定防灾基础设施的适宜地段。且应符合以下的规定：</w:t>
      </w:r>
    </w:p>
    <w:p>
      <w:pPr>
        <w:pStyle w:val="ListParagraph"/>
        <w:numPr>
          <w:ilvl w:val="3"/>
          <w:numId w:val="7"/>
        </w:numPr>
        <w:tabs>
          <w:tab w:val="left" w:pos="1914"/>
        </w:tabs>
        <w:spacing w:before="0" w:after="0" w:line="269" w:lineRule="exact"/>
        <w:ind w:left="1914" w:right="0" w:hanging="316"/>
        <w:jc w:val="left"/>
        <w:rPr>
          <w:sz w:val="21"/>
        </w:rPr>
      </w:pPr>
      <w:bookmarkStart w:id="39" w:name="a）应避开可能发生滑坡、崩塌、地陷、地裂、泥石流等危险用地。"/>
      <w:bookmarkEnd w:id="39"/>
      <w:r>
        <w:rPr>
          <w:sz w:val="21"/>
        </w:rPr>
        <w:t>应避开可能发生滑坡、崩塌、地陷、地裂、泥石流等危险用地。</w:t>
      </w:r>
    </w:p>
    <w:p>
      <w:pPr>
        <w:pStyle w:val="ListParagraph"/>
        <w:numPr>
          <w:ilvl w:val="3"/>
          <w:numId w:val="7"/>
        </w:numPr>
        <w:tabs>
          <w:tab w:val="left" w:pos="1914"/>
        </w:tabs>
        <w:spacing w:before="42" w:after="0" w:line="278" w:lineRule="auto"/>
        <w:ind w:left="1598" w:right="2353" w:firstLine="0"/>
        <w:jc w:val="left"/>
        <w:rPr>
          <w:sz w:val="21"/>
        </w:rPr>
      </w:pPr>
      <w:bookmarkStart w:id="40" w:name="b）不应布置在周围建（构）筑物倒塌影响范围之内，且应避开高压线走廊区域。"/>
      <w:bookmarkEnd w:id="40"/>
      <w:r>
        <w:rPr>
          <w:w w:val="95"/>
          <w:sz w:val="21"/>
        </w:rPr>
        <w:t>不应布置在周围建</w:t>
      </w:r>
      <w:r>
        <w:rPr>
          <w:w w:val="95"/>
          <w:sz w:val="21"/>
        </w:rPr>
        <w:t xml:space="preserve">（构）筑物倒塌影响范围之内，且应避开高压线走廊区域。 </w:t>
      </w:r>
      <w:r>
        <w:rPr>
          <w:sz w:val="21"/>
        </w:rPr>
        <w:t>c）</w:t>
      </w:r>
      <w:bookmarkStart w:id="41" w:name="c）不应设置在稳定年限较短的地下采空区。"/>
      <w:bookmarkEnd w:id="41"/>
      <w:r>
        <w:rPr>
          <w:sz w:val="21"/>
        </w:rPr>
        <w:t>不应设置在稳定年限较短的地下采空区。</w:t>
      </w:r>
    </w:p>
    <w:p>
      <w:pPr>
        <w:pStyle w:val="ListParagraph"/>
        <w:numPr>
          <w:ilvl w:val="0"/>
          <w:numId w:val="6"/>
        </w:numPr>
        <w:tabs>
          <w:tab w:val="left" w:pos="1914"/>
        </w:tabs>
        <w:spacing w:before="0" w:after="0" w:line="278" w:lineRule="auto"/>
        <w:ind w:left="1178" w:right="872" w:firstLine="420"/>
        <w:jc w:val="left"/>
        <w:rPr>
          <w:sz w:val="21"/>
        </w:rPr>
      </w:pPr>
      <w:bookmarkStart w:id="42" w:name="d）应避开易燃易爆危险物品存放点、严重污染源以及其他易发生次生灾害的区域；距次生"/>
      <w:bookmarkEnd w:id="42"/>
      <w:r>
        <w:rPr>
          <w:sz w:val="21"/>
        </w:rPr>
        <w:t>应避开易燃易爆危险物品存放点、严重污染源以及其他易发生次生灾害的区域；距次生灾害危</w:t>
      </w:r>
      <w:r>
        <w:rPr>
          <w:sz w:val="21"/>
        </w:rPr>
        <w:t>险源的距离应满足国家现行重大危险源的有关标准要求。</w:t>
      </w:r>
    </w:p>
    <w:p>
      <w:pPr>
        <w:pStyle w:val="ListParagraph"/>
        <w:numPr>
          <w:ilvl w:val="0"/>
          <w:numId w:val="6"/>
        </w:numPr>
        <w:tabs>
          <w:tab w:val="left" w:pos="1914"/>
        </w:tabs>
        <w:spacing w:before="0" w:after="0" w:line="278" w:lineRule="auto"/>
        <w:ind w:left="1178" w:right="768" w:firstLine="420"/>
        <w:jc w:val="left"/>
        <w:rPr>
          <w:sz w:val="21"/>
        </w:rPr>
      </w:pPr>
      <w:bookmarkStart w:id="43" w:name="e）与周围易燃建筑等一般次生火灾源之间应设置不小于30m的防火安全带；距易燃易爆"/>
      <w:bookmarkEnd w:id="43"/>
      <w:r>
        <w:rPr>
          <w:spacing w:val="-3"/>
          <w:sz w:val="21"/>
        </w:rPr>
        <w:t xml:space="preserve">与周围易燃建筑等一般次生火灾源之间应设置不小于 </w:t>
      </w:r>
      <w:r>
        <w:rPr>
          <w:sz w:val="21"/>
        </w:rPr>
        <w:t>30m</w:t>
      </w:r>
      <w:r>
        <w:rPr>
          <w:spacing w:val="-14"/>
          <w:sz w:val="21"/>
        </w:rPr>
        <w:t xml:space="preserve"> 的防火安全带；距易燃易爆工厂仓库、</w:t>
      </w:r>
      <w:r>
        <w:rPr>
          <w:spacing w:val="-16"/>
          <w:sz w:val="21"/>
        </w:rPr>
        <w:t xml:space="preserve">供气厂、储气站等重大次生火灾或爆炸危险源距离不应小于 </w:t>
      </w:r>
      <w:r>
        <w:rPr>
          <w:sz w:val="21"/>
        </w:rPr>
        <w:t>1000m。</w:t>
      </w:r>
    </w:p>
    <w:p>
      <w:pPr>
        <w:pStyle w:val="ListParagraph"/>
        <w:numPr>
          <w:ilvl w:val="2"/>
          <w:numId w:val="7"/>
        </w:numPr>
        <w:tabs>
          <w:tab w:val="left" w:pos="1913"/>
        </w:tabs>
        <w:spacing w:before="0" w:after="0" w:line="278" w:lineRule="auto"/>
        <w:ind w:left="1178" w:right="870" w:firstLine="0"/>
        <w:jc w:val="left"/>
        <w:rPr>
          <w:sz w:val="21"/>
        </w:rPr>
      </w:pPr>
      <w:bookmarkStart w:id="44" w:name="4.6.5　应急功能区的竖向设计应符合现行行业标准CJJ 83的规定，满足地形排"/>
      <w:bookmarkEnd w:id="44"/>
      <w:r>
        <w:rPr>
          <w:spacing w:val="-3"/>
          <w:sz w:val="21"/>
        </w:rPr>
        <w:t xml:space="preserve">应急功能区的竖向设计应符合现行行业标准 </w:t>
      </w:r>
      <w:r>
        <w:rPr>
          <w:sz w:val="21"/>
        </w:rPr>
        <w:t>CJJ</w:t>
      </w:r>
      <w:r>
        <w:rPr>
          <w:spacing w:val="-59"/>
          <w:sz w:val="21"/>
        </w:rPr>
        <w:t xml:space="preserve"> </w:t>
      </w:r>
      <w:r>
        <w:rPr>
          <w:sz w:val="21"/>
        </w:rPr>
        <w:t>83</w:t>
      </w:r>
      <w:r>
        <w:rPr>
          <w:spacing w:val="-11"/>
          <w:sz w:val="21"/>
        </w:rPr>
        <w:t xml:space="preserve"> 的规定，满足地形排水、车辆行驶、人员通行、防洪排涝等要求。</w:t>
      </w:r>
    </w:p>
    <w:p>
      <w:pPr>
        <w:pStyle w:val="ListParagraph"/>
        <w:numPr>
          <w:ilvl w:val="2"/>
          <w:numId w:val="7"/>
        </w:numPr>
        <w:tabs>
          <w:tab w:val="left" w:pos="1913"/>
        </w:tabs>
        <w:spacing w:before="0" w:after="0" w:line="278" w:lineRule="auto"/>
        <w:ind w:left="1178" w:right="872" w:firstLine="0"/>
        <w:jc w:val="left"/>
        <w:rPr>
          <w:sz w:val="21"/>
        </w:rPr>
      </w:pPr>
      <w:bookmarkStart w:id="45" w:name="4.6.6　应急避护场所内的道路和建筑物应符合现行国家标准GB 50763-20"/>
      <w:bookmarkEnd w:id="45"/>
      <w:r>
        <w:rPr>
          <w:spacing w:val="-3"/>
          <w:sz w:val="21"/>
        </w:rPr>
        <w:t xml:space="preserve">应急避护场所内的道路和建筑物应符合现行国家标准 </w:t>
      </w:r>
      <w:r>
        <w:rPr>
          <w:sz w:val="21"/>
        </w:rPr>
        <w:t>GB</w:t>
      </w:r>
      <w:r>
        <w:rPr>
          <w:spacing w:val="-5"/>
          <w:sz w:val="21"/>
        </w:rPr>
        <w:t xml:space="preserve"> </w:t>
      </w:r>
      <w:r>
        <w:rPr>
          <w:sz w:val="21"/>
        </w:rPr>
        <w:t>50763-2012</w:t>
      </w:r>
      <w:r>
        <w:rPr>
          <w:spacing w:val="-8"/>
          <w:sz w:val="21"/>
        </w:rPr>
        <w:t xml:space="preserve"> 的设计规定。残障人数应</w:t>
      </w:r>
      <w:r>
        <w:rPr>
          <w:spacing w:val="-13"/>
          <w:sz w:val="21"/>
        </w:rPr>
        <w:t xml:space="preserve">按照场所内避护人数的 </w:t>
      </w:r>
      <w:r>
        <w:rPr>
          <w:sz w:val="21"/>
        </w:rPr>
        <w:t>0.5%计算。</w:t>
      </w:r>
    </w:p>
    <w:p>
      <w:pPr>
        <w:pStyle w:val="ListParagraph"/>
        <w:numPr>
          <w:ilvl w:val="2"/>
          <w:numId w:val="7"/>
        </w:numPr>
        <w:tabs>
          <w:tab w:val="left" w:pos="1913"/>
        </w:tabs>
        <w:spacing w:before="0" w:after="0" w:line="278" w:lineRule="auto"/>
        <w:ind w:left="1178" w:right="768" w:firstLine="0"/>
        <w:jc w:val="left"/>
        <w:rPr>
          <w:sz w:val="21"/>
        </w:rPr>
      </w:pPr>
      <w:bookmarkStart w:id="46" w:name="4.6.7　应急功能区应根据自然地形坡度采用平坡、台阶或混合式设计，工程处理后的"/>
      <w:bookmarkEnd w:id="46"/>
      <w:r>
        <w:rPr>
          <w:spacing w:val="-2"/>
          <w:sz w:val="21"/>
        </w:rPr>
        <w:t xml:space="preserve">应急功能区应根据自然地形坡度采用平坡、台阶或混合式设计，工程处理后的坡度应小于 </w:t>
      </w:r>
      <w:r>
        <w:rPr>
          <w:sz w:val="21"/>
        </w:rPr>
        <w:t>8%。</w:t>
      </w:r>
      <w:r>
        <w:rPr>
          <w:spacing w:val="-11"/>
          <w:w w:val="95"/>
          <w:sz w:val="21"/>
        </w:rPr>
        <w:t>工程处理的土方宜就地平衡，并根据设计计算土方工程量，包括开挖土方量、外运土方量或运入土方量。</w:t>
      </w:r>
    </w:p>
    <w:p>
      <w:pPr>
        <w:pStyle w:val="ListParagraph"/>
        <w:numPr>
          <w:ilvl w:val="1"/>
          <w:numId w:val="7"/>
        </w:numPr>
        <w:tabs>
          <w:tab w:val="left" w:pos="1704"/>
        </w:tabs>
        <w:spacing w:before="155" w:after="0" w:line="240" w:lineRule="auto"/>
        <w:ind w:left="1704" w:right="0" w:hanging="526"/>
        <w:jc w:val="left"/>
        <w:rPr>
          <w:rFonts w:ascii="黑体" w:eastAsia="黑体" w:hint="eastAsia"/>
          <w:sz w:val="21"/>
        </w:rPr>
      </w:pPr>
      <w:bookmarkStart w:id="47" w:name="4.7　设计内容"/>
      <w:bookmarkEnd w:id="47"/>
      <w:r>
        <w:rPr>
          <w:rFonts w:ascii="黑体" w:eastAsia="黑体" w:hint="eastAsia"/>
          <w:sz w:val="21"/>
        </w:rPr>
        <w:t>设计内容</w:t>
      </w:r>
    </w:p>
    <w:p>
      <w:pPr>
        <w:pStyle w:val="BodyText"/>
        <w:spacing w:before="6"/>
        <w:rPr>
          <w:rFonts w:ascii="黑体"/>
          <w:sz w:val="15"/>
        </w:rPr>
      </w:pPr>
    </w:p>
    <w:p>
      <w:pPr>
        <w:pStyle w:val="BodyText"/>
        <w:ind w:left="1598"/>
      </w:pPr>
      <w:r>
        <w:t>包括应急功能布局、应急生命线系统设施配套功能、应急交通、应急标识等基本内容。</w:t>
      </w:r>
    </w:p>
    <w:p>
      <w:pPr>
        <w:pStyle w:val="BodyText"/>
        <w:spacing w:before="9"/>
        <w:rPr>
          <w:sz w:val="27"/>
        </w:rPr>
      </w:pPr>
    </w:p>
    <w:p>
      <w:pPr>
        <w:pStyle w:val="ListParagraph"/>
        <w:numPr>
          <w:ilvl w:val="0"/>
          <w:numId w:val="10"/>
        </w:numPr>
        <w:tabs>
          <w:tab w:val="left" w:pos="1493"/>
        </w:tabs>
        <w:spacing w:before="0" w:after="0" w:line="240" w:lineRule="auto"/>
        <w:ind w:left="1492" w:right="0" w:hanging="315"/>
        <w:jc w:val="left"/>
        <w:rPr>
          <w:rFonts w:ascii="黑体" w:eastAsia="黑体" w:hint="eastAsia"/>
          <w:sz w:val="21"/>
        </w:rPr>
      </w:pPr>
      <w:bookmarkStart w:id="48" w:name="5　生命线系统设施配套功能"/>
      <w:bookmarkEnd w:id="48"/>
      <w:r>
        <w:rPr>
          <w:rFonts w:ascii="黑体" w:eastAsia="黑体" w:hint="eastAsia"/>
          <w:sz w:val="21"/>
        </w:rPr>
        <w:t>生命线系统设施配套功能</w:t>
      </w:r>
    </w:p>
    <w:p>
      <w:pPr>
        <w:pStyle w:val="BodyText"/>
        <w:spacing w:before="9"/>
        <w:rPr>
          <w:rFonts w:ascii="黑体"/>
          <w:sz w:val="27"/>
        </w:rPr>
      </w:pPr>
    </w:p>
    <w:p>
      <w:pPr>
        <w:pStyle w:val="ListParagraph"/>
        <w:numPr>
          <w:ilvl w:val="1"/>
          <w:numId w:val="10"/>
        </w:numPr>
        <w:tabs>
          <w:tab w:val="left" w:pos="1704"/>
        </w:tabs>
        <w:spacing w:before="0" w:after="0" w:line="240" w:lineRule="auto"/>
        <w:ind w:left="1704" w:right="0" w:hanging="526"/>
        <w:jc w:val="left"/>
        <w:rPr>
          <w:rFonts w:ascii="黑体" w:eastAsia="黑体" w:hint="eastAsia"/>
          <w:sz w:val="21"/>
        </w:rPr>
      </w:pPr>
      <w:bookmarkStart w:id="49" w:name="5.1　配套功能"/>
      <w:bookmarkEnd w:id="49"/>
      <w:r>
        <w:rPr>
          <w:rFonts w:ascii="黑体" w:eastAsia="黑体" w:hint="eastAsia"/>
          <w:sz w:val="21"/>
        </w:rPr>
        <w:t>配套功能</w:t>
      </w:r>
    </w:p>
    <w:p>
      <w:pPr>
        <w:pStyle w:val="BodyText"/>
        <w:rPr>
          <w:rFonts w:ascii="黑体"/>
          <w:sz w:val="20"/>
        </w:rPr>
      </w:pPr>
    </w:p>
    <w:p>
      <w:pPr>
        <w:pStyle w:val="BodyText"/>
        <w:spacing w:before="3"/>
        <w:rPr>
          <w:rFonts w:ascii="黑体"/>
          <w:sz w:val="19"/>
        </w:rPr>
      </w:pPr>
    </w:p>
    <w:p>
      <w:pPr>
        <w:spacing w:before="0"/>
        <w:ind w:left="1317" w:right="0" w:firstLine="0"/>
        <w:jc w:val="left"/>
        <w:rPr>
          <w:rFonts w:ascii="Times New Roman"/>
          <w:sz w:val="18"/>
        </w:rPr>
      </w:pPr>
      <w:r>
        <w:rPr>
          <w:rFonts w:ascii="Times New Roman"/>
          <w:sz w:val="18"/>
        </w:rPr>
        <w:t>4</w:t>
      </w:r>
    </w:p>
    <w:p>
      <w:pPr>
        <w:spacing w:after="0"/>
        <w:jc w:val="left"/>
        <w:rPr>
          <w:rFonts w:ascii="Times New Roman"/>
          <w:sz w:val="18"/>
        </w:rPr>
        <w:sectPr>
          <w:headerReference w:type="even" r:id="rId17"/>
          <w:headerReference w:type="default" r:id="rId18"/>
          <w:pgSz w:w="11910" w:h="16840"/>
          <w:pgMar w:top="1660" w:right="260" w:bottom="280" w:left="240" w:header="1442" w:footer="0"/>
          <w:pgNumType w:start="8"/>
          <w:cols w:space="708"/>
        </w:sectPr>
      </w:pPr>
    </w:p>
    <w:p>
      <w:pPr>
        <w:pStyle w:val="BodyText"/>
        <w:spacing w:before="4"/>
        <w:rPr>
          <w:rFonts w:ascii="Times New Roman"/>
          <w:sz w:val="16"/>
        </w:rPr>
      </w:pPr>
      <w:r>
        <w:pict>
          <v:group id="_x0000_s1045" style="width:458.75pt;height:294.05pt;margin-top:489.79pt;margin-left:70.92pt;mso-position-horizontal-relative:page;mso-position-vertical-relative:page;position:absolute;z-index:-251643904" coordorigin="1418,9796" coordsize="9175,5881">
            <v:shape id="_x0000_s1046" type="#_x0000_t202" style="width:6006;height:1613;left:1418;position:absolute;top:9795" filled="f" stroked="f">
              <v:textbox inset="0,0,0,0">
                <w:txbxContent>
                  <w:p>
                    <w:pPr>
                      <w:numPr>
                        <w:ilvl w:val="1"/>
                        <w:numId w:val="5"/>
                      </w:numPr>
                      <w:tabs>
                        <w:tab w:val="left" w:pos="526"/>
                      </w:tabs>
                      <w:spacing w:before="0" w:line="239" w:lineRule="exact"/>
                      <w:ind w:left="525" w:right="0" w:hanging="526"/>
                      <w:jc w:val="left"/>
                      <w:rPr>
                        <w:rFonts w:ascii="黑体" w:eastAsia="黑体" w:hint="eastAsia"/>
                        <w:sz w:val="21"/>
                      </w:rPr>
                    </w:pPr>
                    <w:r>
                      <w:rPr>
                        <w:rFonts w:ascii="黑体" w:eastAsia="黑体" w:hint="eastAsia"/>
                        <w:sz w:val="21"/>
                      </w:rPr>
                      <w:t>设置要求</w:t>
                    </w:r>
                  </w:p>
                  <w:p>
                    <w:pPr>
                      <w:spacing w:before="6" w:line="240" w:lineRule="auto"/>
                      <w:rPr>
                        <w:rFonts w:ascii="黑体"/>
                        <w:sz w:val="15"/>
                      </w:rPr>
                    </w:pPr>
                  </w:p>
                  <w:p>
                    <w:pPr>
                      <w:numPr>
                        <w:ilvl w:val="2"/>
                        <w:numId w:val="5"/>
                      </w:numPr>
                      <w:tabs>
                        <w:tab w:val="left" w:pos="735"/>
                      </w:tabs>
                      <w:spacing w:before="0"/>
                      <w:ind w:left="734" w:right="0" w:hanging="735"/>
                      <w:jc w:val="left"/>
                      <w:rPr>
                        <w:rFonts w:ascii="黑体" w:eastAsia="黑体" w:hint="eastAsia"/>
                        <w:sz w:val="21"/>
                      </w:rPr>
                    </w:pPr>
                    <w:r>
                      <w:rPr>
                        <w:rFonts w:ascii="黑体" w:eastAsia="黑体" w:hint="eastAsia"/>
                        <w:sz w:val="21"/>
                      </w:rPr>
                      <w:t>生命线系统设施配置</w:t>
                    </w:r>
                  </w:p>
                  <w:p>
                    <w:pPr>
                      <w:spacing w:before="7" w:line="240" w:lineRule="auto"/>
                      <w:rPr>
                        <w:rFonts w:ascii="黑体"/>
                        <w:sz w:val="15"/>
                      </w:rPr>
                    </w:pPr>
                  </w:p>
                  <w:p>
                    <w:pPr>
                      <w:spacing w:before="0"/>
                      <w:ind w:left="420" w:right="0" w:firstLine="0"/>
                      <w:jc w:val="left"/>
                      <w:rPr>
                        <w:sz w:val="21"/>
                      </w:rPr>
                    </w:pPr>
                    <w:r>
                      <w:rPr>
                        <w:sz w:val="21"/>
                      </w:rPr>
                      <w:t>各项生命线系统设施配置应满足表 4 要求。</w:t>
                    </w:r>
                  </w:p>
                  <w:p>
                    <w:pPr>
                      <w:spacing w:before="7" w:line="240" w:lineRule="auto"/>
                      <w:rPr>
                        <w:sz w:val="15"/>
                      </w:rPr>
                    </w:pPr>
                  </w:p>
                  <w:p>
                    <w:pPr>
                      <w:spacing w:before="0" w:line="239" w:lineRule="exact"/>
                      <w:ind w:left="3362" w:right="0" w:firstLine="0"/>
                      <w:jc w:val="left"/>
                      <w:rPr>
                        <w:rFonts w:ascii="黑体" w:eastAsia="黑体" w:hint="eastAsia"/>
                        <w:sz w:val="21"/>
                      </w:rPr>
                    </w:pPr>
                    <w:r>
                      <w:rPr>
                        <w:rFonts w:ascii="黑体" w:eastAsia="黑体" w:hint="eastAsia"/>
                        <w:sz w:val="21"/>
                      </w:rPr>
                      <w:t>表4 生命线系统设施配置表</w:t>
                    </w:r>
                  </w:p>
                </w:txbxContent>
              </v:textbox>
            </v:shape>
            <v:shape id="_x0000_s1047" type="#_x0000_t202" style="width:110;height:180;left:10483;position:absolute;top:15496" filled="f" stroked="f">
              <v:textbox inset="0,0,0,0">
                <w:txbxContent>
                  <w:p>
                    <w:pPr>
                      <w:spacing w:before="0" w:line="180" w:lineRule="exact"/>
                      <w:ind w:left="0" w:right="0" w:firstLine="0"/>
                      <w:jc w:val="left"/>
                      <w:rPr>
                        <w:sz w:val="18"/>
                      </w:rPr>
                    </w:pPr>
                    <w:r>
                      <w:rPr>
                        <w:sz w:val="18"/>
                      </w:rPr>
                      <w:t>5</w:t>
                    </w:r>
                  </w:p>
                </w:txbxContent>
              </v:textbox>
            </v:shape>
          </v:group>
        </w:pict>
      </w:r>
      <w:r>
        <w:drawing>
          <wp:anchor distT="0" distB="0" distL="0" distR="0" simplePos="0" relativeHeight="251671552" behindDoc="0" locked="0" layoutInCell="1" allowOverlap="1">
            <wp:simplePos x="0" y="0"/>
            <wp:positionH relativeFrom="page">
              <wp:posOffset>215900</wp:posOffset>
            </wp:positionH>
            <wp:positionV relativeFrom="page">
              <wp:posOffset>5243830</wp:posOffset>
            </wp:positionV>
            <wp:extent cx="7112000" cy="4876800"/>
            <wp:effectExtent l="0" t="0" r="0" b="0"/>
            <wp:wrapNone/>
            <wp:docPr id="1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p>
    <w:p>
      <w:pPr>
        <w:pStyle w:val="ListParagraph"/>
        <w:numPr>
          <w:ilvl w:val="2"/>
          <w:numId w:val="10"/>
        </w:numPr>
        <w:tabs>
          <w:tab w:val="left" w:pos="1913"/>
        </w:tabs>
        <w:spacing w:before="70" w:after="0" w:line="278" w:lineRule="auto"/>
        <w:ind w:left="1178" w:right="764" w:firstLine="0"/>
        <w:jc w:val="both"/>
        <w:rPr>
          <w:sz w:val="21"/>
        </w:rPr>
      </w:pPr>
      <w:bookmarkStart w:id="50" w:name="5.1.1　包括应急指挥、应急宿住、物资储备及设施、消防设施、供电设施、供水设施"/>
      <w:bookmarkEnd w:id="50"/>
      <w:r>
        <w:rPr>
          <w:spacing w:val="-8"/>
          <w:w w:val="95"/>
          <w:sz w:val="21"/>
        </w:rPr>
        <w:t>包括应急指挥、应急宿住、物资储备及设施、消防设施、供电设施、供水设施、医疗卫生设施、</w:t>
      </w:r>
      <w:r>
        <w:rPr>
          <w:spacing w:val="-8"/>
          <w:w w:val="95"/>
          <w:sz w:val="21"/>
        </w:rPr>
        <w:t xml:space="preserve">   </w:t>
      </w:r>
      <w:r>
        <w:rPr>
          <w:spacing w:val="-16"/>
          <w:sz w:val="21"/>
        </w:rPr>
        <w:t>应急厕所、淋浴盥洗间、专业救灾队伍场地、通信设施、环卫设施、排污设施、大型应急户外显示系统、应急通风设施等。</w:t>
      </w:r>
    </w:p>
    <w:p>
      <w:pPr>
        <w:pStyle w:val="ListParagraph"/>
        <w:numPr>
          <w:ilvl w:val="2"/>
          <w:numId w:val="10"/>
        </w:numPr>
        <w:tabs>
          <w:tab w:val="left" w:pos="1913"/>
        </w:tabs>
        <w:spacing w:before="0" w:after="0" w:line="269" w:lineRule="exact"/>
        <w:ind w:left="1912" w:right="0" w:hanging="735"/>
        <w:jc w:val="both"/>
        <w:rPr>
          <w:sz w:val="21"/>
        </w:rPr>
      </w:pPr>
      <w:bookmarkStart w:id="51" w:name="5.1.2　应急避护场所生命线设施配套功能应满足表3要求。"/>
      <w:bookmarkEnd w:id="51"/>
      <w:r>
        <w:rPr>
          <w:spacing w:val="-3"/>
          <w:sz w:val="21"/>
        </w:rPr>
        <w:t xml:space="preserve">应急避护场所生命线设施配套功能应满足表 </w:t>
      </w:r>
      <w:r>
        <w:rPr>
          <w:sz w:val="21"/>
        </w:rPr>
        <w:t>3</w:t>
      </w:r>
      <w:r>
        <w:rPr>
          <w:spacing w:val="-14"/>
          <w:sz w:val="21"/>
        </w:rPr>
        <w:t xml:space="preserve"> 要求。</w:t>
      </w:r>
    </w:p>
    <w:p>
      <w:pPr>
        <w:pStyle w:val="BodyText"/>
        <w:spacing w:before="7"/>
        <w:rPr>
          <w:sz w:val="15"/>
        </w:rPr>
      </w:pPr>
    </w:p>
    <w:p>
      <w:pPr>
        <w:pStyle w:val="BodyText"/>
        <w:ind w:left="301"/>
        <w:jc w:val="center"/>
        <w:rPr>
          <w:rFonts w:ascii="黑体" w:eastAsia="黑体" w:hint="eastAsia"/>
        </w:rPr>
      </w:pPr>
      <w:bookmarkStart w:id="52" w:name="表3  各级应急避护场所配套功能配置表"/>
      <w:bookmarkEnd w:id="52"/>
      <w:r>
        <w:rPr>
          <w:rFonts w:ascii="黑体" w:eastAsia="黑体" w:hint="eastAsia"/>
        </w:rPr>
        <w:t>表3 各级应急避护场所配套功能配置表</w:t>
      </w:r>
    </w:p>
    <w:p>
      <w:pPr>
        <w:pStyle w:val="BodyText"/>
        <w:spacing w:before="10"/>
        <w:rPr>
          <w:rFonts w:ascii="黑体"/>
          <w:sz w:val="13"/>
        </w:rPr>
      </w:pPr>
    </w:p>
    <w:tbl>
      <w:tblPr>
        <w:tblStyle w:val="TableNormal2"/>
        <w:tblW w:w="0" w:type="auto"/>
        <w:jc w:val="left"/>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61"/>
        <w:gridCol w:w="2508"/>
        <w:gridCol w:w="1984"/>
        <w:gridCol w:w="2017"/>
        <w:gridCol w:w="2152"/>
      </w:tblGrid>
      <w:tr>
        <w:tblPrEx>
          <w:tblW w:w="0" w:type="auto"/>
          <w:jc w:val="left"/>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1"/>
          <w:jc w:val="left"/>
        </w:trPr>
        <w:tc>
          <w:tcPr>
            <w:tcW w:w="861" w:type="dxa"/>
            <w:vMerge w:val="restart"/>
          </w:tcPr>
          <w:p>
            <w:pPr>
              <w:pStyle w:val="TableParagraph"/>
              <w:spacing w:before="10"/>
              <w:rPr>
                <w:rFonts w:ascii="黑体"/>
                <w:sz w:val="15"/>
              </w:rPr>
            </w:pPr>
          </w:p>
          <w:p>
            <w:pPr>
              <w:pStyle w:val="TableParagraph"/>
              <w:ind w:left="249"/>
              <w:rPr>
                <w:b/>
                <w:sz w:val="18"/>
              </w:rPr>
            </w:pPr>
            <w:r>
              <w:rPr>
                <w:b/>
                <w:sz w:val="18"/>
              </w:rPr>
              <w:t>序号</w:t>
            </w:r>
          </w:p>
        </w:tc>
        <w:tc>
          <w:tcPr>
            <w:tcW w:w="2508" w:type="dxa"/>
            <w:vMerge w:val="restart"/>
          </w:tcPr>
          <w:p>
            <w:pPr>
              <w:pStyle w:val="TableParagraph"/>
              <w:spacing w:before="10"/>
              <w:rPr>
                <w:rFonts w:ascii="黑体"/>
                <w:sz w:val="15"/>
              </w:rPr>
            </w:pPr>
          </w:p>
          <w:p>
            <w:pPr>
              <w:pStyle w:val="TableParagraph"/>
              <w:ind w:left="1052" w:right="1043"/>
              <w:jc w:val="center"/>
              <w:rPr>
                <w:b/>
                <w:sz w:val="18"/>
              </w:rPr>
            </w:pPr>
            <w:r>
              <w:rPr>
                <w:b/>
                <w:sz w:val="18"/>
              </w:rPr>
              <w:t>功能</w:t>
            </w:r>
          </w:p>
        </w:tc>
        <w:tc>
          <w:tcPr>
            <w:tcW w:w="6153" w:type="dxa"/>
            <w:gridSpan w:val="3"/>
          </w:tcPr>
          <w:p>
            <w:pPr>
              <w:pStyle w:val="TableParagraph"/>
              <w:spacing w:before="42"/>
              <w:ind w:left="2694" w:right="2685"/>
              <w:jc w:val="center"/>
              <w:rPr>
                <w:b/>
                <w:sz w:val="18"/>
              </w:rPr>
            </w:pPr>
            <w:r>
              <w:rPr>
                <w:b/>
                <w:sz w:val="18"/>
              </w:rPr>
              <w:t>适配场所</w:t>
            </w:r>
          </w:p>
        </w:tc>
      </w:tr>
      <w:tr>
        <w:tblPrEx>
          <w:tblW w:w="0" w:type="auto"/>
          <w:jc w:val="left"/>
          <w:tblInd w:w="1075" w:type="dxa"/>
          <w:tblLayout w:type="fixed"/>
          <w:tblCellMar>
            <w:top w:w="0" w:type="dxa"/>
            <w:left w:w="0" w:type="dxa"/>
            <w:bottom w:w="0" w:type="dxa"/>
            <w:right w:w="0" w:type="dxa"/>
          </w:tblCellMar>
          <w:tblLook w:val="01E0"/>
        </w:tblPrEx>
        <w:trPr>
          <w:trHeight w:val="312"/>
          <w:jc w:val="left"/>
        </w:trPr>
        <w:tc>
          <w:tcPr>
            <w:tcW w:w="861" w:type="dxa"/>
            <w:vMerge/>
            <w:tcBorders>
              <w:top w:val="nil"/>
            </w:tcBorders>
          </w:tcPr>
          <w:p>
            <w:pPr>
              <w:rPr>
                <w:sz w:val="2"/>
                <w:szCs w:val="2"/>
              </w:rPr>
            </w:pPr>
          </w:p>
        </w:tc>
        <w:tc>
          <w:tcPr>
            <w:tcW w:w="2508" w:type="dxa"/>
            <w:vMerge/>
            <w:tcBorders>
              <w:top w:val="nil"/>
            </w:tcBorders>
          </w:tcPr>
          <w:p>
            <w:pPr>
              <w:rPr>
                <w:sz w:val="2"/>
                <w:szCs w:val="2"/>
              </w:rPr>
            </w:pPr>
          </w:p>
        </w:tc>
        <w:tc>
          <w:tcPr>
            <w:tcW w:w="1984" w:type="dxa"/>
          </w:tcPr>
          <w:p>
            <w:pPr>
              <w:pStyle w:val="TableParagraph"/>
              <w:spacing w:before="41"/>
              <w:ind w:left="251" w:right="242"/>
              <w:jc w:val="center"/>
              <w:rPr>
                <w:sz w:val="18"/>
              </w:rPr>
            </w:pPr>
            <w:r>
              <w:rPr>
                <w:sz w:val="18"/>
              </w:rPr>
              <w:t>中心应急避护场所</w:t>
            </w:r>
          </w:p>
        </w:tc>
        <w:tc>
          <w:tcPr>
            <w:tcW w:w="2017" w:type="dxa"/>
          </w:tcPr>
          <w:p>
            <w:pPr>
              <w:pStyle w:val="TableParagraph"/>
              <w:spacing w:before="41"/>
              <w:ind w:left="267" w:right="260"/>
              <w:jc w:val="center"/>
              <w:rPr>
                <w:sz w:val="18"/>
              </w:rPr>
            </w:pPr>
            <w:r>
              <w:rPr>
                <w:sz w:val="18"/>
              </w:rPr>
              <w:t>固定应急避护场所</w:t>
            </w:r>
          </w:p>
        </w:tc>
        <w:tc>
          <w:tcPr>
            <w:tcW w:w="2152" w:type="dxa"/>
          </w:tcPr>
          <w:p>
            <w:pPr>
              <w:pStyle w:val="TableParagraph"/>
              <w:spacing w:before="41"/>
              <w:ind w:left="335" w:right="326"/>
              <w:jc w:val="center"/>
              <w:rPr>
                <w:sz w:val="18"/>
              </w:rPr>
            </w:pPr>
            <w:r>
              <w:rPr>
                <w:sz w:val="18"/>
              </w:rPr>
              <w:t>紧急应急避护场所</w:t>
            </w:r>
          </w:p>
        </w:tc>
      </w:tr>
      <w:tr>
        <w:tblPrEx>
          <w:tblW w:w="0" w:type="auto"/>
          <w:jc w:val="left"/>
          <w:tblInd w:w="1075" w:type="dxa"/>
          <w:tblLayout w:type="fixed"/>
          <w:tblCellMar>
            <w:top w:w="0" w:type="dxa"/>
            <w:left w:w="0" w:type="dxa"/>
            <w:bottom w:w="0" w:type="dxa"/>
            <w:right w:w="0" w:type="dxa"/>
          </w:tblCellMar>
          <w:tblLook w:val="01E0"/>
        </w:tblPrEx>
        <w:trPr>
          <w:trHeight w:val="312"/>
          <w:jc w:val="left"/>
        </w:trPr>
        <w:tc>
          <w:tcPr>
            <w:tcW w:w="861" w:type="dxa"/>
          </w:tcPr>
          <w:p>
            <w:pPr>
              <w:pStyle w:val="TableParagraph"/>
              <w:spacing w:before="41"/>
              <w:ind w:left="6"/>
              <w:jc w:val="center"/>
              <w:rPr>
                <w:sz w:val="18"/>
              </w:rPr>
            </w:pPr>
            <w:r>
              <w:rPr>
                <w:sz w:val="18"/>
              </w:rPr>
              <w:t>一</w:t>
            </w:r>
          </w:p>
        </w:tc>
        <w:tc>
          <w:tcPr>
            <w:tcW w:w="2508" w:type="dxa"/>
          </w:tcPr>
          <w:p>
            <w:pPr>
              <w:pStyle w:val="TableParagraph"/>
              <w:spacing w:before="41"/>
              <w:ind w:left="108"/>
              <w:rPr>
                <w:sz w:val="18"/>
              </w:rPr>
            </w:pPr>
            <w:r>
              <w:rPr>
                <w:sz w:val="18"/>
              </w:rPr>
              <w:t>应急指挥</w:t>
            </w:r>
          </w:p>
        </w:tc>
        <w:tc>
          <w:tcPr>
            <w:tcW w:w="1984" w:type="dxa"/>
          </w:tcPr>
          <w:p>
            <w:pPr>
              <w:pStyle w:val="TableParagraph"/>
              <w:spacing w:before="41"/>
              <w:ind w:left="7"/>
              <w:jc w:val="center"/>
              <w:rPr>
                <w:sz w:val="18"/>
              </w:rPr>
            </w:pPr>
            <w:r>
              <w:rPr>
                <w:sz w:val="18"/>
              </w:rPr>
              <w:t>●</w:t>
            </w:r>
          </w:p>
        </w:tc>
        <w:tc>
          <w:tcPr>
            <w:tcW w:w="2017" w:type="dxa"/>
          </w:tcPr>
          <w:p>
            <w:pPr>
              <w:pStyle w:val="TableParagraph"/>
              <w:spacing w:before="41"/>
              <w:ind w:left="9"/>
              <w:jc w:val="center"/>
              <w:rPr>
                <w:sz w:val="18"/>
              </w:rPr>
            </w:pPr>
            <w:r>
              <w:rPr>
                <w:sz w:val="18"/>
              </w:rPr>
              <w:t>●</w:t>
            </w:r>
          </w:p>
        </w:tc>
        <w:tc>
          <w:tcPr>
            <w:tcW w:w="2152" w:type="dxa"/>
          </w:tcPr>
          <w:p>
            <w:pPr>
              <w:pStyle w:val="TableParagraph"/>
              <w:spacing w:before="41"/>
              <w:ind w:left="7"/>
              <w:jc w:val="center"/>
              <w:rPr>
                <w:sz w:val="18"/>
              </w:rPr>
            </w:pPr>
            <w:r>
              <w:rPr>
                <w:sz w:val="18"/>
              </w:rPr>
              <w:t>●</w:t>
            </w:r>
          </w:p>
        </w:tc>
      </w:tr>
      <w:tr>
        <w:tblPrEx>
          <w:tblW w:w="0" w:type="auto"/>
          <w:jc w:val="left"/>
          <w:tblInd w:w="1075" w:type="dxa"/>
          <w:tblLayout w:type="fixed"/>
          <w:tblCellMar>
            <w:top w:w="0" w:type="dxa"/>
            <w:left w:w="0" w:type="dxa"/>
            <w:bottom w:w="0" w:type="dxa"/>
            <w:right w:w="0" w:type="dxa"/>
          </w:tblCellMar>
          <w:tblLook w:val="01E0"/>
        </w:tblPrEx>
        <w:trPr>
          <w:trHeight w:val="312"/>
          <w:jc w:val="left"/>
        </w:trPr>
        <w:tc>
          <w:tcPr>
            <w:tcW w:w="861" w:type="dxa"/>
          </w:tcPr>
          <w:p>
            <w:pPr>
              <w:pStyle w:val="TableParagraph"/>
              <w:spacing w:before="41"/>
              <w:ind w:left="6"/>
              <w:jc w:val="center"/>
              <w:rPr>
                <w:sz w:val="18"/>
              </w:rPr>
            </w:pPr>
            <w:r>
              <w:rPr>
                <w:sz w:val="18"/>
              </w:rPr>
              <w:t>二</w:t>
            </w:r>
          </w:p>
        </w:tc>
        <w:tc>
          <w:tcPr>
            <w:tcW w:w="2508" w:type="dxa"/>
          </w:tcPr>
          <w:p>
            <w:pPr>
              <w:pStyle w:val="TableParagraph"/>
              <w:spacing w:before="41"/>
              <w:ind w:left="108"/>
              <w:rPr>
                <w:sz w:val="18"/>
              </w:rPr>
            </w:pPr>
            <w:r>
              <w:rPr>
                <w:sz w:val="18"/>
              </w:rPr>
              <w:t>应急宿住</w:t>
            </w:r>
          </w:p>
        </w:tc>
        <w:tc>
          <w:tcPr>
            <w:tcW w:w="1984" w:type="dxa"/>
          </w:tcPr>
          <w:p>
            <w:pPr>
              <w:pStyle w:val="TableParagraph"/>
              <w:spacing w:before="41"/>
              <w:ind w:left="7"/>
              <w:jc w:val="center"/>
              <w:rPr>
                <w:sz w:val="18"/>
              </w:rPr>
            </w:pPr>
            <w:r>
              <w:rPr>
                <w:sz w:val="18"/>
              </w:rPr>
              <w:t>●</w:t>
            </w:r>
          </w:p>
        </w:tc>
        <w:tc>
          <w:tcPr>
            <w:tcW w:w="2017" w:type="dxa"/>
          </w:tcPr>
          <w:p>
            <w:pPr>
              <w:pStyle w:val="TableParagraph"/>
              <w:spacing w:before="41"/>
              <w:ind w:left="9"/>
              <w:jc w:val="center"/>
              <w:rPr>
                <w:sz w:val="18"/>
              </w:rPr>
            </w:pPr>
            <w:r>
              <w:rPr>
                <w:sz w:val="18"/>
              </w:rPr>
              <w:t>●</w:t>
            </w:r>
          </w:p>
        </w:tc>
        <w:tc>
          <w:tcPr>
            <w:tcW w:w="2152" w:type="dxa"/>
          </w:tcPr>
          <w:p>
            <w:pPr>
              <w:pStyle w:val="TableParagraph"/>
              <w:spacing w:before="41"/>
              <w:ind w:left="7"/>
              <w:jc w:val="center"/>
              <w:rPr>
                <w:sz w:val="18"/>
              </w:rPr>
            </w:pPr>
            <w:r>
              <w:rPr>
                <w:sz w:val="18"/>
              </w:rPr>
              <w:t>●</w:t>
            </w:r>
          </w:p>
        </w:tc>
      </w:tr>
      <w:tr>
        <w:tblPrEx>
          <w:tblW w:w="0" w:type="auto"/>
          <w:jc w:val="left"/>
          <w:tblInd w:w="1075" w:type="dxa"/>
          <w:tblLayout w:type="fixed"/>
          <w:tblCellMar>
            <w:top w:w="0" w:type="dxa"/>
            <w:left w:w="0" w:type="dxa"/>
            <w:bottom w:w="0" w:type="dxa"/>
            <w:right w:w="0" w:type="dxa"/>
          </w:tblCellMar>
          <w:tblLook w:val="01E0"/>
        </w:tblPrEx>
        <w:trPr>
          <w:trHeight w:val="312"/>
          <w:jc w:val="left"/>
        </w:trPr>
        <w:tc>
          <w:tcPr>
            <w:tcW w:w="861" w:type="dxa"/>
          </w:tcPr>
          <w:p>
            <w:pPr>
              <w:pStyle w:val="TableParagraph"/>
              <w:spacing w:before="40"/>
              <w:ind w:left="6"/>
              <w:jc w:val="center"/>
              <w:rPr>
                <w:sz w:val="18"/>
              </w:rPr>
            </w:pPr>
            <w:r>
              <w:rPr>
                <w:sz w:val="18"/>
              </w:rPr>
              <w:t>三</w:t>
            </w:r>
          </w:p>
        </w:tc>
        <w:tc>
          <w:tcPr>
            <w:tcW w:w="2508" w:type="dxa"/>
          </w:tcPr>
          <w:p>
            <w:pPr>
              <w:pStyle w:val="TableParagraph"/>
              <w:spacing w:before="40"/>
              <w:ind w:left="108"/>
              <w:rPr>
                <w:sz w:val="18"/>
              </w:rPr>
            </w:pPr>
            <w:r>
              <w:rPr>
                <w:sz w:val="18"/>
              </w:rPr>
              <w:t>物资储备及设施</w:t>
            </w:r>
          </w:p>
        </w:tc>
        <w:tc>
          <w:tcPr>
            <w:tcW w:w="1984" w:type="dxa"/>
          </w:tcPr>
          <w:p>
            <w:pPr>
              <w:pStyle w:val="TableParagraph"/>
              <w:spacing w:before="40"/>
              <w:ind w:left="7"/>
              <w:jc w:val="center"/>
              <w:rPr>
                <w:sz w:val="18"/>
              </w:rPr>
            </w:pPr>
            <w:r>
              <w:rPr>
                <w:sz w:val="18"/>
              </w:rPr>
              <w:t>●</w:t>
            </w:r>
          </w:p>
        </w:tc>
        <w:tc>
          <w:tcPr>
            <w:tcW w:w="2017" w:type="dxa"/>
          </w:tcPr>
          <w:p>
            <w:pPr>
              <w:pStyle w:val="TableParagraph"/>
              <w:spacing w:before="40"/>
              <w:ind w:left="9"/>
              <w:jc w:val="center"/>
              <w:rPr>
                <w:sz w:val="18"/>
              </w:rPr>
            </w:pPr>
            <w:r>
              <w:rPr>
                <w:sz w:val="18"/>
              </w:rPr>
              <w:t>●</w:t>
            </w:r>
          </w:p>
        </w:tc>
        <w:tc>
          <w:tcPr>
            <w:tcW w:w="2152" w:type="dxa"/>
          </w:tcPr>
          <w:p>
            <w:pPr>
              <w:pStyle w:val="TableParagraph"/>
              <w:spacing w:before="40"/>
              <w:ind w:left="7"/>
              <w:jc w:val="center"/>
              <w:rPr>
                <w:sz w:val="18"/>
              </w:rPr>
            </w:pPr>
            <w:r>
              <w:rPr>
                <w:sz w:val="18"/>
              </w:rPr>
              <w:t>○</w:t>
            </w:r>
          </w:p>
        </w:tc>
      </w:tr>
      <w:tr>
        <w:tblPrEx>
          <w:tblW w:w="0" w:type="auto"/>
          <w:jc w:val="left"/>
          <w:tblInd w:w="1075" w:type="dxa"/>
          <w:tblLayout w:type="fixed"/>
          <w:tblCellMar>
            <w:top w:w="0" w:type="dxa"/>
            <w:left w:w="0" w:type="dxa"/>
            <w:bottom w:w="0" w:type="dxa"/>
            <w:right w:w="0" w:type="dxa"/>
          </w:tblCellMar>
          <w:tblLook w:val="01E0"/>
        </w:tblPrEx>
        <w:trPr>
          <w:trHeight w:val="311"/>
          <w:jc w:val="left"/>
        </w:trPr>
        <w:tc>
          <w:tcPr>
            <w:tcW w:w="861" w:type="dxa"/>
          </w:tcPr>
          <w:p>
            <w:pPr>
              <w:pStyle w:val="TableParagraph"/>
              <w:spacing w:before="40"/>
              <w:ind w:left="6"/>
              <w:jc w:val="center"/>
              <w:rPr>
                <w:sz w:val="18"/>
              </w:rPr>
            </w:pPr>
            <w:r>
              <w:rPr>
                <w:sz w:val="18"/>
              </w:rPr>
              <w:t>四</w:t>
            </w:r>
          </w:p>
        </w:tc>
        <w:tc>
          <w:tcPr>
            <w:tcW w:w="2508" w:type="dxa"/>
          </w:tcPr>
          <w:p>
            <w:pPr>
              <w:pStyle w:val="TableParagraph"/>
              <w:spacing w:before="40"/>
              <w:ind w:left="108"/>
              <w:rPr>
                <w:sz w:val="18"/>
              </w:rPr>
            </w:pPr>
            <w:r>
              <w:rPr>
                <w:sz w:val="18"/>
              </w:rPr>
              <w:t>消防设施</w:t>
            </w:r>
          </w:p>
        </w:tc>
        <w:tc>
          <w:tcPr>
            <w:tcW w:w="1984" w:type="dxa"/>
          </w:tcPr>
          <w:p>
            <w:pPr>
              <w:pStyle w:val="TableParagraph"/>
              <w:spacing w:before="40"/>
              <w:ind w:left="7"/>
              <w:jc w:val="center"/>
              <w:rPr>
                <w:sz w:val="18"/>
              </w:rPr>
            </w:pPr>
            <w:r>
              <w:rPr>
                <w:sz w:val="18"/>
              </w:rPr>
              <w:t>●</w:t>
            </w:r>
          </w:p>
        </w:tc>
        <w:tc>
          <w:tcPr>
            <w:tcW w:w="2017" w:type="dxa"/>
          </w:tcPr>
          <w:p>
            <w:pPr>
              <w:pStyle w:val="TableParagraph"/>
              <w:spacing w:before="40"/>
              <w:ind w:left="9"/>
              <w:jc w:val="center"/>
              <w:rPr>
                <w:sz w:val="18"/>
              </w:rPr>
            </w:pPr>
            <w:r>
              <w:rPr>
                <w:sz w:val="18"/>
              </w:rPr>
              <w:t>●</w:t>
            </w:r>
          </w:p>
        </w:tc>
        <w:tc>
          <w:tcPr>
            <w:tcW w:w="2152" w:type="dxa"/>
          </w:tcPr>
          <w:p>
            <w:pPr>
              <w:pStyle w:val="TableParagraph"/>
              <w:spacing w:before="40"/>
              <w:ind w:left="7"/>
              <w:jc w:val="center"/>
              <w:rPr>
                <w:sz w:val="18"/>
              </w:rPr>
            </w:pPr>
            <w:r>
              <w:rPr>
                <w:sz w:val="18"/>
              </w:rPr>
              <w:t>●</w:t>
            </w:r>
          </w:p>
        </w:tc>
      </w:tr>
      <w:tr>
        <w:tblPrEx>
          <w:tblW w:w="0" w:type="auto"/>
          <w:jc w:val="left"/>
          <w:tblInd w:w="1075" w:type="dxa"/>
          <w:tblLayout w:type="fixed"/>
          <w:tblCellMar>
            <w:top w:w="0" w:type="dxa"/>
            <w:left w:w="0" w:type="dxa"/>
            <w:bottom w:w="0" w:type="dxa"/>
            <w:right w:w="0" w:type="dxa"/>
          </w:tblCellMar>
          <w:tblLook w:val="01E0"/>
        </w:tblPrEx>
        <w:trPr>
          <w:trHeight w:val="312"/>
          <w:jc w:val="left"/>
        </w:trPr>
        <w:tc>
          <w:tcPr>
            <w:tcW w:w="861" w:type="dxa"/>
          </w:tcPr>
          <w:p>
            <w:pPr>
              <w:pStyle w:val="TableParagraph"/>
              <w:spacing w:before="42"/>
              <w:ind w:left="6"/>
              <w:jc w:val="center"/>
              <w:rPr>
                <w:sz w:val="18"/>
              </w:rPr>
            </w:pPr>
            <w:r>
              <w:rPr>
                <w:sz w:val="18"/>
              </w:rPr>
              <w:t>五</w:t>
            </w:r>
          </w:p>
        </w:tc>
        <w:tc>
          <w:tcPr>
            <w:tcW w:w="2508" w:type="dxa"/>
          </w:tcPr>
          <w:p>
            <w:pPr>
              <w:pStyle w:val="TableParagraph"/>
              <w:spacing w:before="42"/>
              <w:ind w:left="108"/>
              <w:rPr>
                <w:sz w:val="18"/>
              </w:rPr>
            </w:pPr>
            <w:r>
              <w:rPr>
                <w:sz w:val="18"/>
              </w:rPr>
              <w:t>供电设施</w:t>
            </w:r>
          </w:p>
        </w:tc>
        <w:tc>
          <w:tcPr>
            <w:tcW w:w="1984" w:type="dxa"/>
          </w:tcPr>
          <w:p>
            <w:pPr>
              <w:pStyle w:val="TableParagraph"/>
              <w:spacing w:before="42"/>
              <w:ind w:left="7"/>
              <w:jc w:val="center"/>
              <w:rPr>
                <w:sz w:val="18"/>
              </w:rPr>
            </w:pPr>
            <w:r>
              <w:rPr>
                <w:sz w:val="18"/>
              </w:rPr>
              <w:t>●</w:t>
            </w:r>
          </w:p>
        </w:tc>
        <w:tc>
          <w:tcPr>
            <w:tcW w:w="2017" w:type="dxa"/>
          </w:tcPr>
          <w:p>
            <w:pPr>
              <w:pStyle w:val="TableParagraph"/>
              <w:spacing w:before="42"/>
              <w:ind w:left="9"/>
              <w:jc w:val="center"/>
              <w:rPr>
                <w:sz w:val="18"/>
              </w:rPr>
            </w:pPr>
            <w:r>
              <w:rPr>
                <w:sz w:val="18"/>
              </w:rPr>
              <w:t>●</w:t>
            </w:r>
          </w:p>
        </w:tc>
        <w:tc>
          <w:tcPr>
            <w:tcW w:w="2152" w:type="dxa"/>
          </w:tcPr>
          <w:p>
            <w:pPr>
              <w:pStyle w:val="TableParagraph"/>
              <w:spacing w:before="42"/>
              <w:ind w:left="7"/>
              <w:jc w:val="center"/>
              <w:rPr>
                <w:sz w:val="18"/>
              </w:rPr>
            </w:pPr>
            <w:r>
              <w:rPr>
                <w:sz w:val="18"/>
              </w:rPr>
              <w:t>●</w:t>
            </w:r>
          </w:p>
        </w:tc>
      </w:tr>
      <w:tr>
        <w:tblPrEx>
          <w:tblW w:w="0" w:type="auto"/>
          <w:jc w:val="left"/>
          <w:tblInd w:w="1075" w:type="dxa"/>
          <w:tblLayout w:type="fixed"/>
          <w:tblCellMar>
            <w:top w:w="0" w:type="dxa"/>
            <w:left w:w="0" w:type="dxa"/>
            <w:bottom w:w="0" w:type="dxa"/>
            <w:right w:w="0" w:type="dxa"/>
          </w:tblCellMar>
          <w:tblLook w:val="01E0"/>
        </w:tblPrEx>
        <w:trPr>
          <w:trHeight w:val="311"/>
          <w:jc w:val="left"/>
        </w:trPr>
        <w:tc>
          <w:tcPr>
            <w:tcW w:w="861" w:type="dxa"/>
          </w:tcPr>
          <w:p>
            <w:pPr>
              <w:pStyle w:val="TableParagraph"/>
              <w:spacing w:before="41"/>
              <w:ind w:left="6"/>
              <w:jc w:val="center"/>
              <w:rPr>
                <w:sz w:val="18"/>
              </w:rPr>
            </w:pPr>
            <w:r>
              <w:rPr>
                <w:sz w:val="18"/>
              </w:rPr>
              <w:t>六</w:t>
            </w:r>
          </w:p>
        </w:tc>
        <w:tc>
          <w:tcPr>
            <w:tcW w:w="2508" w:type="dxa"/>
          </w:tcPr>
          <w:p>
            <w:pPr>
              <w:pStyle w:val="TableParagraph"/>
              <w:spacing w:before="41"/>
              <w:ind w:left="108"/>
              <w:rPr>
                <w:sz w:val="18"/>
              </w:rPr>
            </w:pPr>
            <w:r>
              <w:rPr>
                <w:sz w:val="18"/>
              </w:rPr>
              <w:t>供水设施</w:t>
            </w:r>
          </w:p>
        </w:tc>
        <w:tc>
          <w:tcPr>
            <w:tcW w:w="1984" w:type="dxa"/>
          </w:tcPr>
          <w:p>
            <w:pPr>
              <w:pStyle w:val="TableParagraph"/>
              <w:spacing w:before="41"/>
              <w:ind w:left="7"/>
              <w:jc w:val="center"/>
              <w:rPr>
                <w:sz w:val="18"/>
              </w:rPr>
            </w:pPr>
            <w:r>
              <w:rPr>
                <w:sz w:val="18"/>
              </w:rPr>
              <w:t>●</w:t>
            </w:r>
          </w:p>
        </w:tc>
        <w:tc>
          <w:tcPr>
            <w:tcW w:w="2017" w:type="dxa"/>
          </w:tcPr>
          <w:p>
            <w:pPr>
              <w:pStyle w:val="TableParagraph"/>
              <w:spacing w:before="41"/>
              <w:ind w:left="9"/>
              <w:jc w:val="center"/>
              <w:rPr>
                <w:sz w:val="18"/>
              </w:rPr>
            </w:pPr>
            <w:r>
              <w:rPr>
                <w:sz w:val="18"/>
              </w:rPr>
              <w:t>●</w:t>
            </w:r>
          </w:p>
        </w:tc>
        <w:tc>
          <w:tcPr>
            <w:tcW w:w="2152" w:type="dxa"/>
          </w:tcPr>
          <w:p>
            <w:pPr>
              <w:pStyle w:val="TableParagraph"/>
              <w:spacing w:before="41"/>
              <w:ind w:left="7"/>
              <w:jc w:val="center"/>
              <w:rPr>
                <w:sz w:val="18"/>
              </w:rPr>
            </w:pPr>
            <w:r>
              <w:rPr>
                <w:sz w:val="18"/>
              </w:rPr>
              <w:t>○</w:t>
            </w:r>
          </w:p>
        </w:tc>
      </w:tr>
      <w:tr>
        <w:tblPrEx>
          <w:tblW w:w="0" w:type="auto"/>
          <w:jc w:val="left"/>
          <w:tblInd w:w="1075" w:type="dxa"/>
          <w:tblLayout w:type="fixed"/>
          <w:tblCellMar>
            <w:top w:w="0" w:type="dxa"/>
            <w:left w:w="0" w:type="dxa"/>
            <w:bottom w:w="0" w:type="dxa"/>
            <w:right w:w="0" w:type="dxa"/>
          </w:tblCellMar>
          <w:tblLook w:val="01E0"/>
        </w:tblPrEx>
        <w:trPr>
          <w:trHeight w:val="312"/>
          <w:jc w:val="left"/>
        </w:trPr>
        <w:tc>
          <w:tcPr>
            <w:tcW w:w="861" w:type="dxa"/>
          </w:tcPr>
          <w:p>
            <w:pPr>
              <w:pStyle w:val="TableParagraph"/>
              <w:spacing w:before="41"/>
              <w:ind w:left="6"/>
              <w:jc w:val="center"/>
              <w:rPr>
                <w:sz w:val="18"/>
              </w:rPr>
            </w:pPr>
            <w:r>
              <w:rPr>
                <w:sz w:val="18"/>
              </w:rPr>
              <w:t>七</w:t>
            </w:r>
          </w:p>
        </w:tc>
        <w:tc>
          <w:tcPr>
            <w:tcW w:w="2508" w:type="dxa"/>
          </w:tcPr>
          <w:p>
            <w:pPr>
              <w:pStyle w:val="TableParagraph"/>
              <w:spacing w:before="41"/>
              <w:ind w:left="108"/>
              <w:rPr>
                <w:sz w:val="18"/>
              </w:rPr>
            </w:pPr>
            <w:r>
              <w:rPr>
                <w:sz w:val="18"/>
              </w:rPr>
              <w:t>医疗卫生设施</w:t>
            </w:r>
          </w:p>
        </w:tc>
        <w:tc>
          <w:tcPr>
            <w:tcW w:w="1984" w:type="dxa"/>
          </w:tcPr>
          <w:p>
            <w:pPr>
              <w:pStyle w:val="TableParagraph"/>
              <w:spacing w:before="41"/>
              <w:ind w:left="7"/>
              <w:jc w:val="center"/>
              <w:rPr>
                <w:sz w:val="18"/>
              </w:rPr>
            </w:pPr>
            <w:r>
              <w:rPr>
                <w:sz w:val="18"/>
              </w:rPr>
              <w:t>●</w:t>
            </w:r>
          </w:p>
        </w:tc>
        <w:tc>
          <w:tcPr>
            <w:tcW w:w="2017" w:type="dxa"/>
          </w:tcPr>
          <w:p>
            <w:pPr>
              <w:pStyle w:val="TableParagraph"/>
              <w:spacing w:before="41"/>
              <w:ind w:left="9"/>
              <w:jc w:val="center"/>
              <w:rPr>
                <w:sz w:val="18"/>
              </w:rPr>
            </w:pPr>
            <w:r>
              <w:rPr>
                <w:sz w:val="18"/>
              </w:rPr>
              <w:t>●</w:t>
            </w:r>
          </w:p>
        </w:tc>
        <w:tc>
          <w:tcPr>
            <w:tcW w:w="2152" w:type="dxa"/>
          </w:tcPr>
          <w:p>
            <w:pPr>
              <w:pStyle w:val="TableParagraph"/>
              <w:spacing w:before="41"/>
              <w:ind w:left="7"/>
              <w:jc w:val="center"/>
              <w:rPr>
                <w:sz w:val="18"/>
              </w:rPr>
            </w:pPr>
            <w:r>
              <w:rPr>
                <w:sz w:val="18"/>
              </w:rPr>
              <w:t>○</w:t>
            </w:r>
          </w:p>
        </w:tc>
      </w:tr>
      <w:tr>
        <w:tblPrEx>
          <w:tblW w:w="0" w:type="auto"/>
          <w:jc w:val="left"/>
          <w:tblInd w:w="1075" w:type="dxa"/>
          <w:tblLayout w:type="fixed"/>
          <w:tblCellMar>
            <w:top w:w="0" w:type="dxa"/>
            <w:left w:w="0" w:type="dxa"/>
            <w:bottom w:w="0" w:type="dxa"/>
            <w:right w:w="0" w:type="dxa"/>
          </w:tblCellMar>
          <w:tblLook w:val="01E0"/>
        </w:tblPrEx>
        <w:trPr>
          <w:trHeight w:val="311"/>
          <w:jc w:val="left"/>
        </w:trPr>
        <w:tc>
          <w:tcPr>
            <w:tcW w:w="861" w:type="dxa"/>
          </w:tcPr>
          <w:p>
            <w:pPr>
              <w:pStyle w:val="TableParagraph"/>
              <w:spacing w:before="41"/>
              <w:ind w:left="6"/>
              <w:jc w:val="center"/>
              <w:rPr>
                <w:sz w:val="18"/>
              </w:rPr>
            </w:pPr>
            <w:r>
              <w:rPr>
                <w:sz w:val="18"/>
              </w:rPr>
              <w:t>八</w:t>
            </w:r>
          </w:p>
        </w:tc>
        <w:tc>
          <w:tcPr>
            <w:tcW w:w="2508" w:type="dxa"/>
          </w:tcPr>
          <w:p>
            <w:pPr>
              <w:pStyle w:val="TableParagraph"/>
              <w:spacing w:before="41"/>
              <w:ind w:left="108"/>
              <w:rPr>
                <w:sz w:val="18"/>
              </w:rPr>
            </w:pPr>
            <w:r>
              <w:rPr>
                <w:sz w:val="18"/>
              </w:rPr>
              <w:t>应急厕所</w:t>
            </w:r>
          </w:p>
        </w:tc>
        <w:tc>
          <w:tcPr>
            <w:tcW w:w="1984" w:type="dxa"/>
          </w:tcPr>
          <w:p>
            <w:pPr>
              <w:pStyle w:val="TableParagraph"/>
              <w:spacing w:before="41"/>
              <w:ind w:left="7"/>
              <w:jc w:val="center"/>
              <w:rPr>
                <w:sz w:val="18"/>
              </w:rPr>
            </w:pPr>
            <w:r>
              <w:rPr>
                <w:sz w:val="18"/>
              </w:rPr>
              <w:t>●</w:t>
            </w:r>
          </w:p>
        </w:tc>
        <w:tc>
          <w:tcPr>
            <w:tcW w:w="2017" w:type="dxa"/>
          </w:tcPr>
          <w:p>
            <w:pPr>
              <w:pStyle w:val="TableParagraph"/>
              <w:spacing w:before="41"/>
              <w:ind w:left="9"/>
              <w:jc w:val="center"/>
              <w:rPr>
                <w:sz w:val="18"/>
              </w:rPr>
            </w:pPr>
            <w:r>
              <w:rPr>
                <w:sz w:val="18"/>
              </w:rPr>
              <w:t>●</w:t>
            </w:r>
          </w:p>
        </w:tc>
        <w:tc>
          <w:tcPr>
            <w:tcW w:w="2152" w:type="dxa"/>
          </w:tcPr>
          <w:p>
            <w:pPr>
              <w:pStyle w:val="TableParagraph"/>
              <w:spacing w:before="41"/>
              <w:ind w:left="7"/>
              <w:jc w:val="center"/>
              <w:rPr>
                <w:sz w:val="18"/>
              </w:rPr>
            </w:pPr>
            <w:r>
              <w:rPr>
                <w:sz w:val="18"/>
              </w:rPr>
              <w:t>●</w:t>
            </w:r>
          </w:p>
        </w:tc>
      </w:tr>
      <w:tr>
        <w:tblPrEx>
          <w:tblW w:w="0" w:type="auto"/>
          <w:jc w:val="left"/>
          <w:tblInd w:w="1075" w:type="dxa"/>
          <w:tblLayout w:type="fixed"/>
          <w:tblCellMar>
            <w:top w:w="0" w:type="dxa"/>
            <w:left w:w="0" w:type="dxa"/>
            <w:bottom w:w="0" w:type="dxa"/>
            <w:right w:w="0" w:type="dxa"/>
          </w:tblCellMar>
          <w:tblLook w:val="01E0"/>
        </w:tblPrEx>
        <w:trPr>
          <w:trHeight w:val="312"/>
          <w:jc w:val="left"/>
        </w:trPr>
        <w:tc>
          <w:tcPr>
            <w:tcW w:w="861" w:type="dxa"/>
          </w:tcPr>
          <w:p>
            <w:pPr>
              <w:pStyle w:val="TableParagraph"/>
              <w:spacing w:before="40"/>
              <w:ind w:left="6"/>
              <w:jc w:val="center"/>
              <w:rPr>
                <w:sz w:val="18"/>
              </w:rPr>
            </w:pPr>
            <w:r>
              <w:rPr>
                <w:sz w:val="18"/>
              </w:rPr>
              <w:t>九</w:t>
            </w:r>
          </w:p>
        </w:tc>
        <w:tc>
          <w:tcPr>
            <w:tcW w:w="2508" w:type="dxa"/>
          </w:tcPr>
          <w:p>
            <w:pPr>
              <w:pStyle w:val="TableParagraph"/>
              <w:spacing w:before="40"/>
              <w:ind w:left="108"/>
              <w:rPr>
                <w:sz w:val="18"/>
              </w:rPr>
            </w:pPr>
            <w:r>
              <w:rPr>
                <w:sz w:val="18"/>
              </w:rPr>
              <w:t>淋浴盥洗间</w:t>
            </w:r>
          </w:p>
        </w:tc>
        <w:tc>
          <w:tcPr>
            <w:tcW w:w="1984" w:type="dxa"/>
          </w:tcPr>
          <w:p>
            <w:pPr>
              <w:pStyle w:val="TableParagraph"/>
              <w:spacing w:before="40"/>
              <w:ind w:left="7"/>
              <w:jc w:val="center"/>
              <w:rPr>
                <w:sz w:val="18"/>
              </w:rPr>
            </w:pPr>
            <w:r>
              <w:rPr>
                <w:sz w:val="18"/>
              </w:rPr>
              <w:t>●</w:t>
            </w:r>
          </w:p>
        </w:tc>
        <w:tc>
          <w:tcPr>
            <w:tcW w:w="2017" w:type="dxa"/>
          </w:tcPr>
          <w:p>
            <w:pPr>
              <w:pStyle w:val="TableParagraph"/>
              <w:spacing w:before="40"/>
              <w:ind w:left="9"/>
              <w:jc w:val="center"/>
              <w:rPr>
                <w:sz w:val="18"/>
              </w:rPr>
            </w:pPr>
            <w:r>
              <w:rPr>
                <w:sz w:val="18"/>
              </w:rPr>
              <w:t>○</w:t>
            </w:r>
          </w:p>
        </w:tc>
        <w:tc>
          <w:tcPr>
            <w:tcW w:w="2152" w:type="dxa"/>
          </w:tcPr>
          <w:p>
            <w:pPr>
              <w:pStyle w:val="TableParagraph"/>
              <w:spacing w:before="40"/>
              <w:ind w:left="7"/>
              <w:jc w:val="center"/>
              <w:rPr>
                <w:sz w:val="18"/>
              </w:rPr>
            </w:pPr>
            <w:r>
              <w:rPr>
                <w:sz w:val="18"/>
              </w:rPr>
              <w:t>—</w:t>
            </w:r>
          </w:p>
        </w:tc>
      </w:tr>
      <w:tr>
        <w:tblPrEx>
          <w:tblW w:w="0" w:type="auto"/>
          <w:jc w:val="left"/>
          <w:tblInd w:w="1075" w:type="dxa"/>
          <w:tblLayout w:type="fixed"/>
          <w:tblCellMar>
            <w:top w:w="0" w:type="dxa"/>
            <w:left w:w="0" w:type="dxa"/>
            <w:bottom w:w="0" w:type="dxa"/>
            <w:right w:w="0" w:type="dxa"/>
          </w:tblCellMar>
          <w:tblLook w:val="01E0"/>
        </w:tblPrEx>
        <w:trPr>
          <w:trHeight w:val="312"/>
          <w:jc w:val="left"/>
        </w:trPr>
        <w:tc>
          <w:tcPr>
            <w:tcW w:w="861" w:type="dxa"/>
          </w:tcPr>
          <w:p>
            <w:pPr>
              <w:pStyle w:val="TableParagraph"/>
              <w:spacing w:before="40"/>
              <w:ind w:left="6"/>
              <w:jc w:val="center"/>
              <w:rPr>
                <w:sz w:val="18"/>
              </w:rPr>
            </w:pPr>
            <w:r>
              <w:rPr>
                <w:sz w:val="18"/>
              </w:rPr>
              <w:t>十</w:t>
            </w:r>
          </w:p>
        </w:tc>
        <w:tc>
          <w:tcPr>
            <w:tcW w:w="2508" w:type="dxa"/>
          </w:tcPr>
          <w:p>
            <w:pPr>
              <w:pStyle w:val="TableParagraph"/>
              <w:spacing w:before="40"/>
              <w:ind w:left="108"/>
              <w:rPr>
                <w:sz w:val="18"/>
              </w:rPr>
            </w:pPr>
            <w:r>
              <w:rPr>
                <w:sz w:val="18"/>
              </w:rPr>
              <w:t>专业救灾队伍场地</w:t>
            </w:r>
          </w:p>
        </w:tc>
        <w:tc>
          <w:tcPr>
            <w:tcW w:w="1984" w:type="dxa"/>
          </w:tcPr>
          <w:p>
            <w:pPr>
              <w:pStyle w:val="TableParagraph"/>
              <w:spacing w:before="40"/>
              <w:ind w:left="7"/>
              <w:jc w:val="center"/>
              <w:rPr>
                <w:sz w:val="18"/>
              </w:rPr>
            </w:pPr>
            <w:r>
              <w:rPr>
                <w:sz w:val="18"/>
              </w:rPr>
              <w:t>●</w:t>
            </w:r>
          </w:p>
        </w:tc>
        <w:tc>
          <w:tcPr>
            <w:tcW w:w="2017" w:type="dxa"/>
          </w:tcPr>
          <w:p>
            <w:pPr>
              <w:pStyle w:val="TableParagraph"/>
              <w:spacing w:before="40"/>
              <w:ind w:left="9"/>
              <w:jc w:val="center"/>
              <w:rPr>
                <w:sz w:val="18"/>
              </w:rPr>
            </w:pPr>
            <w:r>
              <w:rPr>
                <w:sz w:val="18"/>
              </w:rPr>
              <w:t>●</w:t>
            </w:r>
          </w:p>
        </w:tc>
        <w:tc>
          <w:tcPr>
            <w:tcW w:w="2152" w:type="dxa"/>
          </w:tcPr>
          <w:p>
            <w:pPr>
              <w:pStyle w:val="TableParagraph"/>
              <w:spacing w:before="40"/>
              <w:ind w:left="7"/>
              <w:jc w:val="center"/>
              <w:rPr>
                <w:sz w:val="18"/>
              </w:rPr>
            </w:pPr>
            <w:r>
              <w:rPr>
                <w:sz w:val="18"/>
              </w:rPr>
              <w:t>—</w:t>
            </w:r>
          </w:p>
        </w:tc>
      </w:tr>
      <w:tr>
        <w:tblPrEx>
          <w:tblW w:w="0" w:type="auto"/>
          <w:jc w:val="left"/>
          <w:tblInd w:w="1075" w:type="dxa"/>
          <w:tblLayout w:type="fixed"/>
          <w:tblCellMar>
            <w:top w:w="0" w:type="dxa"/>
            <w:left w:w="0" w:type="dxa"/>
            <w:bottom w:w="0" w:type="dxa"/>
            <w:right w:w="0" w:type="dxa"/>
          </w:tblCellMar>
          <w:tblLook w:val="01E0"/>
        </w:tblPrEx>
        <w:trPr>
          <w:trHeight w:val="311"/>
          <w:jc w:val="left"/>
        </w:trPr>
        <w:tc>
          <w:tcPr>
            <w:tcW w:w="861" w:type="dxa"/>
          </w:tcPr>
          <w:p>
            <w:pPr>
              <w:pStyle w:val="TableParagraph"/>
              <w:spacing w:before="42"/>
              <w:ind w:left="229" w:right="221"/>
              <w:jc w:val="center"/>
              <w:rPr>
                <w:sz w:val="18"/>
              </w:rPr>
            </w:pPr>
            <w:r>
              <w:rPr>
                <w:sz w:val="18"/>
              </w:rPr>
              <w:t>十一</w:t>
            </w:r>
          </w:p>
        </w:tc>
        <w:tc>
          <w:tcPr>
            <w:tcW w:w="2508" w:type="dxa"/>
          </w:tcPr>
          <w:p>
            <w:pPr>
              <w:pStyle w:val="TableParagraph"/>
              <w:spacing w:before="42"/>
              <w:ind w:left="108"/>
              <w:rPr>
                <w:sz w:val="18"/>
              </w:rPr>
            </w:pPr>
            <w:r>
              <w:rPr>
                <w:sz w:val="18"/>
              </w:rPr>
              <w:t>通信设施</w:t>
            </w:r>
          </w:p>
        </w:tc>
        <w:tc>
          <w:tcPr>
            <w:tcW w:w="1984" w:type="dxa"/>
          </w:tcPr>
          <w:p>
            <w:pPr>
              <w:pStyle w:val="TableParagraph"/>
              <w:spacing w:before="42"/>
              <w:ind w:left="7"/>
              <w:jc w:val="center"/>
              <w:rPr>
                <w:sz w:val="18"/>
              </w:rPr>
            </w:pPr>
            <w:r>
              <w:rPr>
                <w:sz w:val="18"/>
              </w:rPr>
              <w:t>●</w:t>
            </w:r>
          </w:p>
        </w:tc>
        <w:tc>
          <w:tcPr>
            <w:tcW w:w="2017" w:type="dxa"/>
          </w:tcPr>
          <w:p>
            <w:pPr>
              <w:pStyle w:val="TableParagraph"/>
              <w:spacing w:before="42"/>
              <w:ind w:left="9"/>
              <w:jc w:val="center"/>
              <w:rPr>
                <w:sz w:val="18"/>
              </w:rPr>
            </w:pPr>
            <w:r>
              <w:rPr>
                <w:sz w:val="18"/>
              </w:rPr>
              <w:t>●</w:t>
            </w:r>
          </w:p>
        </w:tc>
        <w:tc>
          <w:tcPr>
            <w:tcW w:w="2152" w:type="dxa"/>
          </w:tcPr>
          <w:p>
            <w:pPr>
              <w:pStyle w:val="TableParagraph"/>
              <w:spacing w:before="42"/>
              <w:ind w:left="7"/>
              <w:jc w:val="center"/>
              <w:rPr>
                <w:sz w:val="18"/>
              </w:rPr>
            </w:pPr>
            <w:r>
              <w:rPr>
                <w:sz w:val="18"/>
              </w:rPr>
              <w:t>○</w:t>
            </w:r>
          </w:p>
        </w:tc>
      </w:tr>
      <w:tr>
        <w:tblPrEx>
          <w:tblW w:w="0" w:type="auto"/>
          <w:jc w:val="left"/>
          <w:tblInd w:w="1075" w:type="dxa"/>
          <w:tblLayout w:type="fixed"/>
          <w:tblCellMar>
            <w:top w:w="0" w:type="dxa"/>
            <w:left w:w="0" w:type="dxa"/>
            <w:bottom w:w="0" w:type="dxa"/>
            <w:right w:w="0" w:type="dxa"/>
          </w:tblCellMar>
          <w:tblLook w:val="01E0"/>
        </w:tblPrEx>
        <w:trPr>
          <w:trHeight w:val="312"/>
          <w:jc w:val="left"/>
        </w:trPr>
        <w:tc>
          <w:tcPr>
            <w:tcW w:w="861" w:type="dxa"/>
          </w:tcPr>
          <w:p>
            <w:pPr>
              <w:pStyle w:val="TableParagraph"/>
              <w:spacing w:before="41"/>
              <w:ind w:left="229" w:right="221"/>
              <w:jc w:val="center"/>
              <w:rPr>
                <w:sz w:val="18"/>
              </w:rPr>
            </w:pPr>
            <w:r>
              <w:rPr>
                <w:sz w:val="18"/>
              </w:rPr>
              <w:t>十二</w:t>
            </w:r>
          </w:p>
        </w:tc>
        <w:tc>
          <w:tcPr>
            <w:tcW w:w="2508" w:type="dxa"/>
          </w:tcPr>
          <w:p>
            <w:pPr>
              <w:pStyle w:val="TableParagraph"/>
              <w:spacing w:before="41"/>
              <w:ind w:left="108"/>
              <w:rPr>
                <w:sz w:val="18"/>
              </w:rPr>
            </w:pPr>
            <w:r>
              <w:rPr>
                <w:sz w:val="18"/>
              </w:rPr>
              <w:t>环卫设施</w:t>
            </w:r>
          </w:p>
        </w:tc>
        <w:tc>
          <w:tcPr>
            <w:tcW w:w="1984" w:type="dxa"/>
          </w:tcPr>
          <w:p>
            <w:pPr>
              <w:pStyle w:val="TableParagraph"/>
              <w:spacing w:before="41"/>
              <w:ind w:left="7"/>
              <w:jc w:val="center"/>
              <w:rPr>
                <w:sz w:val="18"/>
              </w:rPr>
            </w:pPr>
            <w:r>
              <w:rPr>
                <w:sz w:val="18"/>
              </w:rPr>
              <w:t>●</w:t>
            </w:r>
          </w:p>
        </w:tc>
        <w:tc>
          <w:tcPr>
            <w:tcW w:w="2017" w:type="dxa"/>
          </w:tcPr>
          <w:p>
            <w:pPr>
              <w:pStyle w:val="TableParagraph"/>
              <w:spacing w:before="41"/>
              <w:ind w:left="9"/>
              <w:jc w:val="center"/>
              <w:rPr>
                <w:sz w:val="18"/>
              </w:rPr>
            </w:pPr>
            <w:r>
              <w:rPr>
                <w:sz w:val="18"/>
              </w:rPr>
              <w:t>●</w:t>
            </w:r>
          </w:p>
        </w:tc>
        <w:tc>
          <w:tcPr>
            <w:tcW w:w="2152" w:type="dxa"/>
          </w:tcPr>
          <w:p>
            <w:pPr>
              <w:pStyle w:val="TableParagraph"/>
              <w:spacing w:before="41"/>
              <w:ind w:left="7"/>
              <w:jc w:val="center"/>
              <w:rPr>
                <w:sz w:val="18"/>
              </w:rPr>
            </w:pPr>
            <w:r>
              <w:rPr>
                <w:sz w:val="18"/>
              </w:rPr>
              <w:t>—</w:t>
            </w:r>
          </w:p>
        </w:tc>
      </w:tr>
      <w:tr>
        <w:tblPrEx>
          <w:tblW w:w="0" w:type="auto"/>
          <w:jc w:val="left"/>
          <w:tblInd w:w="1075" w:type="dxa"/>
          <w:tblLayout w:type="fixed"/>
          <w:tblCellMar>
            <w:top w:w="0" w:type="dxa"/>
            <w:left w:w="0" w:type="dxa"/>
            <w:bottom w:w="0" w:type="dxa"/>
            <w:right w:w="0" w:type="dxa"/>
          </w:tblCellMar>
          <w:tblLook w:val="01E0"/>
        </w:tblPrEx>
        <w:trPr>
          <w:trHeight w:val="311"/>
          <w:jc w:val="left"/>
        </w:trPr>
        <w:tc>
          <w:tcPr>
            <w:tcW w:w="861" w:type="dxa"/>
          </w:tcPr>
          <w:p>
            <w:pPr>
              <w:pStyle w:val="TableParagraph"/>
              <w:spacing w:before="41"/>
              <w:ind w:left="229" w:right="221"/>
              <w:jc w:val="center"/>
              <w:rPr>
                <w:sz w:val="18"/>
              </w:rPr>
            </w:pPr>
            <w:r>
              <w:rPr>
                <w:sz w:val="18"/>
              </w:rPr>
              <w:t>十三</w:t>
            </w:r>
          </w:p>
        </w:tc>
        <w:tc>
          <w:tcPr>
            <w:tcW w:w="2508" w:type="dxa"/>
          </w:tcPr>
          <w:p>
            <w:pPr>
              <w:pStyle w:val="TableParagraph"/>
              <w:spacing w:before="41"/>
              <w:ind w:left="108"/>
              <w:rPr>
                <w:sz w:val="18"/>
              </w:rPr>
            </w:pPr>
            <w:r>
              <w:rPr>
                <w:sz w:val="18"/>
              </w:rPr>
              <w:t>排污设施</w:t>
            </w:r>
          </w:p>
        </w:tc>
        <w:tc>
          <w:tcPr>
            <w:tcW w:w="1984" w:type="dxa"/>
          </w:tcPr>
          <w:p>
            <w:pPr>
              <w:pStyle w:val="TableParagraph"/>
              <w:spacing w:before="41"/>
              <w:ind w:left="7"/>
              <w:jc w:val="center"/>
              <w:rPr>
                <w:sz w:val="18"/>
              </w:rPr>
            </w:pPr>
            <w:r>
              <w:rPr>
                <w:sz w:val="18"/>
              </w:rPr>
              <w:t>●</w:t>
            </w:r>
          </w:p>
        </w:tc>
        <w:tc>
          <w:tcPr>
            <w:tcW w:w="2017" w:type="dxa"/>
          </w:tcPr>
          <w:p>
            <w:pPr>
              <w:pStyle w:val="TableParagraph"/>
              <w:spacing w:before="41"/>
              <w:ind w:left="9"/>
              <w:jc w:val="center"/>
              <w:rPr>
                <w:sz w:val="18"/>
              </w:rPr>
            </w:pPr>
            <w:r>
              <w:rPr>
                <w:sz w:val="18"/>
              </w:rPr>
              <w:t>○</w:t>
            </w:r>
          </w:p>
        </w:tc>
        <w:tc>
          <w:tcPr>
            <w:tcW w:w="2152" w:type="dxa"/>
          </w:tcPr>
          <w:p>
            <w:pPr>
              <w:pStyle w:val="TableParagraph"/>
              <w:spacing w:before="41"/>
              <w:ind w:left="7"/>
              <w:jc w:val="center"/>
              <w:rPr>
                <w:sz w:val="18"/>
              </w:rPr>
            </w:pPr>
            <w:r>
              <w:rPr>
                <w:sz w:val="18"/>
              </w:rPr>
              <w:t>—</w:t>
            </w:r>
          </w:p>
        </w:tc>
      </w:tr>
      <w:tr>
        <w:tblPrEx>
          <w:tblW w:w="0" w:type="auto"/>
          <w:jc w:val="left"/>
          <w:tblInd w:w="1075" w:type="dxa"/>
          <w:tblLayout w:type="fixed"/>
          <w:tblCellMar>
            <w:top w:w="0" w:type="dxa"/>
            <w:left w:w="0" w:type="dxa"/>
            <w:bottom w:w="0" w:type="dxa"/>
            <w:right w:w="0" w:type="dxa"/>
          </w:tblCellMar>
          <w:tblLook w:val="01E0"/>
        </w:tblPrEx>
        <w:trPr>
          <w:trHeight w:val="312"/>
          <w:jc w:val="left"/>
        </w:trPr>
        <w:tc>
          <w:tcPr>
            <w:tcW w:w="861" w:type="dxa"/>
          </w:tcPr>
          <w:p>
            <w:pPr>
              <w:pStyle w:val="TableParagraph"/>
              <w:spacing w:before="41"/>
              <w:ind w:left="229" w:right="221"/>
              <w:jc w:val="center"/>
              <w:rPr>
                <w:sz w:val="18"/>
              </w:rPr>
            </w:pPr>
            <w:r>
              <w:rPr>
                <w:sz w:val="18"/>
              </w:rPr>
              <w:t>十四</w:t>
            </w:r>
          </w:p>
        </w:tc>
        <w:tc>
          <w:tcPr>
            <w:tcW w:w="2508" w:type="dxa"/>
          </w:tcPr>
          <w:p>
            <w:pPr>
              <w:pStyle w:val="TableParagraph"/>
              <w:spacing w:before="41"/>
              <w:ind w:left="108"/>
              <w:rPr>
                <w:sz w:val="18"/>
              </w:rPr>
            </w:pPr>
            <w:r>
              <w:rPr>
                <w:sz w:val="18"/>
              </w:rPr>
              <w:t>大型应急户外显示系统</w:t>
            </w:r>
          </w:p>
        </w:tc>
        <w:tc>
          <w:tcPr>
            <w:tcW w:w="1984" w:type="dxa"/>
          </w:tcPr>
          <w:p>
            <w:pPr>
              <w:pStyle w:val="TableParagraph"/>
              <w:spacing w:before="41"/>
              <w:ind w:left="7"/>
              <w:jc w:val="center"/>
              <w:rPr>
                <w:sz w:val="18"/>
              </w:rPr>
            </w:pPr>
            <w:r>
              <w:rPr>
                <w:sz w:val="18"/>
              </w:rPr>
              <w:t>●</w:t>
            </w:r>
          </w:p>
        </w:tc>
        <w:tc>
          <w:tcPr>
            <w:tcW w:w="2017" w:type="dxa"/>
          </w:tcPr>
          <w:p>
            <w:pPr>
              <w:pStyle w:val="TableParagraph"/>
              <w:spacing w:before="41"/>
              <w:ind w:left="9"/>
              <w:jc w:val="center"/>
              <w:rPr>
                <w:sz w:val="18"/>
              </w:rPr>
            </w:pPr>
            <w:r>
              <w:rPr>
                <w:sz w:val="18"/>
              </w:rPr>
              <w:t>—</w:t>
            </w:r>
          </w:p>
        </w:tc>
        <w:tc>
          <w:tcPr>
            <w:tcW w:w="2152" w:type="dxa"/>
          </w:tcPr>
          <w:p>
            <w:pPr>
              <w:pStyle w:val="TableParagraph"/>
              <w:spacing w:before="41"/>
              <w:ind w:left="7"/>
              <w:jc w:val="center"/>
              <w:rPr>
                <w:sz w:val="18"/>
              </w:rPr>
            </w:pPr>
            <w:r>
              <w:rPr>
                <w:sz w:val="18"/>
              </w:rPr>
              <w:t>—</w:t>
            </w:r>
          </w:p>
        </w:tc>
      </w:tr>
      <w:tr>
        <w:tblPrEx>
          <w:tblW w:w="0" w:type="auto"/>
          <w:jc w:val="left"/>
          <w:tblInd w:w="1075" w:type="dxa"/>
          <w:tblLayout w:type="fixed"/>
          <w:tblCellMar>
            <w:top w:w="0" w:type="dxa"/>
            <w:left w:w="0" w:type="dxa"/>
            <w:bottom w:w="0" w:type="dxa"/>
            <w:right w:w="0" w:type="dxa"/>
          </w:tblCellMar>
          <w:tblLook w:val="01E0"/>
        </w:tblPrEx>
        <w:trPr>
          <w:trHeight w:val="312"/>
          <w:jc w:val="left"/>
        </w:trPr>
        <w:tc>
          <w:tcPr>
            <w:tcW w:w="861" w:type="dxa"/>
          </w:tcPr>
          <w:p>
            <w:pPr>
              <w:pStyle w:val="TableParagraph"/>
              <w:spacing w:before="40"/>
              <w:ind w:left="229" w:right="221"/>
              <w:jc w:val="center"/>
              <w:rPr>
                <w:sz w:val="18"/>
              </w:rPr>
            </w:pPr>
            <w:r>
              <w:rPr>
                <w:sz w:val="18"/>
              </w:rPr>
              <w:t>十五</w:t>
            </w:r>
          </w:p>
        </w:tc>
        <w:tc>
          <w:tcPr>
            <w:tcW w:w="2508" w:type="dxa"/>
          </w:tcPr>
          <w:p>
            <w:pPr>
              <w:pStyle w:val="TableParagraph"/>
              <w:spacing w:before="40"/>
              <w:ind w:left="108"/>
              <w:rPr>
                <w:sz w:val="18"/>
              </w:rPr>
            </w:pPr>
            <w:r>
              <w:rPr>
                <w:sz w:val="18"/>
              </w:rPr>
              <w:t>应急通风设施</w:t>
            </w:r>
          </w:p>
        </w:tc>
        <w:tc>
          <w:tcPr>
            <w:tcW w:w="1984" w:type="dxa"/>
          </w:tcPr>
          <w:p>
            <w:pPr>
              <w:pStyle w:val="TableParagraph"/>
              <w:spacing w:before="40"/>
              <w:ind w:left="7"/>
              <w:jc w:val="center"/>
              <w:rPr>
                <w:sz w:val="18"/>
              </w:rPr>
            </w:pPr>
            <w:r>
              <w:rPr>
                <w:sz w:val="18"/>
              </w:rPr>
              <w:t>●</w:t>
            </w:r>
          </w:p>
        </w:tc>
        <w:tc>
          <w:tcPr>
            <w:tcW w:w="2017" w:type="dxa"/>
          </w:tcPr>
          <w:p>
            <w:pPr>
              <w:pStyle w:val="TableParagraph"/>
              <w:spacing w:before="40"/>
              <w:ind w:left="9"/>
              <w:jc w:val="center"/>
              <w:rPr>
                <w:sz w:val="18"/>
              </w:rPr>
            </w:pPr>
            <w:r>
              <w:rPr>
                <w:sz w:val="18"/>
              </w:rPr>
              <w:t>●</w:t>
            </w:r>
          </w:p>
        </w:tc>
        <w:tc>
          <w:tcPr>
            <w:tcW w:w="2152" w:type="dxa"/>
          </w:tcPr>
          <w:p>
            <w:pPr>
              <w:pStyle w:val="TableParagraph"/>
              <w:spacing w:before="40"/>
              <w:ind w:left="7"/>
              <w:jc w:val="center"/>
              <w:rPr>
                <w:sz w:val="18"/>
              </w:rPr>
            </w:pPr>
            <w:r>
              <w:rPr>
                <w:sz w:val="18"/>
              </w:rPr>
              <w:t>●</w:t>
            </w:r>
          </w:p>
        </w:tc>
      </w:tr>
      <w:tr>
        <w:tblPrEx>
          <w:tblW w:w="0" w:type="auto"/>
          <w:jc w:val="left"/>
          <w:tblInd w:w="1075" w:type="dxa"/>
          <w:tblLayout w:type="fixed"/>
          <w:tblCellMar>
            <w:top w:w="0" w:type="dxa"/>
            <w:left w:w="0" w:type="dxa"/>
            <w:bottom w:w="0" w:type="dxa"/>
            <w:right w:w="0" w:type="dxa"/>
          </w:tblCellMar>
          <w:tblLook w:val="01E0"/>
        </w:tblPrEx>
        <w:trPr>
          <w:trHeight w:val="311"/>
          <w:jc w:val="left"/>
        </w:trPr>
        <w:tc>
          <w:tcPr>
            <w:tcW w:w="9522" w:type="dxa"/>
            <w:gridSpan w:val="5"/>
          </w:tcPr>
          <w:p>
            <w:pPr>
              <w:pStyle w:val="TableParagraph"/>
              <w:spacing w:before="40"/>
              <w:ind w:left="108"/>
              <w:rPr>
                <w:sz w:val="18"/>
              </w:rPr>
            </w:pPr>
            <w:r>
              <w:rPr>
                <w:sz w:val="18"/>
              </w:rPr>
              <w:t>注：“●”表示应设或应优先采取；“○”表示宜设或宜采取；“—”表示可选设或选用。</w:t>
            </w:r>
          </w:p>
        </w:tc>
      </w:tr>
    </w:tbl>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rPr>
          <w:rFonts w:ascii="黑体"/>
          <w:sz w:val="20"/>
        </w:rPr>
      </w:pPr>
    </w:p>
    <w:p>
      <w:pPr>
        <w:pStyle w:val="BodyText"/>
        <w:spacing w:before="4"/>
        <w:rPr>
          <w:rFonts w:ascii="黑体"/>
          <w:sz w:val="18"/>
        </w:rPr>
      </w:pPr>
    </w:p>
    <w:tbl>
      <w:tblPr>
        <w:tblStyle w:val="TableNormal2"/>
        <w:tblW w:w="0" w:type="auto"/>
        <w:jc w:val="left"/>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26"/>
        <w:gridCol w:w="999"/>
        <w:gridCol w:w="782"/>
        <w:gridCol w:w="2042"/>
        <w:gridCol w:w="1701"/>
        <w:gridCol w:w="1701"/>
        <w:gridCol w:w="1708"/>
      </w:tblGrid>
      <w:tr>
        <w:tblPrEx>
          <w:tblW w:w="0" w:type="auto"/>
          <w:jc w:val="left"/>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526" w:type="dxa"/>
            <w:vMerge w:val="restart"/>
          </w:tcPr>
          <w:p>
            <w:pPr>
              <w:pStyle w:val="TableParagraph"/>
              <w:spacing w:before="41" w:line="324" w:lineRule="auto"/>
              <w:ind w:left="172" w:right="161"/>
              <w:jc w:val="both"/>
              <w:rPr>
                <w:b/>
                <w:sz w:val="18"/>
              </w:rPr>
            </w:pPr>
            <w:r>
              <w:rPr>
                <w:b/>
                <w:sz w:val="18"/>
              </w:rPr>
              <w:t>大类序</w:t>
            </w:r>
          </w:p>
          <w:p>
            <w:pPr>
              <w:pStyle w:val="TableParagraph"/>
              <w:spacing w:before="2"/>
              <w:ind w:left="172"/>
              <w:rPr>
                <w:b/>
                <w:sz w:val="18"/>
              </w:rPr>
            </w:pPr>
            <w:r>
              <w:rPr>
                <w:b/>
                <w:w w:val="99"/>
                <w:sz w:val="18"/>
              </w:rPr>
              <w:t>号</w:t>
            </w:r>
          </w:p>
        </w:tc>
        <w:tc>
          <w:tcPr>
            <w:tcW w:w="999" w:type="dxa"/>
            <w:vMerge w:val="restart"/>
          </w:tcPr>
          <w:p>
            <w:pPr>
              <w:pStyle w:val="TableParagraph"/>
              <w:rPr>
                <w:rFonts w:ascii="黑体"/>
                <w:sz w:val="18"/>
              </w:rPr>
            </w:pPr>
          </w:p>
          <w:p>
            <w:pPr>
              <w:pStyle w:val="TableParagraph"/>
              <w:spacing w:before="9"/>
              <w:rPr>
                <w:rFonts w:ascii="黑体"/>
                <w:sz w:val="21"/>
              </w:rPr>
            </w:pPr>
          </w:p>
          <w:p>
            <w:pPr>
              <w:pStyle w:val="TableParagraph"/>
              <w:spacing w:before="1"/>
              <w:ind w:left="138"/>
              <w:rPr>
                <w:b/>
                <w:sz w:val="18"/>
              </w:rPr>
            </w:pPr>
            <w:bookmarkStart w:id="53" w:name="5.2　设置要求"/>
            <w:bookmarkEnd w:id="53"/>
            <w:bookmarkStart w:id="54" w:name="5.2.1　生命线系统设施配置"/>
            <w:bookmarkEnd w:id="54"/>
            <w:bookmarkStart w:id="55" w:name="各项生命线系统设施配置应满足表4要求。"/>
            <w:bookmarkEnd w:id="55"/>
            <w:r>
              <w:rPr>
                <w:b/>
                <w:sz w:val="18"/>
              </w:rPr>
              <w:t>功能项目</w:t>
            </w:r>
          </w:p>
        </w:tc>
        <w:tc>
          <w:tcPr>
            <w:tcW w:w="782" w:type="dxa"/>
            <w:vMerge w:val="restart"/>
          </w:tcPr>
          <w:p>
            <w:pPr>
              <w:pStyle w:val="TableParagraph"/>
              <w:rPr>
                <w:rFonts w:ascii="黑体"/>
                <w:sz w:val="18"/>
              </w:rPr>
            </w:pPr>
          </w:p>
          <w:p>
            <w:pPr>
              <w:pStyle w:val="TableParagraph"/>
              <w:spacing w:before="123" w:line="324" w:lineRule="auto"/>
              <w:ind w:left="301" w:right="106" w:hanging="180"/>
              <w:rPr>
                <w:b/>
                <w:sz w:val="18"/>
              </w:rPr>
            </w:pPr>
            <w:r>
              <w:rPr>
                <w:b/>
                <w:sz w:val="18"/>
              </w:rPr>
              <w:t>小项序号</w:t>
            </w:r>
          </w:p>
        </w:tc>
        <w:tc>
          <w:tcPr>
            <w:tcW w:w="2042" w:type="dxa"/>
            <w:vMerge w:val="restart"/>
          </w:tcPr>
          <w:p>
            <w:pPr>
              <w:pStyle w:val="TableParagraph"/>
              <w:rPr>
                <w:rFonts w:ascii="黑体"/>
                <w:sz w:val="18"/>
              </w:rPr>
            </w:pPr>
          </w:p>
          <w:p>
            <w:pPr>
              <w:pStyle w:val="TableParagraph"/>
              <w:spacing w:before="9"/>
              <w:rPr>
                <w:rFonts w:ascii="黑体"/>
                <w:sz w:val="21"/>
              </w:rPr>
            </w:pPr>
          </w:p>
          <w:p>
            <w:pPr>
              <w:pStyle w:val="TableParagraph"/>
              <w:spacing w:before="1"/>
              <w:ind w:left="659"/>
              <w:rPr>
                <w:b/>
                <w:sz w:val="18"/>
              </w:rPr>
            </w:pPr>
            <w:r>
              <w:rPr>
                <w:b/>
                <w:sz w:val="18"/>
              </w:rPr>
              <w:t>配套设施</w:t>
            </w:r>
          </w:p>
        </w:tc>
        <w:tc>
          <w:tcPr>
            <w:tcW w:w="5110" w:type="dxa"/>
            <w:gridSpan w:val="3"/>
          </w:tcPr>
          <w:p>
            <w:pPr>
              <w:pStyle w:val="TableParagraph"/>
              <w:spacing w:before="41"/>
              <w:ind w:left="2173" w:right="2164"/>
              <w:jc w:val="center"/>
              <w:rPr>
                <w:b/>
                <w:sz w:val="18"/>
              </w:rPr>
            </w:pPr>
            <w:r>
              <w:rPr>
                <w:b/>
                <w:sz w:val="18"/>
              </w:rPr>
              <w:t>适配场所</w:t>
            </w:r>
          </w:p>
        </w:tc>
      </w:tr>
      <w:tr>
        <w:tblPrEx>
          <w:tblW w:w="0" w:type="auto"/>
          <w:jc w:val="left"/>
          <w:tblInd w:w="1075" w:type="dxa"/>
          <w:tblLayout w:type="fixed"/>
          <w:tblCellMar>
            <w:top w:w="0" w:type="dxa"/>
            <w:left w:w="0" w:type="dxa"/>
            <w:bottom w:w="0" w:type="dxa"/>
            <w:right w:w="0" w:type="dxa"/>
          </w:tblCellMar>
          <w:tblLook w:val="01E0"/>
        </w:tblPrEx>
        <w:trPr>
          <w:trHeight w:val="926"/>
          <w:jc w:val="left"/>
        </w:trPr>
        <w:tc>
          <w:tcPr>
            <w:tcW w:w="526" w:type="dxa"/>
            <w:vMerge/>
            <w:tcBorders>
              <w:top w:val="nil"/>
            </w:tcBorders>
          </w:tcPr>
          <w:p>
            <w:pPr>
              <w:rPr>
                <w:sz w:val="2"/>
                <w:szCs w:val="2"/>
              </w:rPr>
            </w:pPr>
          </w:p>
        </w:tc>
        <w:tc>
          <w:tcPr>
            <w:tcW w:w="999" w:type="dxa"/>
            <w:vMerge/>
            <w:tcBorders>
              <w:top w:val="nil"/>
            </w:tcBorders>
          </w:tcPr>
          <w:p>
            <w:pPr>
              <w:rPr>
                <w:sz w:val="2"/>
                <w:szCs w:val="2"/>
              </w:rPr>
            </w:pPr>
          </w:p>
        </w:tc>
        <w:tc>
          <w:tcPr>
            <w:tcW w:w="782" w:type="dxa"/>
            <w:vMerge/>
            <w:tcBorders>
              <w:top w:val="nil"/>
            </w:tcBorders>
          </w:tcPr>
          <w:p>
            <w:pPr>
              <w:rPr>
                <w:sz w:val="2"/>
                <w:szCs w:val="2"/>
              </w:rPr>
            </w:pPr>
          </w:p>
        </w:tc>
        <w:tc>
          <w:tcPr>
            <w:tcW w:w="2042" w:type="dxa"/>
            <w:vMerge/>
            <w:tcBorders>
              <w:top w:val="nil"/>
            </w:tcBorders>
          </w:tcPr>
          <w:p>
            <w:pPr>
              <w:rPr>
                <w:sz w:val="2"/>
                <w:szCs w:val="2"/>
              </w:rPr>
            </w:pPr>
          </w:p>
        </w:tc>
        <w:tc>
          <w:tcPr>
            <w:tcW w:w="1701" w:type="dxa"/>
          </w:tcPr>
          <w:p>
            <w:pPr>
              <w:pStyle w:val="TableParagraph"/>
              <w:rPr>
                <w:rFonts w:ascii="黑体"/>
                <w:sz w:val="18"/>
              </w:rPr>
            </w:pPr>
          </w:p>
          <w:p>
            <w:pPr>
              <w:pStyle w:val="TableParagraph"/>
              <w:spacing w:before="117"/>
              <w:ind w:left="107" w:right="95"/>
              <w:jc w:val="center"/>
              <w:rPr>
                <w:b/>
                <w:sz w:val="18"/>
              </w:rPr>
            </w:pPr>
            <w:r>
              <w:rPr>
                <w:b/>
                <w:sz w:val="18"/>
              </w:rPr>
              <w:t>中心应急避护场所</w:t>
            </w:r>
          </w:p>
        </w:tc>
        <w:tc>
          <w:tcPr>
            <w:tcW w:w="1701" w:type="dxa"/>
          </w:tcPr>
          <w:p>
            <w:pPr>
              <w:pStyle w:val="TableParagraph"/>
              <w:rPr>
                <w:rFonts w:ascii="黑体"/>
                <w:sz w:val="18"/>
              </w:rPr>
            </w:pPr>
          </w:p>
          <w:p>
            <w:pPr>
              <w:pStyle w:val="TableParagraph"/>
              <w:spacing w:before="117"/>
              <w:ind w:left="108" w:right="94"/>
              <w:jc w:val="center"/>
              <w:rPr>
                <w:b/>
                <w:sz w:val="18"/>
              </w:rPr>
            </w:pPr>
            <w:r>
              <w:rPr>
                <w:b/>
                <w:sz w:val="18"/>
              </w:rPr>
              <w:t>固定应急避护场所</w:t>
            </w:r>
          </w:p>
        </w:tc>
        <w:tc>
          <w:tcPr>
            <w:tcW w:w="1708" w:type="dxa"/>
          </w:tcPr>
          <w:p>
            <w:pPr>
              <w:pStyle w:val="TableParagraph"/>
              <w:rPr>
                <w:rFonts w:ascii="黑体"/>
                <w:sz w:val="18"/>
              </w:rPr>
            </w:pPr>
          </w:p>
          <w:p>
            <w:pPr>
              <w:pStyle w:val="TableParagraph"/>
              <w:spacing w:before="117"/>
              <w:ind w:left="112" w:right="99"/>
              <w:jc w:val="center"/>
              <w:rPr>
                <w:b/>
                <w:sz w:val="18"/>
              </w:rPr>
            </w:pPr>
            <w:r>
              <w:rPr>
                <w:b/>
                <w:sz w:val="18"/>
              </w:rPr>
              <w:t>紧急应急避护场所</w:t>
            </w:r>
          </w:p>
        </w:tc>
      </w:tr>
      <w:tr>
        <w:tblPrEx>
          <w:tblW w:w="0" w:type="auto"/>
          <w:jc w:val="left"/>
          <w:tblInd w:w="1075" w:type="dxa"/>
          <w:tblLayout w:type="fixed"/>
          <w:tblCellMar>
            <w:top w:w="0" w:type="dxa"/>
            <w:left w:w="0" w:type="dxa"/>
            <w:bottom w:w="0" w:type="dxa"/>
            <w:right w:w="0" w:type="dxa"/>
          </w:tblCellMar>
          <w:tblLook w:val="01E0"/>
        </w:tblPrEx>
        <w:trPr>
          <w:trHeight w:val="311"/>
          <w:jc w:val="left"/>
        </w:trPr>
        <w:tc>
          <w:tcPr>
            <w:tcW w:w="526" w:type="dxa"/>
            <w:vMerge w:val="restart"/>
          </w:tcPr>
          <w:p>
            <w:pPr>
              <w:pStyle w:val="TableParagraph"/>
              <w:spacing w:before="9"/>
              <w:rPr>
                <w:rFonts w:ascii="黑体"/>
                <w:sz w:val="15"/>
              </w:rPr>
            </w:pPr>
          </w:p>
          <w:p>
            <w:pPr>
              <w:pStyle w:val="TableParagraph"/>
              <w:spacing w:before="1"/>
              <w:ind w:left="172"/>
              <w:rPr>
                <w:sz w:val="18"/>
              </w:rPr>
            </w:pPr>
            <w:r>
              <w:rPr>
                <w:sz w:val="18"/>
              </w:rPr>
              <w:t>一</w:t>
            </w:r>
          </w:p>
        </w:tc>
        <w:tc>
          <w:tcPr>
            <w:tcW w:w="999" w:type="dxa"/>
            <w:vMerge w:val="restart"/>
          </w:tcPr>
          <w:p>
            <w:pPr>
              <w:pStyle w:val="TableParagraph"/>
              <w:spacing w:before="9"/>
              <w:rPr>
                <w:rFonts w:ascii="黑体"/>
                <w:sz w:val="15"/>
              </w:rPr>
            </w:pPr>
          </w:p>
          <w:p>
            <w:pPr>
              <w:pStyle w:val="TableParagraph"/>
              <w:spacing w:before="1"/>
              <w:ind w:left="107"/>
              <w:rPr>
                <w:sz w:val="18"/>
              </w:rPr>
            </w:pPr>
            <w:r>
              <w:rPr>
                <w:sz w:val="18"/>
              </w:rPr>
              <w:t>应急指挥</w:t>
            </w:r>
          </w:p>
        </w:tc>
        <w:tc>
          <w:tcPr>
            <w:tcW w:w="782" w:type="dxa"/>
          </w:tcPr>
          <w:p>
            <w:pPr>
              <w:pStyle w:val="TableParagraph"/>
              <w:spacing w:before="41"/>
              <w:ind w:right="335"/>
              <w:jc w:val="right"/>
              <w:rPr>
                <w:sz w:val="18"/>
              </w:rPr>
            </w:pPr>
            <w:r>
              <w:rPr>
                <w:sz w:val="18"/>
              </w:rPr>
              <w:t>1</w:t>
            </w:r>
          </w:p>
        </w:tc>
        <w:tc>
          <w:tcPr>
            <w:tcW w:w="2042" w:type="dxa"/>
          </w:tcPr>
          <w:p>
            <w:pPr>
              <w:pStyle w:val="TableParagraph"/>
              <w:spacing w:before="41"/>
              <w:ind w:left="107"/>
              <w:rPr>
                <w:sz w:val="18"/>
              </w:rPr>
            </w:pPr>
            <w:r>
              <w:rPr>
                <w:sz w:val="18"/>
              </w:rPr>
              <w:t>指挥场所</w:t>
            </w:r>
          </w:p>
        </w:tc>
        <w:tc>
          <w:tcPr>
            <w:tcW w:w="1701" w:type="dxa"/>
          </w:tcPr>
          <w:p>
            <w:pPr>
              <w:pStyle w:val="TableParagraph"/>
              <w:spacing w:before="41"/>
              <w:ind w:left="10"/>
              <w:jc w:val="center"/>
              <w:rPr>
                <w:sz w:val="18"/>
              </w:rPr>
            </w:pPr>
            <w:r>
              <w:rPr>
                <w:sz w:val="18"/>
              </w:rPr>
              <w:t>●</w:t>
            </w:r>
          </w:p>
        </w:tc>
        <w:tc>
          <w:tcPr>
            <w:tcW w:w="1701" w:type="dxa"/>
          </w:tcPr>
          <w:p>
            <w:pPr>
              <w:pStyle w:val="TableParagraph"/>
              <w:spacing w:before="41"/>
              <w:ind w:left="6"/>
              <w:jc w:val="center"/>
              <w:rPr>
                <w:sz w:val="18"/>
              </w:rPr>
            </w:pPr>
            <w:r>
              <w:rPr>
                <w:sz w:val="18"/>
              </w:rPr>
              <w:t>●</w:t>
            </w:r>
          </w:p>
        </w:tc>
        <w:tc>
          <w:tcPr>
            <w:tcW w:w="1708" w:type="dxa"/>
          </w:tcPr>
          <w:p>
            <w:pPr>
              <w:pStyle w:val="TableParagraph"/>
              <w:spacing w:before="41"/>
              <w:ind w:left="10"/>
              <w:jc w:val="center"/>
              <w:rPr>
                <w:sz w:val="18"/>
              </w:rPr>
            </w:pPr>
            <w:r>
              <w:rPr>
                <w:sz w:val="18"/>
              </w:rPr>
              <w:t>○</w:t>
            </w:r>
          </w:p>
        </w:tc>
      </w:tr>
      <w:tr>
        <w:tblPrEx>
          <w:tblW w:w="0" w:type="auto"/>
          <w:jc w:val="left"/>
          <w:tblInd w:w="1075" w:type="dxa"/>
          <w:tblLayout w:type="fixed"/>
          <w:tblCellMar>
            <w:top w:w="0" w:type="dxa"/>
            <w:left w:w="0" w:type="dxa"/>
            <w:bottom w:w="0" w:type="dxa"/>
            <w:right w:w="0" w:type="dxa"/>
          </w:tblCellMar>
          <w:tblLook w:val="01E0"/>
        </w:tblPrEx>
        <w:trPr>
          <w:trHeight w:val="312"/>
          <w:jc w:val="left"/>
        </w:trPr>
        <w:tc>
          <w:tcPr>
            <w:tcW w:w="526" w:type="dxa"/>
            <w:vMerge/>
            <w:tcBorders>
              <w:top w:val="nil"/>
            </w:tcBorders>
          </w:tcPr>
          <w:p>
            <w:pPr>
              <w:rPr>
                <w:sz w:val="2"/>
                <w:szCs w:val="2"/>
              </w:rPr>
            </w:pPr>
          </w:p>
        </w:tc>
        <w:tc>
          <w:tcPr>
            <w:tcW w:w="999" w:type="dxa"/>
            <w:vMerge/>
            <w:tcBorders>
              <w:top w:val="nil"/>
            </w:tcBorders>
          </w:tcPr>
          <w:p>
            <w:pPr>
              <w:rPr>
                <w:sz w:val="2"/>
                <w:szCs w:val="2"/>
              </w:rPr>
            </w:pPr>
          </w:p>
        </w:tc>
        <w:tc>
          <w:tcPr>
            <w:tcW w:w="782" w:type="dxa"/>
          </w:tcPr>
          <w:p>
            <w:pPr>
              <w:pStyle w:val="TableParagraph"/>
              <w:spacing w:before="40"/>
              <w:ind w:right="335"/>
              <w:jc w:val="right"/>
              <w:rPr>
                <w:sz w:val="18"/>
              </w:rPr>
            </w:pPr>
            <w:r>
              <w:rPr>
                <w:sz w:val="18"/>
              </w:rPr>
              <w:t>2</w:t>
            </w:r>
          </w:p>
        </w:tc>
        <w:tc>
          <w:tcPr>
            <w:tcW w:w="2042" w:type="dxa"/>
          </w:tcPr>
          <w:p>
            <w:pPr>
              <w:pStyle w:val="TableParagraph"/>
              <w:spacing w:before="40"/>
              <w:ind w:left="107"/>
              <w:rPr>
                <w:sz w:val="18"/>
              </w:rPr>
            </w:pPr>
            <w:r>
              <w:rPr>
                <w:sz w:val="18"/>
              </w:rPr>
              <w:t>场所管理区</w:t>
            </w:r>
          </w:p>
        </w:tc>
        <w:tc>
          <w:tcPr>
            <w:tcW w:w="1701" w:type="dxa"/>
          </w:tcPr>
          <w:p>
            <w:pPr>
              <w:pStyle w:val="TableParagraph"/>
              <w:spacing w:before="40"/>
              <w:ind w:left="10"/>
              <w:jc w:val="center"/>
              <w:rPr>
                <w:sz w:val="18"/>
              </w:rPr>
            </w:pPr>
            <w:r>
              <w:rPr>
                <w:sz w:val="18"/>
              </w:rPr>
              <w:t>●</w:t>
            </w:r>
          </w:p>
        </w:tc>
        <w:tc>
          <w:tcPr>
            <w:tcW w:w="1701" w:type="dxa"/>
          </w:tcPr>
          <w:p>
            <w:pPr>
              <w:pStyle w:val="TableParagraph"/>
              <w:spacing w:before="40"/>
              <w:ind w:left="6"/>
              <w:jc w:val="center"/>
              <w:rPr>
                <w:sz w:val="18"/>
              </w:rPr>
            </w:pPr>
            <w:r>
              <w:rPr>
                <w:sz w:val="18"/>
              </w:rPr>
              <w:t>●</w:t>
            </w:r>
          </w:p>
        </w:tc>
        <w:tc>
          <w:tcPr>
            <w:tcW w:w="1708" w:type="dxa"/>
          </w:tcPr>
          <w:p>
            <w:pPr>
              <w:pStyle w:val="TableParagraph"/>
              <w:spacing w:before="40"/>
              <w:ind w:left="10"/>
              <w:jc w:val="center"/>
              <w:rPr>
                <w:sz w:val="18"/>
              </w:rPr>
            </w:pPr>
            <w:r>
              <w:rPr>
                <w:sz w:val="18"/>
              </w:rPr>
              <w:t>●</w:t>
            </w:r>
          </w:p>
        </w:tc>
      </w:tr>
      <w:tr>
        <w:tblPrEx>
          <w:tblW w:w="0" w:type="auto"/>
          <w:jc w:val="left"/>
          <w:tblInd w:w="1075" w:type="dxa"/>
          <w:tblLayout w:type="fixed"/>
          <w:tblCellMar>
            <w:top w:w="0" w:type="dxa"/>
            <w:left w:w="0" w:type="dxa"/>
            <w:bottom w:w="0" w:type="dxa"/>
            <w:right w:w="0" w:type="dxa"/>
          </w:tblCellMar>
          <w:tblLook w:val="01E0"/>
        </w:tblPrEx>
        <w:trPr>
          <w:trHeight w:val="312"/>
          <w:jc w:val="left"/>
        </w:trPr>
        <w:tc>
          <w:tcPr>
            <w:tcW w:w="526" w:type="dxa"/>
            <w:vMerge w:val="restart"/>
          </w:tcPr>
          <w:p>
            <w:pPr>
              <w:pStyle w:val="TableParagraph"/>
              <w:rPr>
                <w:rFonts w:ascii="黑体"/>
                <w:sz w:val="18"/>
              </w:rPr>
            </w:pPr>
          </w:p>
          <w:p>
            <w:pPr>
              <w:pStyle w:val="TableParagraph"/>
              <w:spacing w:before="131"/>
              <w:ind w:left="172"/>
              <w:rPr>
                <w:sz w:val="18"/>
              </w:rPr>
            </w:pPr>
            <w:r>
              <w:rPr>
                <w:sz w:val="18"/>
              </w:rPr>
              <w:t>二</w:t>
            </w:r>
          </w:p>
        </w:tc>
        <w:tc>
          <w:tcPr>
            <w:tcW w:w="999" w:type="dxa"/>
            <w:vMerge w:val="restart"/>
          </w:tcPr>
          <w:p>
            <w:pPr>
              <w:pStyle w:val="TableParagraph"/>
              <w:rPr>
                <w:rFonts w:ascii="黑体"/>
                <w:sz w:val="18"/>
              </w:rPr>
            </w:pPr>
          </w:p>
          <w:p>
            <w:pPr>
              <w:pStyle w:val="TableParagraph"/>
              <w:spacing w:before="131"/>
              <w:ind w:left="107"/>
              <w:rPr>
                <w:sz w:val="18"/>
              </w:rPr>
            </w:pPr>
            <w:r>
              <w:rPr>
                <w:sz w:val="18"/>
              </w:rPr>
              <w:t>应急宿住</w:t>
            </w:r>
          </w:p>
        </w:tc>
        <w:tc>
          <w:tcPr>
            <w:tcW w:w="782" w:type="dxa"/>
          </w:tcPr>
          <w:p>
            <w:pPr>
              <w:pStyle w:val="TableParagraph"/>
              <w:spacing w:before="40"/>
              <w:ind w:right="335"/>
              <w:jc w:val="right"/>
              <w:rPr>
                <w:sz w:val="18"/>
              </w:rPr>
            </w:pPr>
            <w:r>
              <w:rPr>
                <w:sz w:val="18"/>
              </w:rPr>
              <w:t>3</w:t>
            </w:r>
          </w:p>
        </w:tc>
        <w:tc>
          <w:tcPr>
            <w:tcW w:w="2042" w:type="dxa"/>
          </w:tcPr>
          <w:p>
            <w:pPr>
              <w:pStyle w:val="TableParagraph"/>
              <w:spacing w:before="40"/>
              <w:ind w:left="107"/>
              <w:rPr>
                <w:sz w:val="18"/>
              </w:rPr>
            </w:pPr>
            <w:r>
              <w:rPr>
                <w:sz w:val="18"/>
              </w:rPr>
              <w:t>室内住宿区</w:t>
            </w:r>
          </w:p>
        </w:tc>
        <w:tc>
          <w:tcPr>
            <w:tcW w:w="1701" w:type="dxa"/>
          </w:tcPr>
          <w:p>
            <w:pPr>
              <w:pStyle w:val="TableParagraph"/>
              <w:spacing w:before="40"/>
              <w:ind w:left="10"/>
              <w:jc w:val="center"/>
              <w:rPr>
                <w:sz w:val="18"/>
              </w:rPr>
            </w:pPr>
            <w:r>
              <w:rPr>
                <w:sz w:val="18"/>
              </w:rPr>
              <w:t>●</w:t>
            </w:r>
          </w:p>
        </w:tc>
        <w:tc>
          <w:tcPr>
            <w:tcW w:w="1701" w:type="dxa"/>
          </w:tcPr>
          <w:p>
            <w:pPr>
              <w:pStyle w:val="TableParagraph"/>
              <w:spacing w:before="40"/>
              <w:ind w:left="6"/>
              <w:jc w:val="center"/>
              <w:rPr>
                <w:sz w:val="18"/>
              </w:rPr>
            </w:pPr>
            <w:r>
              <w:rPr>
                <w:sz w:val="18"/>
              </w:rPr>
              <w:t>○</w:t>
            </w:r>
          </w:p>
        </w:tc>
        <w:tc>
          <w:tcPr>
            <w:tcW w:w="1708" w:type="dxa"/>
          </w:tcPr>
          <w:p>
            <w:pPr>
              <w:pStyle w:val="TableParagraph"/>
              <w:spacing w:before="40"/>
              <w:ind w:left="10"/>
              <w:jc w:val="center"/>
              <w:rPr>
                <w:sz w:val="18"/>
              </w:rPr>
            </w:pPr>
            <w:r>
              <w:rPr>
                <w:sz w:val="18"/>
              </w:rPr>
              <w:t>—</w:t>
            </w:r>
          </w:p>
        </w:tc>
      </w:tr>
      <w:tr>
        <w:tblPrEx>
          <w:tblW w:w="0" w:type="auto"/>
          <w:jc w:val="left"/>
          <w:tblInd w:w="1075" w:type="dxa"/>
          <w:tblLayout w:type="fixed"/>
          <w:tblCellMar>
            <w:top w:w="0" w:type="dxa"/>
            <w:left w:w="0" w:type="dxa"/>
            <w:bottom w:w="0" w:type="dxa"/>
            <w:right w:w="0" w:type="dxa"/>
          </w:tblCellMar>
          <w:tblLook w:val="01E0"/>
        </w:tblPrEx>
        <w:trPr>
          <w:trHeight w:val="312"/>
          <w:jc w:val="left"/>
        </w:trPr>
        <w:tc>
          <w:tcPr>
            <w:tcW w:w="526" w:type="dxa"/>
            <w:vMerge/>
            <w:tcBorders>
              <w:top w:val="nil"/>
            </w:tcBorders>
          </w:tcPr>
          <w:p>
            <w:pPr>
              <w:rPr>
                <w:sz w:val="2"/>
                <w:szCs w:val="2"/>
              </w:rPr>
            </w:pPr>
          </w:p>
        </w:tc>
        <w:tc>
          <w:tcPr>
            <w:tcW w:w="999" w:type="dxa"/>
            <w:vMerge/>
            <w:tcBorders>
              <w:top w:val="nil"/>
            </w:tcBorders>
          </w:tcPr>
          <w:p>
            <w:pPr>
              <w:rPr>
                <w:sz w:val="2"/>
                <w:szCs w:val="2"/>
              </w:rPr>
            </w:pPr>
          </w:p>
        </w:tc>
        <w:tc>
          <w:tcPr>
            <w:tcW w:w="782" w:type="dxa"/>
          </w:tcPr>
          <w:p>
            <w:pPr>
              <w:pStyle w:val="TableParagraph"/>
              <w:spacing w:before="40"/>
              <w:ind w:right="335"/>
              <w:jc w:val="right"/>
              <w:rPr>
                <w:sz w:val="18"/>
              </w:rPr>
            </w:pPr>
            <w:r>
              <w:rPr>
                <w:sz w:val="18"/>
              </w:rPr>
              <w:t>4</w:t>
            </w:r>
          </w:p>
        </w:tc>
        <w:tc>
          <w:tcPr>
            <w:tcW w:w="2042" w:type="dxa"/>
          </w:tcPr>
          <w:p>
            <w:pPr>
              <w:pStyle w:val="TableParagraph"/>
              <w:spacing w:before="40"/>
              <w:ind w:left="107"/>
              <w:rPr>
                <w:sz w:val="18"/>
              </w:rPr>
            </w:pPr>
            <w:r>
              <w:rPr>
                <w:sz w:val="18"/>
              </w:rPr>
              <w:t>室外棚宿区</w:t>
            </w:r>
          </w:p>
        </w:tc>
        <w:tc>
          <w:tcPr>
            <w:tcW w:w="1701" w:type="dxa"/>
          </w:tcPr>
          <w:p>
            <w:pPr>
              <w:pStyle w:val="TableParagraph"/>
              <w:spacing w:before="40"/>
              <w:ind w:left="10"/>
              <w:jc w:val="center"/>
              <w:rPr>
                <w:sz w:val="18"/>
              </w:rPr>
            </w:pPr>
            <w:r>
              <w:rPr>
                <w:sz w:val="18"/>
              </w:rPr>
              <w:t>●</w:t>
            </w:r>
          </w:p>
        </w:tc>
        <w:tc>
          <w:tcPr>
            <w:tcW w:w="1701" w:type="dxa"/>
          </w:tcPr>
          <w:p>
            <w:pPr>
              <w:pStyle w:val="TableParagraph"/>
              <w:spacing w:before="40"/>
              <w:ind w:left="6"/>
              <w:jc w:val="center"/>
              <w:rPr>
                <w:sz w:val="18"/>
              </w:rPr>
            </w:pPr>
            <w:r>
              <w:rPr>
                <w:sz w:val="18"/>
              </w:rPr>
              <w:t>●</w:t>
            </w:r>
          </w:p>
        </w:tc>
        <w:tc>
          <w:tcPr>
            <w:tcW w:w="1708" w:type="dxa"/>
          </w:tcPr>
          <w:p>
            <w:pPr>
              <w:pStyle w:val="TableParagraph"/>
              <w:spacing w:before="40"/>
              <w:ind w:left="10"/>
              <w:jc w:val="center"/>
              <w:rPr>
                <w:sz w:val="18"/>
              </w:rPr>
            </w:pPr>
            <w:r>
              <w:rPr>
                <w:sz w:val="18"/>
              </w:rPr>
              <w:t>●</w:t>
            </w:r>
          </w:p>
        </w:tc>
      </w:tr>
      <w:tr>
        <w:tblPrEx>
          <w:tblW w:w="0" w:type="auto"/>
          <w:jc w:val="left"/>
          <w:tblInd w:w="1075" w:type="dxa"/>
          <w:tblLayout w:type="fixed"/>
          <w:tblCellMar>
            <w:top w:w="0" w:type="dxa"/>
            <w:left w:w="0" w:type="dxa"/>
            <w:bottom w:w="0" w:type="dxa"/>
            <w:right w:w="0" w:type="dxa"/>
          </w:tblCellMar>
          <w:tblLook w:val="01E0"/>
        </w:tblPrEx>
        <w:trPr>
          <w:trHeight w:val="312"/>
          <w:jc w:val="left"/>
        </w:trPr>
        <w:tc>
          <w:tcPr>
            <w:tcW w:w="526" w:type="dxa"/>
            <w:vMerge/>
            <w:tcBorders>
              <w:top w:val="nil"/>
            </w:tcBorders>
          </w:tcPr>
          <w:p>
            <w:pPr>
              <w:rPr>
                <w:sz w:val="2"/>
                <w:szCs w:val="2"/>
              </w:rPr>
            </w:pPr>
          </w:p>
        </w:tc>
        <w:tc>
          <w:tcPr>
            <w:tcW w:w="999" w:type="dxa"/>
            <w:vMerge/>
            <w:tcBorders>
              <w:top w:val="nil"/>
            </w:tcBorders>
          </w:tcPr>
          <w:p>
            <w:pPr>
              <w:rPr>
                <w:sz w:val="2"/>
                <w:szCs w:val="2"/>
              </w:rPr>
            </w:pPr>
          </w:p>
        </w:tc>
        <w:tc>
          <w:tcPr>
            <w:tcW w:w="782" w:type="dxa"/>
          </w:tcPr>
          <w:p>
            <w:pPr>
              <w:pStyle w:val="TableParagraph"/>
              <w:spacing w:before="42"/>
              <w:ind w:right="335"/>
              <w:jc w:val="right"/>
              <w:rPr>
                <w:sz w:val="18"/>
              </w:rPr>
            </w:pPr>
            <w:r>
              <w:rPr>
                <w:sz w:val="18"/>
              </w:rPr>
              <w:t>5</w:t>
            </w:r>
          </w:p>
        </w:tc>
        <w:tc>
          <w:tcPr>
            <w:tcW w:w="2042" w:type="dxa"/>
          </w:tcPr>
          <w:p>
            <w:pPr>
              <w:pStyle w:val="TableParagraph"/>
              <w:spacing w:before="42"/>
              <w:ind w:left="107"/>
              <w:rPr>
                <w:sz w:val="18"/>
              </w:rPr>
            </w:pPr>
            <w:r>
              <w:rPr>
                <w:sz w:val="18"/>
              </w:rPr>
              <w:t>公共活动区（休息区）</w:t>
            </w:r>
          </w:p>
        </w:tc>
        <w:tc>
          <w:tcPr>
            <w:tcW w:w="1701" w:type="dxa"/>
          </w:tcPr>
          <w:p>
            <w:pPr>
              <w:pStyle w:val="TableParagraph"/>
              <w:spacing w:before="42"/>
              <w:ind w:left="10"/>
              <w:jc w:val="center"/>
              <w:rPr>
                <w:sz w:val="18"/>
              </w:rPr>
            </w:pPr>
            <w:r>
              <w:rPr>
                <w:sz w:val="18"/>
              </w:rPr>
              <w:t>○</w:t>
            </w:r>
          </w:p>
        </w:tc>
        <w:tc>
          <w:tcPr>
            <w:tcW w:w="1701" w:type="dxa"/>
          </w:tcPr>
          <w:p>
            <w:pPr>
              <w:pStyle w:val="TableParagraph"/>
              <w:spacing w:before="42"/>
              <w:ind w:left="6"/>
              <w:jc w:val="center"/>
              <w:rPr>
                <w:sz w:val="18"/>
              </w:rPr>
            </w:pPr>
            <w:r>
              <w:rPr>
                <w:sz w:val="18"/>
              </w:rPr>
              <w:t>○</w:t>
            </w:r>
          </w:p>
        </w:tc>
        <w:tc>
          <w:tcPr>
            <w:tcW w:w="1708" w:type="dxa"/>
          </w:tcPr>
          <w:p>
            <w:pPr>
              <w:pStyle w:val="TableParagraph"/>
              <w:spacing w:before="42"/>
              <w:ind w:left="10"/>
              <w:jc w:val="center"/>
              <w:rPr>
                <w:sz w:val="18"/>
              </w:rPr>
            </w:pPr>
            <w:r>
              <w:rPr>
                <w:sz w:val="18"/>
              </w:rPr>
              <w:t>—</w:t>
            </w:r>
          </w:p>
        </w:tc>
      </w:tr>
      <w:tr>
        <w:tblPrEx>
          <w:tblW w:w="0" w:type="auto"/>
          <w:jc w:val="left"/>
          <w:tblInd w:w="1075" w:type="dxa"/>
          <w:tblLayout w:type="fixed"/>
          <w:tblCellMar>
            <w:top w:w="0" w:type="dxa"/>
            <w:left w:w="0" w:type="dxa"/>
            <w:bottom w:w="0" w:type="dxa"/>
            <w:right w:w="0" w:type="dxa"/>
          </w:tblCellMar>
          <w:tblLook w:val="01E0"/>
        </w:tblPrEx>
        <w:trPr>
          <w:trHeight w:val="311"/>
          <w:jc w:val="left"/>
        </w:trPr>
        <w:tc>
          <w:tcPr>
            <w:tcW w:w="526" w:type="dxa"/>
            <w:vMerge w:val="restart"/>
          </w:tcPr>
          <w:p>
            <w:pPr>
              <w:pStyle w:val="TableParagraph"/>
              <w:spacing w:before="10"/>
              <w:rPr>
                <w:rFonts w:ascii="黑体"/>
                <w:sz w:val="15"/>
              </w:rPr>
            </w:pPr>
          </w:p>
          <w:p>
            <w:pPr>
              <w:pStyle w:val="TableParagraph"/>
              <w:ind w:left="172"/>
              <w:rPr>
                <w:sz w:val="18"/>
              </w:rPr>
            </w:pPr>
            <w:r>
              <w:rPr>
                <w:sz w:val="18"/>
              </w:rPr>
              <w:t>三</w:t>
            </w:r>
          </w:p>
        </w:tc>
        <w:tc>
          <w:tcPr>
            <w:tcW w:w="999" w:type="dxa"/>
            <w:vMerge w:val="restart"/>
          </w:tcPr>
          <w:p>
            <w:pPr>
              <w:pStyle w:val="TableParagraph"/>
              <w:spacing w:before="46"/>
              <w:ind w:left="107"/>
              <w:rPr>
                <w:sz w:val="18"/>
              </w:rPr>
            </w:pPr>
            <w:r>
              <w:rPr>
                <w:sz w:val="18"/>
              </w:rPr>
              <w:t>物资储备</w:t>
            </w:r>
          </w:p>
          <w:p>
            <w:pPr>
              <w:pStyle w:val="TableParagraph"/>
              <w:spacing w:before="81"/>
              <w:ind w:left="107"/>
              <w:rPr>
                <w:sz w:val="18"/>
              </w:rPr>
            </w:pPr>
            <w:r>
              <w:rPr>
                <w:sz w:val="18"/>
              </w:rPr>
              <w:t>及设施</w:t>
            </w:r>
          </w:p>
        </w:tc>
        <w:tc>
          <w:tcPr>
            <w:tcW w:w="782" w:type="dxa"/>
          </w:tcPr>
          <w:p>
            <w:pPr>
              <w:pStyle w:val="TableParagraph"/>
              <w:spacing w:before="41"/>
              <w:ind w:right="335"/>
              <w:jc w:val="right"/>
              <w:rPr>
                <w:sz w:val="18"/>
              </w:rPr>
            </w:pPr>
            <w:r>
              <w:rPr>
                <w:sz w:val="18"/>
              </w:rPr>
              <w:t>6</w:t>
            </w:r>
          </w:p>
        </w:tc>
        <w:tc>
          <w:tcPr>
            <w:tcW w:w="2042" w:type="dxa"/>
          </w:tcPr>
          <w:p>
            <w:pPr>
              <w:pStyle w:val="TableParagraph"/>
              <w:spacing w:before="41"/>
              <w:ind w:left="107"/>
              <w:rPr>
                <w:sz w:val="18"/>
              </w:rPr>
            </w:pPr>
            <w:r>
              <w:rPr>
                <w:sz w:val="18"/>
              </w:rPr>
              <w:t>应急物资供应点</w:t>
            </w:r>
          </w:p>
        </w:tc>
        <w:tc>
          <w:tcPr>
            <w:tcW w:w="1701" w:type="dxa"/>
          </w:tcPr>
          <w:p>
            <w:pPr>
              <w:pStyle w:val="TableParagraph"/>
              <w:spacing w:before="41"/>
              <w:ind w:left="10"/>
              <w:jc w:val="center"/>
              <w:rPr>
                <w:sz w:val="18"/>
              </w:rPr>
            </w:pPr>
            <w:r>
              <w:rPr>
                <w:sz w:val="18"/>
              </w:rPr>
              <w:t>●</w:t>
            </w:r>
          </w:p>
        </w:tc>
        <w:tc>
          <w:tcPr>
            <w:tcW w:w="1701" w:type="dxa"/>
          </w:tcPr>
          <w:p>
            <w:pPr>
              <w:pStyle w:val="TableParagraph"/>
              <w:spacing w:before="41"/>
              <w:ind w:left="6"/>
              <w:jc w:val="center"/>
              <w:rPr>
                <w:sz w:val="18"/>
              </w:rPr>
            </w:pPr>
            <w:r>
              <w:rPr>
                <w:sz w:val="18"/>
              </w:rPr>
              <w:t>●</w:t>
            </w:r>
          </w:p>
        </w:tc>
        <w:tc>
          <w:tcPr>
            <w:tcW w:w="1708" w:type="dxa"/>
          </w:tcPr>
          <w:p>
            <w:pPr>
              <w:pStyle w:val="TableParagraph"/>
              <w:spacing w:before="41"/>
              <w:ind w:left="10"/>
              <w:jc w:val="center"/>
              <w:rPr>
                <w:sz w:val="18"/>
              </w:rPr>
            </w:pPr>
            <w:r>
              <w:rPr>
                <w:sz w:val="18"/>
              </w:rPr>
              <w:t>○</w:t>
            </w:r>
          </w:p>
        </w:tc>
      </w:tr>
      <w:tr>
        <w:tblPrEx>
          <w:tblW w:w="0" w:type="auto"/>
          <w:jc w:val="left"/>
          <w:tblInd w:w="1075" w:type="dxa"/>
          <w:tblLayout w:type="fixed"/>
          <w:tblCellMar>
            <w:top w:w="0" w:type="dxa"/>
            <w:left w:w="0" w:type="dxa"/>
            <w:bottom w:w="0" w:type="dxa"/>
            <w:right w:w="0" w:type="dxa"/>
          </w:tblCellMar>
          <w:tblLook w:val="01E0"/>
        </w:tblPrEx>
        <w:trPr>
          <w:trHeight w:val="312"/>
          <w:jc w:val="left"/>
        </w:trPr>
        <w:tc>
          <w:tcPr>
            <w:tcW w:w="526" w:type="dxa"/>
            <w:vMerge/>
            <w:tcBorders>
              <w:top w:val="nil"/>
            </w:tcBorders>
          </w:tcPr>
          <w:p>
            <w:pPr>
              <w:rPr>
                <w:sz w:val="2"/>
                <w:szCs w:val="2"/>
              </w:rPr>
            </w:pPr>
          </w:p>
        </w:tc>
        <w:tc>
          <w:tcPr>
            <w:tcW w:w="999" w:type="dxa"/>
            <w:vMerge/>
            <w:tcBorders>
              <w:top w:val="nil"/>
            </w:tcBorders>
          </w:tcPr>
          <w:p>
            <w:pPr>
              <w:rPr>
                <w:sz w:val="2"/>
                <w:szCs w:val="2"/>
              </w:rPr>
            </w:pPr>
          </w:p>
        </w:tc>
        <w:tc>
          <w:tcPr>
            <w:tcW w:w="782" w:type="dxa"/>
          </w:tcPr>
          <w:p>
            <w:pPr>
              <w:pStyle w:val="TableParagraph"/>
              <w:spacing w:before="41"/>
              <w:ind w:right="335"/>
              <w:jc w:val="right"/>
              <w:rPr>
                <w:sz w:val="18"/>
              </w:rPr>
            </w:pPr>
            <w:r>
              <w:rPr>
                <w:sz w:val="18"/>
              </w:rPr>
              <w:t>7</w:t>
            </w:r>
          </w:p>
        </w:tc>
        <w:tc>
          <w:tcPr>
            <w:tcW w:w="2042" w:type="dxa"/>
          </w:tcPr>
          <w:p>
            <w:pPr>
              <w:pStyle w:val="TableParagraph"/>
              <w:spacing w:before="41"/>
              <w:ind w:left="107"/>
              <w:rPr>
                <w:sz w:val="18"/>
              </w:rPr>
            </w:pPr>
            <w:r>
              <w:rPr>
                <w:sz w:val="18"/>
              </w:rPr>
              <w:t>物资储备库房</w:t>
            </w:r>
          </w:p>
        </w:tc>
        <w:tc>
          <w:tcPr>
            <w:tcW w:w="1701" w:type="dxa"/>
          </w:tcPr>
          <w:p>
            <w:pPr>
              <w:pStyle w:val="TableParagraph"/>
              <w:spacing w:before="41"/>
              <w:ind w:left="10"/>
              <w:jc w:val="center"/>
              <w:rPr>
                <w:sz w:val="18"/>
              </w:rPr>
            </w:pPr>
            <w:r>
              <w:rPr>
                <w:sz w:val="18"/>
              </w:rPr>
              <w:t>●</w:t>
            </w:r>
          </w:p>
        </w:tc>
        <w:tc>
          <w:tcPr>
            <w:tcW w:w="1701" w:type="dxa"/>
          </w:tcPr>
          <w:p>
            <w:pPr>
              <w:pStyle w:val="TableParagraph"/>
              <w:spacing w:before="41"/>
              <w:ind w:left="6"/>
              <w:jc w:val="center"/>
              <w:rPr>
                <w:sz w:val="18"/>
              </w:rPr>
            </w:pPr>
            <w:r>
              <w:rPr>
                <w:sz w:val="18"/>
              </w:rPr>
              <w:t>○</w:t>
            </w:r>
          </w:p>
        </w:tc>
        <w:tc>
          <w:tcPr>
            <w:tcW w:w="1708" w:type="dxa"/>
          </w:tcPr>
          <w:p>
            <w:pPr>
              <w:pStyle w:val="TableParagraph"/>
              <w:spacing w:before="41"/>
              <w:ind w:left="10"/>
              <w:jc w:val="center"/>
              <w:rPr>
                <w:sz w:val="18"/>
              </w:rPr>
            </w:pPr>
            <w:r>
              <w:rPr>
                <w:sz w:val="18"/>
              </w:rPr>
              <w:t>—</w:t>
            </w:r>
          </w:p>
        </w:tc>
      </w:tr>
    </w:tbl>
    <w:p>
      <w:pPr>
        <w:spacing w:after="0"/>
        <w:jc w:val="center"/>
        <w:rPr>
          <w:sz w:val="18"/>
        </w:rPr>
        <w:sectPr>
          <w:headerReference w:type="even" r:id="rId19"/>
          <w:headerReference w:type="default" r:id="rId20"/>
          <w:pgSz w:w="11910" w:h="16840"/>
          <w:pgMar w:top="1660" w:right="260" w:bottom="280" w:left="240" w:header="1442" w:footer="0"/>
          <w:pgNumType w:start="9"/>
          <w:cols w:space="708"/>
        </w:sectPr>
      </w:pPr>
    </w:p>
    <w:p>
      <w:pPr>
        <w:pStyle w:val="BodyText"/>
        <w:spacing w:before="9"/>
        <w:rPr>
          <w:rFonts w:ascii="黑体"/>
          <w:sz w:val="14"/>
        </w:rPr>
      </w:pPr>
      <w:r>
        <w:drawing>
          <wp:anchor distT="0" distB="0" distL="0" distR="0" simplePos="0" relativeHeight="251673600" behindDoc="0" locked="0" layoutInCell="1" allowOverlap="1">
            <wp:simplePos x="0" y="0"/>
            <wp:positionH relativeFrom="page">
              <wp:posOffset>215900</wp:posOffset>
            </wp:positionH>
            <wp:positionV relativeFrom="page">
              <wp:posOffset>5243830</wp:posOffset>
            </wp:positionV>
            <wp:extent cx="7112000" cy="4876800"/>
            <wp:effectExtent l="0" t="0" r="0" b="0"/>
            <wp:wrapNone/>
            <wp:docPr id="1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png"/>
                    <pic:cNvPicPr/>
                  </pic:nvPicPr>
                  <pic:blipFill>
                    <a:blip xmlns:r="http://schemas.openxmlformats.org/officeDocument/2006/relationships" r:embed="rId4" cstate="print"/>
                    <a:stretch>
                      <a:fillRect/>
                    </a:stretch>
                  </pic:blipFill>
                  <pic:spPr>
                    <a:xfrm>
                      <a:off x="0" y="0"/>
                      <a:ext cx="7112000" cy="4876800"/>
                    </a:xfrm>
                    <a:prstGeom prst="rect">
                      <a:avLst/>
                    </a:prstGeom>
                  </pic:spPr>
                </pic:pic>
              </a:graphicData>
            </a:graphic>
          </wp:anchor>
        </w:drawing>
      </w:r>
    </w:p>
    <w:p>
      <w:pPr>
        <w:pStyle w:val="BodyText"/>
        <w:spacing w:before="70"/>
        <w:ind w:left="301"/>
        <w:jc w:val="center"/>
      </w:pPr>
      <w:bookmarkStart w:id="56" w:name="表4  生命线系统设施配置表（续）"/>
      <w:bookmarkEnd w:id="56"/>
      <w:r>
        <w:rPr>
          <w:rFonts w:ascii="黑体" w:eastAsia="黑体" w:hint="eastAsia"/>
        </w:rPr>
        <w:t>表4 生命线系统设施配置表</w:t>
      </w:r>
      <w:r>
        <w:t>（续）</w:t>
      </w:r>
    </w:p>
    <w:p>
      <w:pPr>
        <w:pStyle w:val="BodyText"/>
        <w:spacing w:before="10"/>
        <w:rPr>
          <w:sz w:val="13"/>
        </w:rPr>
      </w:pPr>
    </w:p>
    <w:tbl>
      <w:tblPr>
        <w:tblStyle w:val="TableNormal3"/>
        <w:tblW w:w="0" w:type="auto"/>
        <w:jc w:val="left"/>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524"/>
        <w:gridCol w:w="999"/>
        <w:gridCol w:w="778"/>
        <w:gridCol w:w="2036"/>
        <w:gridCol w:w="1701"/>
        <w:gridCol w:w="1702"/>
        <w:gridCol w:w="1719"/>
      </w:tblGrid>
      <w:tr>
        <w:tblPrEx>
          <w:tblW w:w="0" w:type="auto"/>
          <w:jc w:val="left"/>
          <w:tblInd w:w="10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524" w:type="dxa"/>
            <w:vMerge w:val="restart"/>
          </w:tcPr>
          <w:p>
            <w:pPr>
              <w:pStyle w:val="TableParagraph"/>
              <w:spacing w:before="42" w:line="324" w:lineRule="auto"/>
              <w:ind w:left="170" w:right="161"/>
              <w:jc w:val="both"/>
              <w:rPr>
                <w:b/>
                <w:sz w:val="18"/>
              </w:rPr>
            </w:pPr>
            <w:r>
              <w:rPr>
                <w:b/>
                <w:sz w:val="18"/>
              </w:rPr>
              <w:t>大类序</w:t>
            </w:r>
          </w:p>
          <w:p>
            <w:pPr>
              <w:pStyle w:val="TableParagraph"/>
              <w:spacing w:before="2"/>
              <w:ind w:left="170"/>
              <w:rPr>
                <w:b/>
                <w:sz w:val="18"/>
              </w:rPr>
            </w:pPr>
            <w:r>
              <w:rPr>
                <w:b/>
                <w:w w:val="99"/>
                <w:sz w:val="18"/>
              </w:rPr>
              <w:t>号</w:t>
            </w:r>
          </w:p>
        </w:tc>
        <w:tc>
          <w:tcPr>
            <w:tcW w:w="999" w:type="dxa"/>
            <w:vMerge w:val="restart"/>
          </w:tcPr>
          <w:p>
            <w:pPr>
              <w:pStyle w:val="TableParagraph"/>
              <w:rPr>
                <w:sz w:val="18"/>
              </w:rPr>
            </w:pPr>
          </w:p>
          <w:p>
            <w:pPr>
              <w:pStyle w:val="TableParagraph"/>
              <w:spacing w:before="10"/>
              <w:rPr>
                <w:sz w:val="21"/>
              </w:rPr>
            </w:pPr>
          </w:p>
          <w:p>
            <w:pPr>
              <w:pStyle w:val="TableParagraph"/>
              <w:ind w:left="138"/>
              <w:rPr>
                <w:b/>
                <w:sz w:val="18"/>
              </w:rPr>
            </w:pPr>
            <w:r>
              <w:rPr>
                <w:b/>
                <w:sz w:val="18"/>
              </w:rPr>
              <w:t>功能项目</w:t>
            </w:r>
          </w:p>
        </w:tc>
        <w:tc>
          <w:tcPr>
            <w:tcW w:w="778" w:type="dxa"/>
            <w:vMerge w:val="restart"/>
          </w:tcPr>
          <w:p>
            <w:pPr>
              <w:pStyle w:val="TableParagraph"/>
              <w:rPr>
                <w:sz w:val="18"/>
              </w:rPr>
            </w:pPr>
          </w:p>
          <w:p>
            <w:pPr>
              <w:pStyle w:val="TableParagraph"/>
              <w:spacing w:before="123" w:line="324" w:lineRule="auto"/>
              <w:ind w:left="298" w:right="104" w:hanging="180"/>
              <w:rPr>
                <w:b/>
                <w:sz w:val="18"/>
              </w:rPr>
            </w:pPr>
            <w:r>
              <w:rPr>
                <w:b/>
                <w:sz w:val="18"/>
              </w:rPr>
              <w:t>小项序号</w:t>
            </w:r>
          </w:p>
        </w:tc>
        <w:tc>
          <w:tcPr>
            <w:tcW w:w="2036" w:type="dxa"/>
            <w:vMerge w:val="restart"/>
          </w:tcPr>
          <w:p>
            <w:pPr>
              <w:pStyle w:val="TableParagraph"/>
              <w:rPr>
                <w:sz w:val="18"/>
              </w:rPr>
            </w:pPr>
          </w:p>
          <w:p>
            <w:pPr>
              <w:pStyle w:val="TableParagraph"/>
              <w:spacing w:before="10"/>
              <w:rPr>
                <w:sz w:val="21"/>
              </w:rPr>
            </w:pPr>
          </w:p>
          <w:p>
            <w:pPr>
              <w:pStyle w:val="TableParagraph"/>
              <w:ind w:left="658"/>
              <w:rPr>
                <w:b/>
                <w:sz w:val="18"/>
              </w:rPr>
            </w:pPr>
            <w:r>
              <w:rPr>
                <w:b/>
                <w:sz w:val="18"/>
              </w:rPr>
              <w:t>配套设施</w:t>
            </w:r>
          </w:p>
        </w:tc>
        <w:tc>
          <w:tcPr>
            <w:tcW w:w="5122" w:type="dxa"/>
            <w:gridSpan w:val="3"/>
          </w:tcPr>
          <w:p>
            <w:pPr>
              <w:pStyle w:val="TableParagraph"/>
              <w:spacing w:before="42"/>
              <w:ind w:left="2180" w:right="2169"/>
              <w:jc w:val="center"/>
              <w:rPr>
                <w:b/>
                <w:sz w:val="18"/>
              </w:rPr>
            </w:pPr>
            <w:r>
              <w:rPr>
                <w:b/>
                <w:sz w:val="18"/>
              </w:rPr>
              <w:t>适配场所</w:t>
            </w:r>
          </w:p>
        </w:tc>
      </w:tr>
      <w:tr>
        <w:tblPrEx>
          <w:tblW w:w="0" w:type="auto"/>
          <w:jc w:val="left"/>
          <w:tblInd w:w="1075" w:type="dxa"/>
          <w:tblLayout w:type="fixed"/>
          <w:tblCellMar>
            <w:top w:w="0" w:type="dxa"/>
            <w:left w:w="0" w:type="dxa"/>
            <w:bottom w:w="0" w:type="dxa"/>
            <w:right w:w="0" w:type="dxa"/>
          </w:tblCellMar>
          <w:tblLook w:val="01E0"/>
        </w:tblPrEx>
        <w:trPr>
          <w:trHeight w:val="925"/>
          <w:jc w:val="left"/>
        </w:trPr>
        <w:tc>
          <w:tcPr>
            <w:tcW w:w="524" w:type="dxa"/>
            <w:vMerge/>
            <w:tcBorders>
              <w:top w:val="nil"/>
            </w:tcBorders>
          </w:tcPr>
          <w:p>
            <w:pPr>
              <w:rPr>
                <w:sz w:val="2"/>
                <w:szCs w:val="2"/>
              </w:rPr>
            </w:pPr>
          </w:p>
        </w:tc>
        <w:tc>
          <w:tcPr>
            <w:tcW w:w="999" w:type="dxa"/>
            <w:vMerge/>
            <w:tcBorders>
              <w:top w:val="nil"/>
            </w:tcBorders>
          </w:tcPr>
          <w:p>
            <w:pPr>
              <w:rPr>
                <w:sz w:val="2"/>
                <w:szCs w:val="2"/>
              </w:rPr>
            </w:pPr>
          </w:p>
        </w:tc>
        <w:tc>
          <w:tcPr>
            <w:tcW w:w="778" w:type="dxa"/>
            <w:vMerge/>
            <w:tcBorders>
              <w:top w:val="nil"/>
            </w:tcBorders>
          </w:tcPr>
          <w:p>
            <w:pPr>
              <w:rPr>
                <w:sz w:val="2"/>
                <w:szCs w:val="2"/>
              </w:rPr>
            </w:pPr>
          </w:p>
        </w:tc>
        <w:tc>
          <w:tcPr>
            <w:tcW w:w="2036" w:type="dxa"/>
            <w:vMerge/>
            <w:tcBorders>
              <w:top w:val="nil"/>
            </w:tcBorders>
          </w:tcPr>
          <w:p>
            <w:pPr>
              <w:rPr>
                <w:sz w:val="2"/>
                <w:szCs w:val="2"/>
              </w:rPr>
            </w:pPr>
          </w:p>
        </w:tc>
        <w:tc>
          <w:tcPr>
            <w:tcW w:w="1701" w:type="dxa"/>
          </w:tcPr>
          <w:p>
            <w:pPr>
              <w:pStyle w:val="TableParagraph"/>
              <w:rPr>
                <w:sz w:val="18"/>
              </w:rPr>
            </w:pPr>
          </w:p>
          <w:p>
            <w:pPr>
              <w:pStyle w:val="TableParagraph"/>
              <w:spacing w:before="118"/>
              <w:ind w:left="107" w:right="95"/>
              <w:jc w:val="center"/>
              <w:rPr>
                <w:b/>
                <w:sz w:val="18"/>
              </w:rPr>
            </w:pPr>
            <w:r>
              <w:rPr>
                <w:b/>
                <w:sz w:val="18"/>
              </w:rPr>
              <w:t>中心应急避护场所</w:t>
            </w:r>
          </w:p>
        </w:tc>
        <w:tc>
          <w:tcPr>
            <w:tcW w:w="1702" w:type="dxa"/>
          </w:tcPr>
          <w:p>
            <w:pPr>
              <w:pStyle w:val="TableParagraph"/>
              <w:rPr>
                <w:sz w:val="18"/>
              </w:rPr>
            </w:pPr>
          </w:p>
          <w:p>
            <w:pPr>
              <w:pStyle w:val="TableParagraph"/>
              <w:spacing w:before="118"/>
              <w:ind w:left="109" w:right="96"/>
              <w:jc w:val="center"/>
              <w:rPr>
                <w:b/>
                <w:sz w:val="18"/>
              </w:rPr>
            </w:pPr>
            <w:r>
              <w:rPr>
                <w:b/>
                <w:sz w:val="18"/>
              </w:rPr>
              <w:t>固定应急避护场所</w:t>
            </w:r>
          </w:p>
        </w:tc>
        <w:tc>
          <w:tcPr>
            <w:tcW w:w="1719" w:type="dxa"/>
          </w:tcPr>
          <w:p>
            <w:pPr>
              <w:pStyle w:val="TableParagraph"/>
              <w:rPr>
                <w:sz w:val="18"/>
              </w:rPr>
            </w:pPr>
          </w:p>
          <w:p>
            <w:pPr>
              <w:pStyle w:val="TableParagraph"/>
              <w:spacing w:before="118"/>
              <w:ind w:left="118" w:right="104"/>
              <w:jc w:val="center"/>
              <w:rPr>
                <w:b/>
                <w:sz w:val="18"/>
              </w:rPr>
            </w:pPr>
            <w:r>
              <w:rPr>
                <w:b/>
                <w:sz w:val="18"/>
              </w:rPr>
              <w:t>紧急应急避护场所</w:t>
            </w:r>
          </w:p>
        </w:tc>
      </w:tr>
      <w:tr>
        <w:tblPrEx>
          <w:tblW w:w="0" w:type="auto"/>
          <w:jc w:val="left"/>
          <w:tblInd w:w="1075" w:type="dxa"/>
          <w:tblLayout w:type="fixed"/>
          <w:tblCellMar>
            <w:top w:w="0" w:type="dxa"/>
            <w:left w:w="0" w:type="dxa"/>
            <w:bottom w:w="0" w:type="dxa"/>
            <w:right w:w="0" w:type="dxa"/>
          </w:tblCellMar>
          <w:tblLook w:val="01E0"/>
        </w:tblPrEx>
        <w:trPr>
          <w:trHeight w:val="624"/>
          <w:jc w:val="left"/>
        </w:trPr>
        <w:tc>
          <w:tcPr>
            <w:tcW w:w="524" w:type="dxa"/>
          </w:tcPr>
          <w:p>
            <w:pPr>
              <w:pStyle w:val="TableParagraph"/>
              <w:spacing w:before="5"/>
              <w:rPr>
                <w:sz w:val="15"/>
              </w:rPr>
            </w:pPr>
          </w:p>
          <w:p>
            <w:pPr>
              <w:pStyle w:val="TableParagraph"/>
              <w:ind w:right="161"/>
              <w:jc w:val="right"/>
              <w:rPr>
                <w:sz w:val="18"/>
              </w:rPr>
            </w:pPr>
            <w:r>
              <w:rPr>
                <w:sz w:val="18"/>
              </w:rPr>
              <w:t>三</w:t>
            </w:r>
          </w:p>
        </w:tc>
        <w:tc>
          <w:tcPr>
            <w:tcW w:w="999" w:type="dxa"/>
          </w:tcPr>
          <w:p>
            <w:pPr>
              <w:pStyle w:val="TableParagraph"/>
              <w:spacing w:before="41"/>
              <w:ind w:left="107"/>
              <w:rPr>
                <w:sz w:val="18"/>
              </w:rPr>
            </w:pPr>
            <w:r>
              <w:rPr>
                <w:sz w:val="18"/>
              </w:rPr>
              <w:t>物资储备</w:t>
            </w:r>
          </w:p>
          <w:p>
            <w:pPr>
              <w:pStyle w:val="TableParagraph"/>
              <w:spacing w:before="82"/>
              <w:ind w:left="107"/>
              <w:rPr>
                <w:sz w:val="18"/>
              </w:rPr>
            </w:pPr>
            <w:r>
              <w:rPr>
                <w:sz w:val="18"/>
              </w:rPr>
              <w:t>及设施</w:t>
            </w:r>
          </w:p>
        </w:tc>
        <w:tc>
          <w:tcPr>
            <w:tcW w:w="778" w:type="dxa"/>
          </w:tcPr>
          <w:p>
            <w:pPr>
              <w:pStyle w:val="TableParagraph"/>
              <w:spacing w:before="5"/>
              <w:rPr>
                <w:sz w:val="15"/>
              </w:rPr>
            </w:pPr>
          </w:p>
          <w:p>
            <w:pPr>
              <w:pStyle w:val="TableParagraph"/>
              <w:ind w:left="10"/>
              <w:jc w:val="center"/>
              <w:rPr>
                <w:sz w:val="18"/>
              </w:rPr>
            </w:pPr>
            <w:r>
              <w:rPr>
                <w:sz w:val="18"/>
              </w:rPr>
              <w:t>8</w:t>
            </w:r>
          </w:p>
        </w:tc>
        <w:tc>
          <w:tcPr>
            <w:tcW w:w="2036" w:type="dxa"/>
          </w:tcPr>
          <w:p>
            <w:pPr>
              <w:pStyle w:val="TableParagraph"/>
              <w:spacing w:before="41"/>
              <w:ind w:left="108"/>
              <w:rPr>
                <w:sz w:val="18"/>
              </w:rPr>
            </w:pPr>
            <w:r>
              <w:rPr>
                <w:sz w:val="18"/>
              </w:rPr>
              <w:t>帐篷、食品、急救包等</w:t>
            </w:r>
          </w:p>
          <w:p>
            <w:pPr>
              <w:pStyle w:val="TableParagraph"/>
              <w:spacing w:before="82"/>
              <w:ind w:left="108"/>
              <w:rPr>
                <w:sz w:val="18"/>
              </w:rPr>
            </w:pPr>
            <w:r>
              <w:rPr>
                <w:sz w:val="18"/>
              </w:rPr>
              <w:t>应急物资</w:t>
            </w:r>
          </w:p>
        </w:tc>
        <w:tc>
          <w:tcPr>
            <w:tcW w:w="1701" w:type="dxa"/>
          </w:tcPr>
          <w:p>
            <w:pPr>
              <w:pStyle w:val="TableParagraph"/>
              <w:spacing w:before="5"/>
              <w:rPr>
                <w:sz w:val="15"/>
              </w:rPr>
            </w:pPr>
          </w:p>
          <w:p>
            <w:pPr>
              <w:pStyle w:val="TableParagraph"/>
              <w:ind w:left="10"/>
              <w:jc w:val="center"/>
              <w:rPr>
                <w:sz w:val="18"/>
              </w:rPr>
            </w:pPr>
            <w:r>
              <w:rPr>
                <w:sz w:val="18"/>
              </w:rPr>
              <w:t>●</w:t>
            </w:r>
          </w:p>
        </w:tc>
        <w:tc>
          <w:tcPr>
            <w:tcW w:w="1702" w:type="dxa"/>
          </w:tcPr>
          <w:p>
            <w:pPr>
              <w:pStyle w:val="TableParagraph"/>
              <w:spacing w:before="5"/>
              <w:rPr>
                <w:sz w:val="15"/>
              </w:rPr>
            </w:pPr>
          </w:p>
          <w:p>
            <w:pPr>
              <w:pStyle w:val="TableParagraph"/>
              <w:ind w:left="10"/>
              <w:jc w:val="center"/>
              <w:rPr>
                <w:sz w:val="18"/>
              </w:rPr>
            </w:pPr>
            <w:r>
              <w:rPr>
                <w:sz w:val="18"/>
              </w:rPr>
              <w:t>●</w:t>
            </w:r>
          </w:p>
        </w:tc>
        <w:tc>
          <w:tcPr>
            <w:tcW w:w="1719" w:type="dxa"/>
          </w:tcPr>
          <w:p>
            <w:pPr>
              <w:pStyle w:val="TableParagraph"/>
              <w:spacing w:before="5"/>
              <w:rPr>
                <w:sz w:val="15"/>
              </w:rPr>
            </w:pPr>
          </w:p>
          <w:p>
            <w:pPr>
              <w:pStyle w:val="TableParagraph"/>
              <w:ind w:left="7"/>
              <w:jc w:val="center"/>
              <w:rPr>
                <w:sz w:val="18"/>
              </w:rPr>
            </w:pPr>
            <w:r>
              <w:rPr>
                <w:sz w:val="18"/>
              </w:rPr>
              <w:t>○</w:t>
            </w:r>
          </w:p>
        </w:tc>
      </w:tr>
      <w:tr>
        <w:tblPrEx>
          <w:tblW w:w="0" w:type="auto"/>
          <w:jc w:val="left"/>
          <w:tblInd w:w="1075" w:type="dxa"/>
          <w:tblLayout w:type="fixed"/>
          <w:tblCellMar>
            <w:top w:w="0" w:type="dxa"/>
            <w:left w:w="0" w:type="dxa"/>
            <w:bottom w:w="0" w:type="dxa"/>
            <w:right w:w="0" w:type="dxa"/>
          </w:tblCellMar>
          <w:tblLook w:val="01E0"/>
        </w:tblPrEx>
        <w:trPr>
          <w:trHeight w:val="312"/>
          <w:jc w:val="left"/>
        </w:trPr>
        <w:tc>
          <w:tcPr>
            <w:tcW w:w="524" w:type="dxa"/>
            <w:vMerge w:val="restart"/>
          </w:tcPr>
          <w:p>
            <w:pPr>
              <w:pStyle w:val="TableParagraph"/>
              <w:rPr>
                <w:sz w:val="18"/>
              </w:rPr>
            </w:pPr>
          </w:p>
          <w:p>
            <w:pPr>
              <w:pStyle w:val="TableParagraph"/>
              <w:rPr>
                <w:sz w:val="18"/>
              </w:rPr>
            </w:pPr>
          </w:p>
          <w:p>
            <w:pPr>
              <w:pStyle w:val="TableParagraph"/>
              <w:spacing w:before="8"/>
              <w:rPr>
                <w:sz w:val="16"/>
              </w:rPr>
            </w:pPr>
          </w:p>
          <w:p>
            <w:pPr>
              <w:pStyle w:val="TableParagraph"/>
              <w:ind w:left="170"/>
              <w:rPr>
                <w:sz w:val="18"/>
              </w:rPr>
            </w:pPr>
            <w:r>
              <w:rPr>
                <w:sz w:val="18"/>
              </w:rPr>
              <w:t>四</w:t>
            </w:r>
          </w:p>
        </w:tc>
        <w:tc>
          <w:tcPr>
            <w:tcW w:w="999" w:type="dxa"/>
            <w:vMerge w:val="restart"/>
          </w:tcPr>
          <w:p>
            <w:pPr>
              <w:pStyle w:val="TableParagraph"/>
              <w:rPr>
                <w:sz w:val="18"/>
              </w:rPr>
            </w:pPr>
          </w:p>
          <w:p>
            <w:pPr>
              <w:pStyle w:val="TableParagraph"/>
              <w:rPr>
                <w:sz w:val="18"/>
              </w:rPr>
            </w:pPr>
          </w:p>
          <w:p>
            <w:pPr>
              <w:pStyle w:val="TableParagraph"/>
              <w:spacing w:before="8"/>
              <w:rPr>
                <w:sz w:val="16"/>
              </w:rPr>
            </w:pPr>
          </w:p>
          <w:p>
            <w:pPr>
              <w:pStyle w:val="TableParagraph"/>
              <w:ind w:left="107"/>
              <w:rPr>
                <w:sz w:val="18"/>
              </w:rPr>
            </w:pPr>
            <w:r>
              <w:rPr>
                <w:sz w:val="18"/>
              </w:rPr>
              <w:t>消防设施</w:t>
            </w:r>
          </w:p>
        </w:tc>
        <w:tc>
          <w:tcPr>
            <w:tcW w:w="778" w:type="dxa"/>
          </w:tcPr>
          <w:p>
            <w:pPr>
              <w:pStyle w:val="TableParagraph"/>
              <w:spacing w:before="41"/>
              <w:ind w:left="10"/>
              <w:jc w:val="center"/>
              <w:rPr>
                <w:sz w:val="18"/>
              </w:rPr>
            </w:pPr>
            <w:r>
              <w:rPr>
                <w:sz w:val="18"/>
              </w:rPr>
              <w:t>9</w:t>
            </w:r>
          </w:p>
        </w:tc>
        <w:tc>
          <w:tcPr>
            <w:tcW w:w="2036" w:type="dxa"/>
          </w:tcPr>
          <w:p>
            <w:pPr>
              <w:pStyle w:val="TableParagraph"/>
              <w:spacing w:before="41"/>
              <w:ind w:left="108"/>
              <w:rPr>
                <w:sz w:val="18"/>
              </w:rPr>
            </w:pPr>
            <w:r>
              <w:rPr>
                <w:sz w:val="18"/>
              </w:rPr>
              <w:t>消防栓，消防管网</w:t>
            </w:r>
          </w:p>
        </w:tc>
        <w:tc>
          <w:tcPr>
            <w:tcW w:w="1701" w:type="dxa"/>
          </w:tcPr>
          <w:p>
            <w:pPr>
              <w:pStyle w:val="TableParagraph"/>
              <w:spacing w:before="41"/>
              <w:ind w:left="10"/>
              <w:jc w:val="center"/>
              <w:rPr>
                <w:sz w:val="18"/>
              </w:rPr>
            </w:pPr>
            <w:r>
              <w:rPr>
                <w:sz w:val="18"/>
              </w:rPr>
              <w:t>●</w:t>
            </w:r>
          </w:p>
        </w:tc>
        <w:tc>
          <w:tcPr>
            <w:tcW w:w="1702" w:type="dxa"/>
          </w:tcPr>
          <w:p>
            <w:pPr>
              <w:pStyle w:val="TableParagraph"/>
              <w:spacing w:before="41"/>
              <w:ind w:left="10"/>
              <w:jc w:val="center"/>
              <w:rPr>
                <w:sz w:val="18"/>
              </w:rPr>
            </w:pPr>
            <w:r>
              <w:rPr>
                <w:sz w:val="18"/>
              </w:rPr>
              <w:t>●</w:t>
            </w:r>
          </w:p>
        </w:tc>
        <w:tc>
          <w:tcPr>
            <w:tcW w:w="1719" w:type="dxa"/>
          </w:tcPr>
          <w:p>
            <w:pPr>
              <w:pStyle w:val="TableParagraph"/>
              <w:spacing w:before="41"/>
              <w:ind w:left="7"/>
              <w:jc w:val="center"/>
              <w:rPr>
                <w:sz w:val="18"/>
              </w:rPr>
            </w:pPr>
            <w:r>
              <w:rPr>
                <w:sz w:val="18"/>
              </w:rPr>
              <w:t>○</w:t>
            </w:r>
          </w:p>
        </w:tc>
      </w:tr>
      <w:tr>
        <w:tblPrEx>
          <w:tblW w:w="0" w:type="auto"/>
          <w:jc w:val="left"/>
          <w:tblInd w:w="1075" w:type="dxa"/>
          <w:tblLayout w:type="fixed"/>
          <w:tblCellMar>
            <w:top w:w="0" w:type="dxa"/>
            <w:left w:w="0" w:type="dxa"/>
            <w:bottom w:w="0" w:type="dxa"/>
            <w:right w:w="0" w:type="dxa"/>
          </w:tblCellMar>
          <w:tblLook w:val="01E0"/>
        </w:tblPrEx>
        <w:trPr>
          <w:trHeight w:val="624"/>
          <w:jc w:val="left"/>
        </w:trPr>
        <w:tc>
          <w:tcPr>
            <w:tcW w:w="524" w:type="dxa"/>
            <w:vMerge/>
            <w:tcBorders>
              <w:top w:val="nil"/>
            </w:tcBorders>
          </w:tcPr>
          <w:p>
            <w:pPr>
              <w:rPr>
                <w:sz w:val="2"/>
                <w:szCs w:val="2"/>
              </w:rPr>
            </w:pPr>
          </w:p>
        </w:tc>
        <w:tc>
          <w:tcPr>
            <w:tcW w:w="999" w:type="dxa"/>
            <w:vMerge/>
            <w:tcBorders>
              <w:top w:val="nil"/>
            </w:tcBorders>
          </w:tcPr>
          <w:p>
            <w:pPr>
              <w:rPr>
                <w:sz w:val="2"/>
                <w:szCs w:val="2"/>
              </w:rPr>
            </w:pPr>
          </w:p>
        </w:tc>
        <w:tc>
          <w:tcPr>
            <w:tcW w:w="778" w:type="dxa"/>
          </w:tcPr>
          <w:p>
            <w:pPr>
              <w:pStyle w:val="TableParagraph"/>
              <w:spacing w:before="4"/>
              <w:rPr>
                <w:sz w:val="15"/>
              </w:rPr>
            </w:pPr>
          </w:p>
          <w:p>
            <w:pPr>
              <w:pStyle w:val="TableParagraph"/>
              <w:ind w:left="278" w:right="268"/>
              <w:jc w:val="center"/>
              <w:rPr>
                <w:sz w:val="18"/>
              </w:rPr>
            </w:pPr>
            <w:r>
              <w:rPr>
                <w:sz w:val="18"/>
              </w:rPr>
              <w:t>10</w:t>
            </w:r>
          </w:p>
        </w:tc>
        <w:tc>
          <w:tcPr>
            <w:tcW w:w="2036" w:type="dxa"/>
          </w:tcPr>
          <w:p>
            <w:pPr>
              <w:pStyle w:val="TableParagraph"/>
              <w:spacing w:before="40"/>
              <w:ind w:left="108"/>
              <w:rPr>
                <w:sz w:val="18"/>
              </w:rPr>
            </w:pPr>
            <w:r>
              <w:rPr>
                <w:sz w:val="18"/>
              </w:rPr>
              <w:t>防火分区，防火分隔，</w:t>
            </w:r>
          </w:p>
          <w:p>
            <w:pPr>
              <w:pStyle w:val="TableParagraph"/>
              <w:spacing w:before="82"/>
              <w:ind w:left="108"/>
              <w:rPr>
                <w:sz w:val="18"/>
              </w:rPr>
            </w:pPr>
            <w:r>
              <w:rPr>
                <w:sz w:val="18"/>
              </w:rPr>
              <w:t>消防通道，消防水源</w:t>
            </w:r>
          </w:p>
        </w:tc>
        <w:tc>
          <w:tcPr>
            <w:tcW w:w="1701" w:type="dxa"/>
          </w:tcPr>
          <w:p>
            <w:pPr>
              <w:pStyle w:val="TableParagraph"/>
              <w:spacing w:before="4"/>
              <w:rPr>
                <w:sz w:val="15"/>
              </w:rPr>
            </w:pPr>
          </w:p>
          <w:p>
            <w:pPr>
              <w:pStyle w:val="TableParagraph"/>
              <w:ind w:left="10"/>
              <w:jc w:val="center"/>
              <w:rPr>
                <w:sz w:val="18"/>
              </w:rPr>
            </w:pPr>
            <w:r>
              <w:rPr>
                <w:sz w:val="18"/>
              </w:rPr>
              <w:t>●</w:t>
            </w:r>
          </w:p>
        </w:tc>
        <w:tc>
          <w:tcPr>
            <w:tcW w:w="1702" w:type="dxa"/>
          </w:tcPr>
          <w:p>
            <w:pPr>
              <w:pStyle w:val="TableParagraph"/>
              <w:spacing w:before="4"/>
              <w:rPr>
                <w:sz w:val="15"/>
              </w:rPr>
            </w:pPr>
          </w:p>
          <w:p>
            <w:pPr>
              <w:pStyle w:val="TableParagraph"/>
              <w:ind w:left="10"/>
              <w:jc w:val="center"/>
              <w:rPr>
                <w:sz w:val="18"/>
              </w:rPr>
            </w:pPr>
            <w:r>
              <w:rPr>
                <w:sz w:val="18"/>
              </w:rPr>
              <w:t>●</w:t>
            </w:r>
          </w:p>
        </w:tc>
        <w:tc>
          <w:tcPr>
            <w:tcW w:w="1719" w:type="dxa"/>
          </w:tcPr>
          <w:p>
            <w:pPr>
              <w:pStyle w:val="TableParagraph"/>
              <w:spacing w:before="4"/>
              <w:rPr>
                <w:sz w:val="15"/>
              </w:rPr>
            </w:pPr>
          </w:p>
          <w:p>
            <w:pPr>
              <w:pStyle w:val="TableParagraph"/>
              <w:ind w:left="7"/>
              <w:jc w:val="center"/>
              <w:rPr>
                <w:sz w:val="18"/>
              </w:rPr>
            </w:pPr>
            <w:r>
              <w:rPr>
                <w:sz w:val="18"/>
              </w:rPr>
              <w:t>○</w:t>
            </w:r>
          </w:p>
        </w:tc>
      </w:tr>
      <w:tr>
        <w:tblPrEx>
          <w:tblW w:w="0" w:type="auto"/>
          <w:jc w:val="left"/>
          <w:tblInd w:w="1075" w:type="dxa"/>
          <w:tblLayout w:type="fixed"/>
          <w:tblCellMar>
            <w:top w:w="0" w:type="dxa"/>
            <w:left w:w="0" w:type="dxa"/>
            <w:bottom w:w="0" w:type="dxa"/>
            <w:right w:w="0" w:type="dxa"/>
          </w:tblCellMar>
          <w:tblLook w:val="01E0"/>
        </w:tblPrEx>
        <w:trPr>
          <w:trHeight w:val="623"/>
          <w:jc w:val="left"/>
        </w:trPr>
        <w:tc>
          <w:tcPr>
            <w:tcW w:w="524" w:type="dxa"/>
            <w:vMerge/>
            <w:tcBorders>
              <w:top w:val="nil"/>
            </w:tcBorders>
          </w:tcPr>
          <w:p>
            <w:pPr>
              <w:rPr>
                <w:sz w:val="2"/>
                <w:szCs w:val="2"/>
              </w:rPr>
            </w:pPr>
          </w:p>
        </w:tc>
        <w:tc>
          <w:tcPr>
            <w:tcW w:w="999" w:type="dxa"/>
            <w:vMerge/>
            <w:tcBorders>
              <w:top w:val="nil"/>
            </w:tcBorders>
          </w:tcPr>
          <w:p>
            <w:pPr>
              <w:rPr>
                <w:sz w:val="2"/>
                <w:szCs w:val="2"/>
              </w:rPr>
            </w:pPr>
          </w:p>
        </w:tc>
        <w:tc>
          <w:tcPr>
            <w:tcW w:w="778" w:type="dxa"/>
          </w:tcPr>
          <w:p>
            <w:pPr>
              <w:pStyle w:val="TableParagraph"/>
              <w:spacing w:before="4"/>
              <w:rPr>
                <w:sz w:val="15"/>
              </w:rPr>
            </w:pPr>
          </w:p>
          <w:p>
            <w:pPr>
              <w:pStyle w:val="TableParagraph"/>
              <w:ind w:left="278" w:right="268"/>
              <w:jc w:val="center"/>
              <w:rPr>
                <w:sz w:val="18"/>
              </w:rPr>
            </w:pPr>
            <w:r>
              <w:rPr>
                <w:sz w:val="18"/>
              </w:rPr>
              <w:t>11</w:t>
            </w:r>
          </w:p>
        </w:tc>
        <w:tc>
          <w:tcPr>
            <w:tcW w:w="2036" w:type="dxa"/>
          </w:tcPr>
          <w:p>
            <w:pPr>
              <w:pStyle w:val="TableParagraph"/>
              <w:spacing w:before="40"/>
              <w:ind w:left="108"/>
              <w:rPr>
                <w:sz w:val="18"/>
              </w:rPr>
            </w:pPr>
            <w:r>
              <w:rPr>
                <w:sz w:val="18"/>
              </w:rPr>
              <w:t>消防水井，消防水池，</w:t>
            </w:r>
          </w:p>
          <w:p>
            <w:pPr>
              <w:pStyle w:val="TableParagraph"/>
              <w:spacing w:before="81"/>
              <w:ind w:left="108"/>
              <w:rPr>
                <w:sz w:val="18"/>
              </w:rPr>
            </w:pPr>
            <w:r>
              <w:rPr>
                <w:sz w:val="18"/>
              </w:rPr>
              <w:t>消防水泵，消防车</w:t>
            </w:r>
          </w:p>
        </w:tc>
        <w:tc>
          <w:tcPr>
            <w:tcW w:w="1701" w:type="dxa"/>
          </w:tcPr>
          <w:p>
            <w:pPr>
              <w:pStyle w:val="TableParagraph"/>
              <w:spacing w:before="4"/>
              <w:rPr>
                <w:sz w:val="15"/>
              </w:rPr>
            </w:pPr>
          </w:p>
          <w:p>
            <w:pPr>
              <w:pStyle w:val="TableParagraph"/>
              <w:ind w:left="10"/>
              <w:jc w:val="center"/>
              <w:rPr>
                <w:sz w:val="18"/>
              </w:rPr>
            </w:pPr>
            <w:r>
              <w:rPr>
                <w:sz w:val="18"/>
              </w:rPr>
              <w:t>●</w:t>
            </w:r>
          </w:p>
        </w:tc>
        <w:tc>
          <w:tcPr>
            <w:tcW w:w="1702" w:type="dxa"/>
          </w:tcPr>
          <w:p>
            <w:pPr>
              <w:pStyle w:val="TableParagraph"/>
              <w:spacing w:before="4"/>
              <w:rPr>
                <w:sz w:val="15"/>
              </w:rPr>
            </w:pPr>
          </w:p>
          <w:p>
            <w:pPr>
              <w:pStyle w:val="TableParagraph"/>
              <w:ind w:left="10"/>
              <w:jc w:val="center"/>
              <w:rPr>
                <w:sz w:val="18"/>
              </w:rPr>
            </w:pPr>
            <w:r>
              <w:rPr>
                <w:sz w:val="18"/>
              </w:rPr>
              <w:t>○</w:t>
            </w:r>
          </w:p>
        </w:tc>
        <w:tc>
          <w:tcPr>
            <w:tcW w:w="1719" w:type="dxa"/>
          </w:tcPr>
          <w:p>
            <w:pPr>
              <w:pStyle w:val="TableParagraph"/>
              <w:spacing w:before="4"/>
              <w:rPr>
                <w:sz w:val="15"/>
              </w:rPr>
            </w:pPr>
          </w:p>
          <w:p>
            <w:pPr>
              <w:pStyle w:val="TableParagraph"/>
              <w:ind w:left="7"/>
              <w:jc w:val="center"/>
              <w:rPr>
                <w:sz w:val="18"/>
              </w:rPr>
            </w:pPr>
            <w:r>
              <w:rPr>
                <w:sz w:val="18"/>
              </w:rPr>
              <w:t>—</w:t>
            </w:r>
          </w:p>
        </w:tc>
      </w:tr>
      <w:tr>
        <w:tblPrEx>
          <w:tblW w:w="0" w:type="auto"/>
          <w:jc w:val="left"/>
          <w:tblInd w:w="1075" w:type="dxa"/>
          <w:tblLayout w:type="fixed"/>
          <w:tblCellMar>
            <w:top w:w="0" w:type="dxa"/>
            <w:left w:w="0" w:type="dxa"/>
            <w:bottom w:w="0" w:type="dxa"/>
            <w:right w:w="0" w:type="dxa"/>
          </w:tblCellMar>
          <w:tblLook w:val="01E0"/>
        </w:tblPrEx>
        <w:trPr>
          <w:trHeight w:val="623"/>
          <w:jc w:val="left"/>
        </w:trPr>
        <w:tc>
          <w:tcPr>
            <w:tcW w:w="524" w:type="dxa"/>
          </w:tcPr>
          <w:p>
            <w:pPr>
              <w:pStyle w:val="TableParagraph"/>
              <w:spacing w:before="3"/>
              <w:rPr>
                <w:sz w:val="15"/>
              </w:rPr>
            </w:pPr>
          </w:p>
          <w:p>
            <w:pPr>
              <w:pStyle w:val="TableParagraph"/>
              <w:spacing w:before="1"/>
              <w:ind w:right="161"/>
              <w:jc w:val="right"/>
              <w:rPr>
                <w:sz w:val="18"/>
              </w:rPr>
            </w:pPr>
            <w:r>
              <w:rPr>
                <w:sz w:val="18"/>
              </w:rPr>
              <w:t>四</w:t>
            </w:r>
          </w:p>
        </w:tc>
        <w:tc>
          <w:tcPr>
            <w:tcW w:w="999" w:type="dxa"/>
          </w:tcPr>
          <w:p>
            <w:pPr>
              <w:pStyle w:val="TableParagraph"/>
              <w:spacing w:before="3"/>
              <w:rPr>
                <w:sz w:val="15"/>
              </w:rPr>
            </w:pPr>
          </w:p>
          <w:p>
            <w:pPr>
              <w:pStyle w:val="TableParagraph"/>
              <w:spacing w:before="1"/>
              <w:ind w:left="107"/>
              <w:rPr>
                <w:sz w:val="18"/>
              </w:rPr>
            </w:pPr>
            <w:r>
              <w:rPr>
                <w:sz w:val="18"/>
              </w:rPr>
              <w:t>消防设施</w:t>
            </w:r>
          </w:p>
        </w:tc>
        <w:tc>
          <w:tcPr>
            <w:tcW w:w="778" w:type="dxa"/>
          </w:tcPr>
          <w:p>
            <w:pPr>
              <w:pStyle w:val="TableParagraph"/>
              <w:spacing w:before="3"/>
              <w:rPr>
                <w:sz w:val="15"/>
              </w:rPr>
            </w:pPr>
          </w:p>
          <w:p>
            <w:pPr>
              <w:pStyle w:val="TableParagraph"/>
              <w:spacing w:before="1"/>
              <w:ind w:left="278" w:right="268"/>
              <w:jc w:val="center"/>
              <w:rPr>
                <w:sz w:val="18"/>
              </w:rPr>
            </w:pPr>
            <w:r>
              <w:rPr>
                <w:sz w:val="18"/>
              </w:rPr>
              <w:t>12</w:t>
            </w:r>
          </w:p>
        </w:tc>
        <w:tc>
          <w:tcPr>
            <w:tcW w:w="2036" w:type="dxa"/>
          </w:tcPr>
          <w:p>
            <w:pPr>
              <w:pStyle w:val="TableParagraph"/>
              <w:spacing w:before="40"/>
              <w:ind w:left="108"/>
              <w:rPr>
                <w:sz w:val="18"/>
              </w:rPr>
            </w:pPr>
            <w:r>
              <w:rPr>
                <w:sz w:val="18"/>
              </w:rPr>
              <w:t>消防器材（含灭火器、</w:t>
            </w:r>
          </w:p>
          <w:p>
            <w:pPr>
              <w:pStyle w:val="TableParagraph"/>
              <w:spacing w:before="81"/>
              <w:ind w:left="108"/>
              <w:rPr>
                <w:sz w:val="18"/>
              </w:rPr>
            </w:pPr>
            <w:r>
              <w:rPr>
                <w:sz w:val="18"/>
              </w:rPr>
              <w:t>消防防毒面罩等）</w:t>
            </w:r>
          </w:p>
        </w:tc>
        <w:tc>
          <w:tcPr>
            <w:tcW w:w="1701" w:type="dxa"/>
          </w:tcPr>
          <w:p>
            <w:pPr>
              <w:pStyle w:val="TableParagraph"/>
              <w:spacing w:before="3"/>
              <w:rPr>
                <w:sz w:val="15"/>
              </w:rPr>
            </w:pPr>
          </w:p>
          <w:p>
            <w:pPr>
              <w:pStyle w:val="TableParagraph"/>
              <w:spacing w:before="1"/>
              <w:ind w:left="10"/>
              <w:jc w:val="center"/>
              <w:rPr>
                <w:sz w:val="18"/>
              </w:rPr>
            </w:pPr>
            <w:r>
              <w:rPr>
                <w:sz w:val="18"/>
              </w:rPr>
              <w:t>●</w:t>
            </w:r>
          </w:p>
        </w:tc>
        <w:tc>
          <w:tcPr>
            <w:tcW w:w="1702" w:type="dxa"/>
          </w:tcPr>
          <w:p>
            <w:pPr>
              <w:pStyle w:val="TableParagraph"/>
              <w:spacing w:before="3"/>
              <w:rPr>
                <w:sz w:val="15"/>
              </w:rPr>
            </w:pPr>
          </w:p>
          <w:p>
            <w:pPr>
              <w:pStyle w:val="TableParagraph"/>
              <w:spacing w:before="1"/>
              <w:ind w:left="10"/>
              <w:jc w:val="center"/>
              <w:rPr>
                <w:sz w:val="18"/>
              </w:rPr>
            </w:pPr>
            <w:r>
              <w:rPr>
                <w:sz w:val="18"/>
              </w:rPr>
              <w:t>●</w:t>
            </w:r>
          </w:p>
        </w:tc>
        <w:tc>
          <w:tcPr>
            <w:tcW w:w="1719" w:type="dxa"/>
          </w:tcPr>
          <w:p>
            <w:pPr>
              <w:pStyle w:val="TableParagraph"/>
              <w:spacing w:before="3"/>
              <w:rPr>
                <w:sz w:val="15"/>
              </w:rPr>
            </w:pPr>
          </w:p>
          <w:p>
            <w:pPr>
              <w:pStyle w:val="TableParagraph"/>
              <w:spacing w:before="1"/>
              <w:ind w:left="7"/>
              <w:jc w:val="center"/>
              <w:rPr>
                <w:sz w:val="18"/>
              </w:rPr>
            </w:pPr>
            <w:r>
              <w:rPr>
                <w:sz w:val="18"/>
              </w:rPr>
              <w:t>●</w:t>
            </w:r>
          </w:p>
        </w:tc>
      </w:tr>
      <w:tr>
        <w:tblPrEx>
          <w:tblW w:w="0" w:type="auto"/>
          <w:jc w:val="left"/>
          <w:tblInd w:w="1075" w:type="dxa"/>
          <w:tblLayout w:type="fixed"/>
          <w:tblCellMar>
            <w:top w:w="0" w:type="dxa"/>
            <w:left w:w="0" w:type="dxa"/>
            <w:bottom w:w="0" w:type="dxa"/>
            <w:right w:w="0" w:type="dxa"/>
          </w:tblCellMar>
          <w:tblLook w:val="01E0"/>
        </w:tblPrEx>
        <w:trPr>
          <w:trHeight w:val="312"/>
          <w:jc w:val="left"/>
        </w:trPr>
        <w:tc>
          <w:tcPr>
            <w:tcW w:w="524" w:type="dxa"/>
            <w:vMerge w:val="restart"/>
          </w:tcPr>
          <w:p>
            <w:pPr>
              <w:pStyle w:val="TableParagraph"/>
              <w:rPr>
                <w:sz w:val="18"/>
              </w:rPr>
            </w:pPr>
          </w:p>
          <w:p>
            <w:pPr>
              <w:pStyle w:val="TableParagraph"/>
              <w:rPr>
                <w:sz w:val="18"/>
              </w:rPr>
            </w:pPr>
          </w:p>
          <w:p>
            <w:pPr>
              <w:pStyle w:val="TableParagraph"/>
              <w:rPr>
                <w:sz w:val="18"/>
              </w:rPr>
            </w:pPr>
          </w:p>
          <w:p>
            <w:pPr>
              <w:pStyle w:val="TableParagraph"/>
              <w:spacing w:before="154"/>
              <w:ind w:left="170"/>
              <w:rPr>
                <w:sz w:val="18"/>
              </w:rPr>
            </w:pPr>
            <w:r>
              <w:rPr>
                <w:sz w:val="18"/>
              </w:rPr>
              <w:t>五</w:t>
            </w:r>
          </w:p>
        </w:tc>
        <w:tc>
          <w:tcPr>
            <w:tcW w:w="999" w:type="dxa"/>
            <w:vMerge w:val="restart"/>
          </w:tcPr>
          <w:p>
            <w:pPr>
              <w:pStyle w:val="TableParagraph"/>
              <w:rPr>
                <w:sz w:val="18"/>
              </w:rPr>
            </w:pPr>
          </w:p>
          <w:p>
            <w:pPr>
              <w:pStyle w:val="TableParagraph"/>
              <w:rPr>
                <w:sz w:val="18"/>
              </w:rPr>
            </w:pPr>
          </w:p>
          <w:p>
            <w:pPr>
              <w:pStyle w:val="TableParagraph"/>
              <w:rPr>
                <w:sz w:val="18"/>
              </w:rPr>
            </w:pPr>
          </w:p>
          <w:p>
            <w:pPr>
              <w:pStyle w:val="TableParagraph"/>
              <w:spacing w:before="154"/>
              <w:ind w:left="107"/>
              <w:rPr>
                <w:sz w:val="18"/>
              </w:rPr>
            </w:pPr>
            <w:r>
              <w:rPr>
                <w:sz w:val="18"/>
              </w:rPr>
              <w:t>供电设施</w:t>
            </w:r>
          </w:p>
        </w:tc>
        <w:tc>
          <w:tcPr>
            <w:tcW w:w="778" w:type="dxa"/>
          </w:tcPr>
          <w:p>
            <w:pPr>
              <w:pStyle w:val="TableParagraph"/>
              <w:spacing w:before="42"/>
              <w:ind w:left="278" w:right="268"/>
              <w:jc w:val="center"/>
              <w:rPr>
                <w:sz w:val="18"/>
              </w:rPr>
            </w:pPr>
            <w:r>
              <w:rPr>
                <w:sz w:val="18"/>
              </w:rPr>
              <w:t>13</w:t>
            </w:r>
          </w:p>
        </w:tc>
        <w:tc>
          <w:tcPr>
            <w:tcW w:w="2036" w:type="dxa"/>
          </w:tcPr>
          <w:p>
            <w:pPr>
              <w:pStyle w:val="TableParagraph"/>
              <w:spacing w:before="42"/>
              <w:ind w:left="108"/>
              <w:rPr>
                <w:sz w:val="18"/>
              </w:rPr>
            </w:pPr>
            <w:r>
              <w:rPr>
                <w:sz w:val="18"/>
              </w:rPr>
              <w:t>应急发电区</w:t>
            </w:r>
          </w:p>
        </w:tc>
        <w:tc>
          <w:tcPr>
            <w:tcW w:w="1701" w:type="dxa"/>
          </w:tcPr>
          <w:p>
            <w:pPr>
              <w:pStyle w:val="TableParagraph"/>
              <w:spacing w:before="42"/>
              <w:ind w:left="10"/>
              <w:jc w:val="center"/>
              <w:rPr>
                <w:sz w:val="18"/>
              </w:rPr>
            </w:pPr>
            <w:r>
              <w:rPr>
                <w:sz w:val="18"/>
              </w:rPr>
              <w:t>●</w:t>
            </w:r>
          </w:p>
        </w:tc>
        <w:tc>
          <w:tcPr>
            <w:tcW w:w="1702" w:type="dxa"/>
          </w:tcPr>
          <w:p>
            <w:pPr>
              <w:pStyle w:val="TableParagraph"/>
              <w:spacing w:before="42"/>
              <w:ind w:left="10"/>
              <w:jc w:val="center"/>
              <w:rPr>
                <w:sz w:val="18"/>
              </w:rPr>
            </w:pPr>
            <w:r>
              <w:rPr>
                <w:sz w:val="18"/>
              </w:rPr>
              <w:t>●</w:t>
            </w:r>
          </w:p>
        </w:tc>
        <w:tc>
          <w:tcPr>
            <w:tcW w:w="1719" w:type="dxa"/>
          </w:tcPr>
          <w:p>
            <w:pPr>
              <w:pStyle w:val="TableParagraph"/>
              <w:spacing w:before="42"/>
              <w:ind w:left="7"/>
              <w:jc w:val="center"/>
              <w:rPr>
                <w:sz w:val="18"/>
              </w:rPr>
            </w:pPr>
            <w:r>
              <w:rPr>
                <w:sz w:val="18"/>
              </w:rPr>
              <w:t>●</w:t>
            </w:r>
          </w:p>
        </w:tc>
      </w:tr>
      <w:tr>
        <w:tblPrEx>
          <w:tblW w:w="0" w:type="auto"/>
          <w:jc w:val="left"/>
          <w:tblInd w:w="1075" w:type="dxa"/>
          <w:tblLayout w:type="fixed"/>
          <w:tblCellMar>
            <w:top w:w="0" w:type="dxa"/>
            <w:left w:w="0" w:type="dxa"/>
            <w:bottom w:w="0" w:type="dxa"/>
            <w:right w:w="0" w:type="dxa"/>
          </w:tblCellMar>
          <w:tblLook w:val="01E0"/>
        </w:tblPrEx>
        <w:trPr>
          <w:trHeight w:val="311"/>
          <w:jc w:val="left"/>
        </w:trPr>
        <w:tc>
          <w:tcPr>
            <w:tcW w:w="524" w:type="dxa"/>
            <w:vMerge/>
            <w:tcBorders>
              <w:top w:val="nil"/>
            </w:tcBorders>
          </w:tcPr>
          <w:p>
            <w:pPr>
              <w:rPr>
                <w:sz w:val="2"/>
                <w:szCs w:val="2"/>
              </w:rPr>
            </w:pPr>
          </w:p>
        </w:tc>
        <w:tc>
          <w:tcPr>
            <w:tcW w:w="999" w:type="dxa"/>
            <w:vMerge/>
            <w:tcBorders>
              <w:top w:val="nil"/>
            </w:tcBorders>
          </w:tcPr>
          <w:p>
            <w:pPr>
              <w:rPr>
                <w:sz w:val="2"/>
                <w:szCs w:val="2"/>
              </w:rPr>
            </w:pPr>
          </w:p>
        </w:tc>
        <w:tc>
          <w:tcPr>
            <w:tcW w:w="778" w:type="dxa"/>
          </w:tcPr>
          <w:p>
            <w:pPr>
              <w:pStyle w:val="TableParagraph"/>
              <w:spacing w:before="41"/>
              <w:ind w:left="278" w:right="268"/>
              <w:jc w:val="center"/>
              <w:rPr>
                <w:sz w:val="18"/>
              </w:rPr>
            </w:pPr>
            <w:r>
              <w:rPr>
                <w:sz w:val="18"/>
              </w:rPr>
              <w:t>14</w:t>
            </w:r>
          </w:p>
        </w:tc>
        <w:tc>
          <w:tcPr>
            <w:tcW w:w="2036" w:type="dxa"/>
          </w:tcPr>
          <w:p>
            <w:pPr>
              <w:pStyle w:val="TableParagraph"/>
              <w:spacing w:before="41"/>
              <w:ind w:left="108"/>
              <w:rPr>
                <w:sz w:val="18"/>
              </w:rPr>
            </w:pPr>
            <w:r>
              <w:rPr>
                <w:sz w:val="18"/>
              </w:rPr>
              <w:t>变电装置</w:t>
            </w:r>
          </w:p>
        </w:tc>
        <w:tc>
          <w:tcPr>
            <w:tcW w:w="1701" w:type="dxa"/>
          </w:tcPr>
          <w:p>
            <w:pPr>
              <w:pStyle w:val="TableParagraph"/>
              <w:spacing w:before="41"/>
              <w:ind w:left="10"/>
              <w:jc w:val="center"/>
              <w:rPr>
                <w:sz w:val="18"/>
              </w:rPr>
            </w:pPr>
            <w:r>
              <w:rPr>
                <w:sz w:val="18"/>
              </w:rPr>
              <w:t>●</w:t>
            </w:r>
          </w:p>
        </w:tc>
        <w:tc>
          <w:tcPr>
            <w:tcW w:w="1702" w:type="dxa"/>
          </w:tcPr>
          <w:p>
            <w:pPr>
              <w:pStyle w:val="TableParagraph"/>
              <w:spacing w:before="41"/>
              <w:ind w:left="10"/>
              <w:jc w:val="center"/>
              <w:rPr>
                <w:sz w:val="18"/>
              </w:rPr>
            </w:pPr>
            <w:r>
              <w:rPr>
                <w:sz w:val="18"/>
              </w:rPr>
              <w:t>●</w:t>
            </w:r>
          </w:p>
        </w:tc>
        <w:tc>
          <w:tcPr>
            <w:tcW w:w="1719" w:type="dxa"/>
          </w:tcPr>
          <w:p>
            <w:pPr>
              <w:pStyle w:val="TableParagraph"/>
              <w:spacing w:before="41"/>
              <w:ind w:left="7"/>
              <w:jc w:val="center"/>
              <w:rPr>
                <w:sz w:val="18"/>
              </w:rPr>
            </w:pPr>
            <w:r>
              <w:rPr>
                <w:sz w:val="18"/>
              </w:rPr>
              <w:t>●</w:t>
            </w:r>
          </w:p>
        </w:tc>
      </w:tr>
      <w:tr>
        <w:tblPrEx>
          <w:tblW w:w="0" w:type="auto"/>
          <w:jc w:val="left"/>
          <w:tblInd w:w="1075" w:type="dxa"/>
          <w:tblLayout w:type="fixed"/>
          <w:tblCellMar>
            <w:top w:w="0" w:type="dxa"/>
            <w:left w:w="0" w:type="dxa"/>
            <w:bottom w:w="0" w:type="dxa"/>
            <w:right w:w="0" w:type="dxa"/>
          </w:tblCellMar>
          <w:tblLook w:val="01E0"/>
        </w:tblPrEx>
        <w:trPr>
          <w:trHeight w:val="312"/>
          <w:jc w:val="left"/>
        </w:trPr>
        <w:tc>
          <w:tcPr>
            <w:tcW w:w="524" w:type="dxa"/>
            <w:vMerge/>
            <w:tcBorders>
              <w:top w:val="nil"/>
            </w:tcBorders>
          </w:tcPr>
          <w:p>
            <w:pPr>
              <w:rPr>
                <w:sz w:val="2"/>
                <w:szCs w:val="2"/>
              </w:rPr>
            </w:pPr>
          </w:p>
        </w:tc>
        <w:tc>
          <w:tcPr>
            <w:tcW w:w="999" w:type="dxa"/>
            <w:vMerge/>
            <w:tcBorders>
              <w:top w:val="nil"/>
            </w:tcBorders>
          </w:tcPr>
          <w:p>
            <w:pPr>
              <w:rPr>
                <w:sz w:val="2"/>
                <w:szCs w:val="2"/>
              </w:rPr>
            </w:pPr>
          </w:p>
        </w:tc>
        <w:tc>
          <w:tcPr>
            <w:tcW w:w="778" w:type="dxa"/>
          </w:tcPr>
          <w:p>
            <w:pPr>
              <w:pStyle w:val="TableParagraph"/>
              <w:spacing w:before="41"/>
              <w:ind w:left="278" w:right="268"/>
              <w:jc w:val="center"/>
              <w:rPr>
                <w:sz w:val="18"/>
              </w:rPr>
            </w:pPr>
            <w:r>
              <w:rPr>
                <w:sz w:val="18"/>
              </w:rPr>
              <w:t>15</w:t>
            </w:r>
          </w:p>
        </w:tc>
        <w:tc>
          <w:tcPr>
            <w:tcW w:w="2036" w:type="dxa"/>
          </w:tcPr>
          <w:p>
            <w:pPr>
              <w:pStyle w:val="TableParagraph"/>
              <w:spacing w:before="41"/>
              <w:ind w:left="108"/>
              <w:rPr>
                <w:sz w:val="18"/>
              </w:rPr>
            </w:pPr>
            <w:r>
              <w:rPr>
                <w:sz w:val="18"/>
              </w:rPr>
              <w:t>移动式发电机组</w:t>
            </w:r>
          </w:p>
        </w:tc>
        <w:tc>
          <w:tcPr>
            <w:tcW w:w="1701" w:type="dxa"/>
          </w:tcPr>
          <w:p>
            <w:pPr>
              <w:pStyle w:val="TableParagraph"/>
              <w:spacing w:before="41"/>
              <w:ind w:left="10"/>
              <w:jc w:val="center"/>
              <w:rPr>
                <w:sz w:val="18"/>
              </w:rPr>
            </w:pPr>
            <w:r>
              <w:rPr>
                <w:sz w:val="18"/>
              </w:rPr>
              <w:t>●</w:t>
            </w:r>
          </w:p>
        </w:tc>
        <w:tc>
          <w:tcPr>
            <w:tcW w:w="1702" w:type="dxa"/>
          </w:tcPr>
          <w:p>
            <w:pPr>
              <w:pStyle w:val="TableParagraph"/>
              <w:spacing w:before="41"/>
              <w:ind w:left="10"/>
              <w:jc w:val="center"/>
              <w:rPr>
                <w:sz w:val="18"/>
              </w:rPr>
            </w:pPr>
            <w:r>
              <w:rPr>
                <w:sz w:val="18"/>
              </w:rPr>
              <w:t>●</w:t>
            </w:r>
          </w:p>
        </w:tc>
        <w:tc>
          <w:tcPr>
            <w:tcW w:w="1719" w:type="dxa"/>
          </w:tcPr>
          <w:p>
            <w:pPr>
              <w:pStyle w:val="TableParagraph"/>
              <w:spacing w:before="41"/>
              <w:ind w:left="7"/>
              <w:jc w:val="center"/>
              <w:rPr>
                <w:sz w:val="18"/>
              </w:rPr>
            </w:pPr>
            <w:r>
              <w:rPr>
                <w:sz w:val="18"/>
              </w:rPr>
              <w:t>●</w:t>
            </w:r>
          </w:p>
        </w:tc>
      </w:tr>
      <w:tr>
        <w:tblPrEx>
          <w:tblW w:w="0" w:type="auto"/>
          <w:jc w:val="left"/>
          <w:tblInd w:w="1075" w:type="dxa"/>
          <w:tblLayout w:type="fixed"/>
          <w:tblCellMar>
            <w:top w:w="0" w:type="dxa"/>
            <w:left w:w="0" w:type="dxa"/>
            <w:bottom w:w="0" w:type="dxa"/>
            <w:right w:w="0" w:type="dxa"/>
          </w:tblCellMar>
          <w:tblLook w:val="01E0"/>
        </w:tblPrEx>
        <w:trPr>
          <w:trHeight w:val="311"/>
          <w:jc w:val="left"/>
        </w:trPr>
        <w:tc>
          <w:tcPr>
            <w:tcW w:w="524" w:type="dxa"/>
            <w:vMerge/>
            <w:tcBorders>
              <w:top w:val="nil"/>
            </w:tcBorders>
          </w:tcPr>
          <w:p>
            <w:pPr>
              <w:rPr>
                <w:sz w:val="2"/>
                <w:szCs w:val="2"/>
              </w:rPr>
            </w:pPr>
          </w:p>
        </w:tc>
        <w:tc>
          <w:tcPr>
            <w:tcW w:w="999" w:type="dxa"/>
            <w:vMerge/>
            <w:tcBorders>
              <w:top w:val="nil"/>
            </w:tcBorders>
          </w:tcPr>
          <w:p>
            <w:pPr>
              <w:rPr>
                <w:sz w:val="2"/>
                <w:szCs w:val="2"/>
              </w:rPr>
            </w:pPr>
          </w:p>
        </w:tc>
        <w:tc>
          <w:tcPr>
            <w:tcW w:w="778" w:type="dxa"/>
          </w:tcPr>
          <w:p>
            <w:pPr>
              <w:pStyle w:val="TableParagraph"/>
              <w:spacing w:before="41"/>
              <w:ind w:left="278" w:right="268"/>
              <w:jc w:val="center"/>
              <w:rPr>
                <w:sz w:val="18"/>
              </w:rPr>
            </w:pPr>
            <w:r>
              <w:rPr>
                <w:sz w:val="18"/>
              </w:rPr>
              <w:t>16</w:t>
            </w:r>
          </w:p>
        </w:tc>
        <w:tc>
          <w:tcPr>
            <w:tcW w:w="2036" w:type="dxa"/>
          </w:tcPr>
          <w:p>
            <w:pPr>
              <w:pStyle w:val="TableParagraph"/>
              <w:spacing w:before="41"/>
              <w:ind w:left="108"/>
              <w:rPr>
                <w:sz w:val="18"/>
              </w:rPr>
            </w:pPr>
            <w:r>
              <w:rPr>
                <w:sz w:val="18"/>
              </w:rPr>
              <w:t>市政应急供电</w:t>
            </w:r>
          </w:p>
        </w:tc>
        <w:tc>
          <w:tcPr>
            <w:tcW w:w="1701" w:type="dxa"/>
          </w:tcPr>
          <w:p>
            <w:pPr>
              <w:pStyle w:val="TableParagraph"/>
              <w:spacing w:before="41"/>
              <w:ind w:left="10"/>
              <w:jc w:val="center"/>
              <w:rPr>
                <w:sz w:val="18"/>
              </w:rPr>
            </w:pPr>
            <w:r>
              <w:rPr>
                <w:sz w:val="18"/>
              </w:rPr>
              <w:t>●</w:t>
            </w:r>
          </w:p>
        </w:tc>
        <w:tc>
          <w:tcPr>
            <w:tcW w:w="1702" w:type="dxa"/>
          </w:tcPr>
          <w:p>
            <w:pPr>
              <w:pStyle w:val="TableParagraph"/>
              <w:spacing w:before="41"/>
              <w:ind w:left="10"/>
              <w:jc w:val="center"/>
              <w:rPr>
                <w:sz w:val="18"/>
              </w:rPr>
            </w:pPr>
            <w:r>
              <w:rPr>
                <w:sz w:val="18"/>
              </w:rPr>
              <w:t>○</w:t>
            </w:r>
          </w:p>
        </w:tc>
        <w:tc>
          <w:tcPr>
            <w:tcW w:w="1719" w:type="dxa"/>
          </w:tcPr>
          <w:p>
            <w:pPr>
              <w:pStyle w:val="TableParagraph"/>
              <w:spacing w:before="41"/>
              <w:ind w:left="7"/>
              <w:jc w:val="center"/>
              <w:rPr>
                <w:sz w:val="18"/>
              </w:rPr>
            </w:pPr>
            <w:r>
              <w:rPr>
                <w:sz w:val="18"/>
              </w:rPr>
              <w:t>—</w:t>
            </w:r>
          </w:p>
        </w:tc>
      </w:tr>
      <w:tr>
        <w:tblPrEx>
          <w:tblW w:w="0" w:type="auto"/>
          <w:jc w:val="left"/>
          <w:tblInd w:w="1075" w:type="dxa"/>
          <w:tblLayout w:type="fixed"/>
          <w:tblCellMar>
            <w:top w:w="0" w:type="dxa"/>
            <w:left w:w="0" w:type="dxa"/>
            <w:bottom w:w="0" w:type="dxa"/>
            <w:right w:w="0" w:type="dxa"/>
          </w:tblCellMar>
          <w:tblLook w:val="01E0"/>
        </w:tblPrEx>
        <w:trPr>
          <w:trHeight w:val="312"/>
          <w:jc w:val="left"/>
        </w:trPr>
        <w:tc>
          <w:tcPr>
            <w:tcW w:w="524" w:type="dxa"/>
            <w:vMerge/>
            <w:tcBorders>
              <w:top w:val="nil"/>
            </w:tcBorders>
          </w:tcPr>
          <w:p>
            <w:pPr>
              <w:rPr>
                <w:sz w:val="2"/>
                <w:szCs w:val="2"/>
              </w:rPr>
            </w:pPr>
          </w:p>
        </w:tc>
        <w:tc>
          <w:tcPr>
            <w:tcW w:w="999" w:type="dxa"/>
            <w:vMerge/>
            <w:tcBorders>
              <w:top w:val="nil"/>
            </w:tcBorders>
          </w:tcPr>
          <w:p>
            <w:pPr>
              <w:rPr>
                <w:sz w:val="2"/>
                <w:szCs w:val="2"/>
              </w:rPr>
            </w:pPr>
          </w:p>
        </w:tc>
        <w:tc>
          <w:tcPr>
            <w:tcW w:w="778" w:type="dxa"/>
          </w:tcPr>
          <w:p>
            <w:pPr>
              <w:pStyle w:val="TableParagraph"/>
              <w:spacing w:before="40"/>
              <w:ind w:left="278" w:right="268"/>
              <w:jc w:val="center"/>
              <w:rPr>
                <w:sz w:val="18"/>
              </w:rPr>
            </w:pPr>
            <w:r>
              <w:rPr>
                <w:sz w:val="18"/>
              </w:rPr>
              <w:t>17</w:t>
            </w:r>
          </w:p>
        </w:tc>
        <w:tc>
          <w:tcPr>
            <w:tcW w:w="2036" w:type="dxa"/>
          </w:tcPr>
          <w:p>
            <w:pPr>
              <w:pStyle w:val="TableParagraph"/>
              <w:spacing w:before="40"/>
              <w:ind w:left="108"/>
              <w:rPr>
                <w:sz w:val="18"/>
              </w:rPr>
            </w:pPr>
            <w:r>
              <w:rPr>
                <w:sz w:val="18"/>
              </w:rPr>
              <w:t>应急充电站、充电点</w:t>
            </w:r>
          </w:p>
        </w:tc>
        <w:tc>
          <w:tcPr>
            <w:tcW w:w="1701" w:type="dxa"/>
          </w:tcPr>
          <w:p>
            <w:pPr>
              <w:pStyle w:val="TableParagraph"/>
              <w:spacing w:before="40"/>
              <w:ind w:left="10"/>
              <w:jc w:val="center"/>
              <w:rPr>
                <w:sz w:val="18"/>
              </w:rPr>
            </w:pPr>
            <w:r>
              <w:rPr>
                <w:sz w:val="18"/>
              </w:rPr>
              <w:t>●</w:t>
            </w:r>
          </w:p>
        </w:tc>
        <w:tc>
          <w:tcPr>
            <w:tcW w:w="1702" w:type="dxa"/>
          </w:tcPr>
          <w:p>
            <w:pPr>
              <w:pStyle w:val="TableParagraph"/>
              <w:spacing w:before="40"/>
              <w:ind w:left="10"/>
              <w:jc w:val="center"/>
              <w:rPr>
                <w:sz w:val="18"/>
              </w:rPr>
            </w:pPr>
            <w:r>
              <w:rPr>
                <w:sz w:val="18"/>
              </w:rPr>
              <w:t>●</w:t>
            </w:r>
          </w:p>
        </w:tc>
        <w:tc>
          <w:tcPr>
            <w:tcW w:w="1719" w:type="dxa"/>
          </w:tcPr>
          <w:p>
            <w:pPr>
              <w:pStyle w:val="TableParagraph"/>
              <w:spacing w:before="40"/>
              <w:ind w:left="7"/>
              <w:jc w:val="center"/>
              <w:rPr>
                <w:sz w:val="18"/>
              </w:rPr>
            </w:pPr>
            <w:r>
              <w:rPr>
                <w:sz w:val="18"/>
              </w:rPr>
              <w:t>—</w:t>
            </w:r>
          </w:p>
        </w:tc>
      </w:tr>
      <w:tr>
        <w:tblPrEx>
          <w:tblW w:w="0" w:type="auto"/>
          <w:jc w:val="left"/>
          <w:tblInd w:w="1075" w:type="dxa"/>
          <w:tblLayout w:type="fixed"/>
          <w:tblCellMar>
            <w:top w:w="0" w:type="dxa"/>
            <w:left w:w="0" w:type="dxa"/>
            <w:bottom w:w="0" w:type="dxa"/>
            <w:right w:w="0" w:type="dxa"/>
          </w:tblCellMar>
          <w:tblLook w:val="01E0"/>
        </w:tblPrEx>
        <w:trPr>
          <w:trHeight w:val="312"/>
          <w:jc w:val="left"/>
        </w:trPr>
        <w:tc>
          <w:tcPr>
            <w:tcW w:w="524" w:type="dxa"/>
            <w:vMerge/>
            <w:tcBorders>
              <w:top w:val="nil"/>
            </w:tcBorders>
          </w:tcPr>
          <w:p>
            <w:pPr>
              <w:rPr>
                <w:sz w:val="2"/>
                <w:szCs w:val="2"/>
              </w:rPr>
            </w:pPr>
          </w:p>
        </w:tc>
        <w:tc>
          <w:tcPr>
            <w:tcW w:w="999" w:type="dxa"/>
            <w:vMerge/>
            <w:tcBorders>
              <w:top w:val="nil"/>
            </w:tcBorders>
          </w:tcPr>
          <w:p>
            <w:pPr>
              <w:rPr>
                <w:sz w:val="2"/>
                <w:szCs w:val="2"/>
              </w:rPr>
            </w:pPr>
          </w:p>
        </w:tc>
        <w:tc>
          <w:tcPr>
            <w:tcW w:w="778" w:type="dxa"/>
          </w:tcPr>
          <w:p>
            <w:pPr>
              <w:pStyle w:val="TableParagraph"/>
              <w:spacing w:before="40"/>
              <w:ind w:left="278" w:right="268"/>
              <w:jc w:val="center"/>
              <w:rPr>
                <w:sz w:val="18"/>
              </w:rPr>
            </w:pPr>
            <w:r>
              <w:rPr>
                <w:sz w:val="18"/>
              </w:rPr>
              <w:t>18</w:t>
            </w:r>
          </w:p>
        </w:tc>
        <w:tc>
          <w:tcPr>
            <w:tcW w:w="2036" w:type="dxa"/>
          </w:tcPr>
          <w:p>
            <w:pPr>
              <w:pStyle w:val="TableParagraph"/>
              <w:spacing w:before="40"/>
              <w:ind w:left="108"/>
              <w:rPr>
                <w:sz w:val="18"/>
              </w:rPr>
            </w:pPr>
            <w:r>
              <w:rPr>
                <w:sz w:val="18"/>
              </w:rPr>
              <w:t>照明设备</w:t>
            </w:r>
          </w:p>
        </w:tc>
        <w:tc>
          <w:tcPr>
            <w:tcW w:w="1701" w:type="dxa"/>
          </w:tcPr>
          <w:p>
            <w:pPr>
              <w:pStyle w:val="TableParagraph"/>
              <w:spacing w:before="40"/>
              <w:ind w:left="10"/>
              <w:jc w:val="center"/>
              <w:rPr>
                <w:sz w:val="18"/>
              </w:rPr>
            </w:pPr>
            <w:r>
              <w:rPr>
                <w:sz w:val="18"/>
              </w:rPr>
              <w:t>●</w:t>
            </w:r>
          </w:p>
        </w:tc>
        <w:tc>
          <w:tcPr>
            <w:tcW w:w="1702" w:type="dxa"/>
          </w:tcPr>
          <w:p>
            <w:pPr>
              <w:pStyle w:val="TableParagraph"/>
              <w:spacing w:before="40"/>
              <w:ind w:left="10"/>
              <w:jc w:val="center"/>
              <w:rPr>
                <w:sz w:val="18"/>
              </w:rPr>
            </w:pPr>
            <w:r>
              <w:rPr>
                <w:sz w:val="18"/>
              </w:rPr>
              <w:t>●</w:t>
            </w:r>
          </w:p>
        </w:tc>
        <w:tc>
          <w:tcPr>
            <w:tcW w:w="1719" w:type="dxa"/>
          </w:tcPr>
          <w:p>
            <w:pPr>
              <w:pStyle w:val="TableParagraph"/>
              <w:spacing w:before="40"/>
              <w:ind w:left="7"/>
              <w:jc w:val="center"/>
              <w:rPr>
                <w:sz w:val="18"/>
              </w:rPr>
            </w:pPr>
            <w:r>
              <w:rPr>
                <w:sz w:val="18"/>
              </w:rPr>
              <w:t>●</w:t>
            </w:r>
          </w:p>
        </w:tc>
      </w:tr>
      <w:tr>
        <w:tblPrEx>
          <w:tblW w:w="0" w:type="auto"/>
          <w:jc w:val="left"/>
          <w:tblInd w:w="1075" w:type="dxa"/>
          <w:tblLayout w:type="fixed"/>
          <w:tblCellMar>
            <w:top w:w="0" w:type="dxa"/>
            <w:left w:w="0" w:type="dxa"/>
            <w:bottom w:w="0" w:type="dxa"/>
            <w:right w:w="0" w:type="dxa"/>
          </w:tblCellMar>
          <w:tblLook w:val="01E0"/>
        </w:tblPrEx>
        <w:trPr>
          <w:trHeight w:val="623"/>
          <w:jc w:val="left"/>
        </w:trPr>
        <w:tc>
          <w:tcPr>
            <w:tcW w:w="524" w:type="dxa"/>
            <w:vMerge w:val="restart"/>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3"/>
              <w:rPr>
                <w:sz w:val="13"/>
              </w:rPr>
            </w:pPr>
          </w:p>
          <w:p>
            <w:pPr>
              <w:pStyle w:val="TableParagraph"/>
              <w:spacing w:before="1"/>
              <w:ind w:left="170"/>
              <w:rPr>
                <w:sz w:val="18"/>
              </w:rPr>
            </w:pPr>
            <w:r>
              <w:rPr>
                <w:sz w:val="18"/>
              </w:rPr>
              <w:t>六</w:t>
            </w:r>
          </w:p>
        </w:tc>
        <w:tc>
          <w:tcPr>
            <w:tcW w:w="999" w:type="dxa"/>
            <w:vMerge w:val="restart"/>
          </w:tcPr>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rPr>
                <w:sz w:val="18"/>
              </w:rPr>
            </w:pPr>
          </w:p>
          <w:p>
            <w:pPr>
              <w:pStyle w:val="TableParagraph"/>
              <w:spacing w:before="3"/>
              <w:rPr>
                <w:sz w:val="13"/>
              </w:rPr>
            </w:pPr>
          </w:p>
          <w:p>
            <w:pPr>
              <w:pStyle w:val="TableParagraph"/>
              <w:spacing w:before="1"/>
              <w:ind w:left="107"/>
              <w:rPr>
                <w:sz w:val="18"/>
              </w:rPr>
            </w:pPr>
            <w:r>
              <w:rPr>
                <w:sz w:val="18"/>
              </w:rPr>
              <w:t>供水设施</w:t>
            </w:r>
          </w:p>
        </w:tc>
        <w:tc>
          <w:tcPr>
            <w:tcW w:w="778" w:type="dxa"/>
          </w:tcPr>
          <w:p>
            <w:pPr>
              <w:pStyle w:val="TableParagraph"/>
              <w:spacing w:before="5"/>
              <w:rPr>
                <w:sz w:val="15"/>
              </w:rPr>
            </w:pPr>
          </w:p>
          <w:p>
            <w:pPr>
              <w:pStyle w:val="TableParagraph"/>
              <w:spacing w:before="1"/>
              <w:ind w:left="278" w:right="268"/>
              <w:jc w:val="center"/>
              <w:rPr>
                <w:sz w:val="18"/>
              </w:rPr>
            </w:pPr>
            <w:r>
              <w:rPr>
                <w:sz w:val="18"/>
              </w:rPr>
              <w:t>19</w:t>
            </w:r>
          </w:p>
        </w:tc>
        <w:tc>
          <w:tcPr>
            <w:tcW w:w="2036" w:type="dxa"/>
          </w:tcPr>
          <w:p>
            <w:pPr>
              <w:pStyle w:val="TableParagraph"/>
              <w:spacing w:before="42"/>
              <w:ind w:left="108"/>
              <w:rPr>
                <w:sz w:val="18"/>
              </w:rPr>
            </w:pPr>
            <w:r>
              <w:rPr>
                <w:sz w:val="18"/>
              </w:rPr>
              <w:t>饮用水点，开水间，水</w:t>
            </w:r>
          </w:p>
          <w:p>
            <w:pPr>
              <w:pStyle w:val="TableParagraph"/>
              <w:spacing w:before="81"/>
              <w:ind w:left="108"/>
              <w:rPr>
                <w:sz w:val="18"/>
              </w:rPr>
            </w:pPr>
            <w:r>
              <w:rPr>
                <w:sz w:val="18"/>
              </w:rPr>
              <w:t>龙头</w:t>
            </w:r>
          </w:p>
        </w:tc>
        <w:tc>
          <w:tcPr>
            <w:tcW w:w="1701" w:type="dxa"/>
          </w:tcPr>
          <w:p>
            <w:pPr>
              <w:pStyle w:val="TableParagraph"/>
              <w:spacing w:before="5"/>
              <w:rPr>
                <w:sz w:val="15"/>
              </w:rPr>
            </w:pPr>
          </w:p>
          <w:p>
            <w:pPr>
              <w:pStyle w:val="TableParagraph"/>
              <w:spacing w:before="1"/>
              <w:ind w:left="10"/>
              <w:jc w:val="center"/>
              <w:rPr>
                <w:sz w:val="18"/>
              </w:rPr>
            </w:pPr>
            <w:r>
              <w:rPr>
                <w:sz w:val="18"/>
              </w:rPr>
              <w:t>●</w:t>
            </w:r>
          </w:p>
        </w:tc>
        <w:tc>
          <w:tcPr>
            <w:tcW w:w="1702" w:type="dxa"/>
          </w:tcPr>
          <w:p>
            <w:pPr>
              <w:pStyle w:val="TableParagraph"/>
              <w:spacing w:before="5"/>
              <w:rPr>
                <w:sz w:val="15"/>
              </w:rPr>
            </w:pPr>
          </w:p>
          <w:p>
            <w:pPr>
              <w:pStyle w:val="TableParagraph"/>
              <w:spacing w:before="1"/>
              <w:ind w:left="10"/>
              <w:jc w:val="center"/>
              <w:rPr>
                <w:sz w:val="18"/>
              </w:rPr>
            </w:pPr>
            <w:r>
              <w:rPr>
                <w:sz w:val="18"/>
              </w:rPr>
              <w:t>●</w:t>
            </w:r>
          </w:p>
        </w:tc>
        <w:tc>
          <w:tcPr>
            <w:tcW w:w="1719" w:type="dxa"/>
          </w:tcPr>
          <w:p>
            <w:pPr>
              <w:pStyle w:val="TableParagraph"/>
              <w:spacing w:before="5"/>
              <w:rPr>
                <w:sz w:val="15"/>
              </w:rPr>
            </w:pPr>
          </w:p>
          <w:p>
            <w:pPr>
              <w:pStyle w:val="TableParagraph"/>
              <w:spacing w:before="1"/>
              <w:ind w:left="7"/>
              <w:jc w:val="center"/>
              <w:rPr>
                <w:sz w:val="18"/>
              </w:rPr>
            </w:pPr>
            <w:r>
              <w:rPr>
                <w:sz w:val="18"/>
              </w:rPr>
              <w:t>○</w:t>
            </w:r>
          </w:p>
        </w:tc>
      </w:tr>
      <w:tr>
        <w:tblPrEx>
          <w:tblW w:w="0" w:type="auto"/>
          <w:jc w:val="left"/>
          <w:tblInd w:w="1075" w:type="dxa"/>
          <w:tblLayout w:type="fixed"/>
          <w:tblCellMar>
            <w:top w:w="0" w:type="dxa"/>
            <w:left w:w="0" w:type="dxa"/>
            <w:bottom w:w="0" w:type="dxa"/>
            <w:right w:w="0" w:type="dxa"/>
          </w:tblCellMar>
          <w:tblLook w:val="01E0"/>
        </w:tblPrEx>
        <w:trPr>
          <w:trHeight w:val="311"/>
          <w:jc w:val="left"/>
        </w:trPr>
        <w:tc>
          <w:tcPr>
            <w:tcW w:w="524" w:type="dxa"/>
            <w:vMerge/>
            <w:tcBorders>
              <w:top w:val="nil"/>
            </w:tcBorders>
          </w:tcPr>
          <w:p>
            <w:pPr>
              <w:rPr>
                <w:sz w:val="2"/>
                <w:szCs w:val="2"/>
              </w:rPr>
            </w:pPr>
          </w:p>
        </w:tc>
        <w:tc>
          <w:tcPr>
            <w:tcW w:w="999" w:type="dxa"/>
            <w:vMerge/>
            <w:tcBorders>
              <w:top w:val="nil"/>
            </w:tcBorders>
          </w:tcPr>
          <w:p>
            <w:pPr>
              <w:rPr>
                <w:sz w:val="2"/>
                <w:szCs w:val="2"/>
              </w:rPr>
            </w:pPr>
          </w:p>
        </w:tc>
        <w:tc>
          <w:tcPr>
            <w:tcW w:w="778" w:type="dxa"/>
          </w:tcPr>
          <w:p>
            <w:pPr>
              <w:pStyle w:val="TableParagraph"/>
              <w:spacing w:before="41"/>
              <w:ind w:left="278" w:right="268"/>
              <w:jc w:val="center"/>
              <w:rPr>
                <w:sz w:val="18"/>
              </w:rPr>
            </w:pPr>
            <w:r>
              <w:rPr>
                <w:sz w:val="18"/>
              </w:rPr>
              <w:t>20</w:t>
            </w:r>
          </w:p>
        </w:tc>
        <w:tc>
          <w:tcPr>
            <w:tcW w:w="2036" w:type="dxa"/>
          </w:tcPr>
          <w:p>
            <w:pPr>
              <w:pStyle w:val="TableParagraph"/>
              <w:spacing w:before="41"/>
              <w:ind w:left="108"/>
              <w:rPr>
                <w:sz w:val="18"/>
              </w:rPr>
            </w:pPr>
            <w:r>
              <w:rPr>
                <w:sz w:val="18"/>
              </w:rPr>
              <w:t>应急水源</w:t>
            </w:r>
          </w:p>
        </w:tc>
        <w:tc>
          <w:tcPr>
            <w:tcW w:w="1701" w:type="dxa"/>
          </w:tcPr>
          <w:p>
            <w:pPr>
              <w:pStyle w:val="TableParagraph"/>
              <w:spacing w:before="41"/>
              <w:ind w:left="10"/>
              <w:jc w:val="center"/>
              <w:rPr>
                <w:sz w:val="18"/>
              </w:rPr>
            </w:pPr>
            <w:r>
              <w:rPr>
                <w:sz w:val="18"/>
              </w:rPr>
              <w:t>●</w:t>
            </w:r>
          </w:p>
        </w:tc>
        <w:tc>
          <w:tcPr>
            <w:tcW w:w="1702" w:type="dxa"/>
          </w:tcPr>
          <w:p>
            <w:pPr>
              <w:pStyle w:val="TableParagraph"/>
              <w:spacing w:before="41"/>
              <w:ind w:left="10"/>
              <w:jc w:val="center"/>
              <w:rPr>
                <w:sz w:val="18"/>
              </w:rPr>
            </w:pPr>
            <w:r>
              <w:rPr>
                <w:sz w:val="18"/>
              </w:rPr>
              <w:t>●</w:t>
            </w:r>
          </w:p>
        </w:tc>
        <w:tc>
          <w:tcPr>
            <w:tcW w:w="1719" w:type="dxa"/>
          </w:tcPr>
          <w:p>
            <w:pPr>
              <w:pStyle w:val="TableParagraph"/>
              <w:spacing w:before="41"/>
              <w:ind w:left="7"/>
              <w:jc w:val="center"/>
              <w:rPr>
                <w:sz w:val="18"/>
              </w:rPr>
            </w:pPr>
            <w:r>
              <w:rPr>
                <w:sz w:val="18"/>
              </w:rPr>
              <w:t>—</w:t>
            </w:r>
          </w:p>
        </w:tc>
      </w:tr>
      <w:tr>
        <w:tblPrEx>
          <w:tblW w:w="0" w:type="auto"/>
          <w:jc w:val="left"/>
          <w:tblInd w:w="1075" w:type="dxa"/>
          <w:tblLayout w:type="fixed"/>
          <w:tblCellMar>
            <w:top w:w="0" w:type="dxa"/>
            <w:left w:w="0" w:type="dxa"/>
            <w:bottom w:w="0" w:type="dxa"/>
            <w:right w:w="0" w:type="dxa"/>
          </w:tblCellMar>
          <w:tblLook w:val="01E0"/>
        </w:tblPrEx>
        <w:trPr>
          <w:trHeight w:val="312"/>
          <w:jc w:val="left"/>
        </w:trPr>
        <w:tc>
          <w:tcPr>
            <w:tcW w:w="524" w:type="dxa"/>
            <w:vMerge/>
            <w:tcBorders>
              <w:top w:val="nil"/>
            </w:tcBorders>
          </w:tcPr>
          <w:p>
            <w:pPr>
              <w:rPr>
                <w:sz w:val="2"/>
                <w:szCs w:val="2"/>
              </w:rPr>
            </w:pPr>
          </w:p>
        </w:tc>
        <w:tc>
          <w:tcPr>
            <w:tcW w:w="999" w:type="dxa"/>
            <w:vMerge/>
            <w:tcBorders>
              <w:top w:val="nil"/>
            </w:tcBorders>
          </w:tcPr>
          <w:p>
            <w:pPr>
              <w:rPr>
                <w:sz w:val="2"/>
                <w:szCs w:val="2"/>
              </w:rPr>
            </w:pPr>
          </w:p>
        </w:tc>
        <w:tc>
          <w:tcPr>
            <w:tcW w:w="778" w:type="dxa"/>
          </w:tcPr>
          <w:p>
            <w:pPr>
              <w:pStyle w:val="TableParagraph"/>
              <w:spacing w:before="41"/>
              <w:ind w:left="278" w:right="268"/>
              <w:jc w:val="center"/>
              <w:rPr>
                <w:sz w:val="18"/>
              </w:rPr>
            </w:pPr>
            <w:r>
              <w:rPr>
                <w:sz w:val="18"/>
              </w:rPr>
              <w:t>21</w:t>
            </w:r>
          </w:p>
        </w:tc>
        <w:tc>
          <w:tcPr>
            <w:tcW w:w="2036" w:type="dxa"/>
          </w:tcPr>
          <w:p>
            <w:pPr>
              <w:pStyle w:val="TableParagraph"/>
              <w:spacing w:before="41"/>
              <w:ind w:left="108"/>
              <w:rPr>
                <w:sz w:val="18"/>
              </w:rPr>
            </w:pPr>
            <w:r>
              <w:rPr>
                <w:sz w:val="18"/>
              </w:rPr>
              <w:t>应急储水设施</w:t>
            </w:r>
          </w:p>
        </w:tc>
        <w:tc>
          <w:tcPr>
            <w:tcW w:w="1701" w:type="dxa"/>
          </w:tcPr>
          <w:p>
            <w:pPr>
              <w:pStyle w:val="TableParagraph"/>
              <w:spacing w:before="41"/>
              <w:ind w:left="10"/>
              <w:jc w:val="center"/>
              <w:rPr>
                <w:sz w:val="18"/>
              </w:rPr>
            </w:pPr>
            <w:r>
              <w:rPr>
                <w:sz w:val="18"/>
              </w:rPr>
              <w:t>●</w:t>
            </w:r>
          </w:p>
        </w:tc>
        <w:tc>
          <w:tcPr>
            <w:tcW w:w="1702" w:type="dxa"/>
          </w:tcPr>
          <w:p>
            <w:pPr>
              <w:pStyle w:val="TableParagraph"/>
              <w:spacing w:before="41"/>
              <w:ind w:left="10"/>
              <w:jc w:val="center"/>
              <w:rPr>
                <w:sz w:val="18"/>
              </w:rPr>
            </w:pPr>
            <w:r>
              <w:rPr>
                <w:sz w:val="18"/>
              </w:rPr>
              <w:t>●</w:t>
            </w:r>
          </w:p>
        </w:tc>
        <w:tc>
          <w:tcPr>
            <w:tcW w:w="1719" w:type="dxa"/>
          </w:tcPr>
          <w:p>
            <w:pPr>
              <w:pStyle w:val="TableParagraph"/>
              <w:spacing w:before="41"/>
              <w:ind w:left="7"/>
              <w:jc w:val="center"/>
              <w:rPr>
                <w:sz w:val="18"/>
              </w:rPr>
            </w:pPr>
            <w:r>
              <w:rPr>
                <w:sz w:val="18"/>
              </w:rPr>
              <w:t>○</w:t>
            </w:r>
          </w:p>
        </w:tc>
      </w:tr>
      <w:tr>
        <w:tblPrEx>
          <w:tblW w:w="0" w:type="auto"/>
          <w:jc w:val="left"/>
          <w:tblInd w:w="1075" w:type="dxa"/>
          <w:tblLayout w:type="fixed"/>
          <w:tblCellMar>
            <w:top w:w="0" w:type="dxa"/>
            <w:left w:w="0" w:type="dxa"/>
            <w:bottom w:w="0" w:type="dxa"/>
            <w:right w:w="0" w:type="dxa"/>
          </w:tblCellMar>
          <w:tblLook w:val="01E0"/>
        </w:tblPrEx>
        <w:trPr>
          <w:trHeight w:val="312"/>
          <w:jc w:val="left"/>
        </w:trPr>
        <w:tc>
          <w:tcPr>
            <w:tcW w:w="524" w:type="dxa"/>
            <w:vMerge/>
            <w:tcBorders>
              <w:top w:val="nil"/>
            </w:tcBorders>
          </w:tcPr>
          <w:p>
            <w:pPr>
              <w:rPr>
                <w:sz w:val="2"/>
                <w:szCs w:val="2"/>
              </w:rPr>
            </w:pPr>
          </w:p>
        </w:tc>
        <w:tc>
          <w:tcPr>
            <w:tcW w:w="999" w:type="dxa"/>
            <w:vMerge/>
            <w:tcBorders>
              <w:top w:val="nil"/>
            </w:tcBorders>
          </w:tcPr>
          <w:p>
            <w:pPr>
              <w:rPr>
                <w:sz w:val="2"/>
                <w:szCs w:val="2"/>
              </w:rPr>
            </w:pPr>
          </w:p>
        </w:tc>
        <w:tc>
          <w:tcPr>
            <w:tcW w:w="778" w:type="dxa"/>
          </w:tcPr>
          <w:p>
            <w:pPr>
              <w:pStyle w:val="TableParagraph"/>
              <w:spacing w:before="40"/>
              <w:ind w:left="278" w:right="268"/>
              <w:jc w:val="center"/>
              <w:rPr>
                <w:sz w:val="18"/>
              </w:rPr>
            </w:pPr>
            <w:r>
              <w:rPr>
                <w:sz w:val="18"/>
              </w:rPr>
              <w:t>22</w:t>
            </w:r>
          </w:p>
        </w:tc>
        <w:tc>
          <w:tcPr>
            <w:tcW w:w="2036" w:type="dxa"/>
          </w:tcPr>
          <w:p>
            <w:pPr>
              <w:pStyle w:val="TableParagraph"/>
              <w:spacing w:before="40"/>
              <w:ind w:left="108"/>
              <w:rPr>
                <w:sz w:val="18"/>
              </w:rPr>
            </w:pPr>
            <w:r>
              <w:rPr>
                <w:sz w:val="18"/>
              </w:rPr>
              <w:t>净水滤水设施</w:t>
            </w:r>
          </w:p>
        </w:tc>
        <w:tc>
          <w:tcPr>
            <w:tcW w:w="1701" w:type="dxa"/>
          </w:tcPr>
          <w:p>
            <w:pPr>
              <w:pStyle w:val="TableParagraph"/>
              <w:spacing w:before="40"/>
              <w:ind w:left="10"/>
              <w:jc w:val="center"/>
              <w:rPr>
                <w:sz w:val="18"/>
              </w:rPr>
            </w:pPr>
            <w:r>
              <w:rPr>
                <w:sz w:val="18"/>
              </w:rPr>
              <w:t>●</w:t>
            </w:r>
          </w:p>
        </w:tc>
        <w:tc>
          <w:tcPr>
            <w:tcW w:w="1702" w:type="dxa"/>
          </w:tcPr>
          <w:p>
            <w:pPr>
              <w:pStyle w:val="TableParagraph"/>
              <w:spacing w:before="40"/>
              <w:ind w:left="10"/>
              <w:jc w:val="center"/>
              <w:rPr>
                <w:sz w:val="18"/>
              </w:rPr>
            </w:pPr>
            <w:r>
              <w:rPr>
                <w:sz w:val="18"/>
              </w:rPr>
              <w:t>●</w:t>
            </w:r>
          </w:p>
        </w:tc>
        <w:tc>
          <w:tcPr>
            <w:tcW w:w="1719" w:type="dxa"/>
          </w:tcPr>
          <w:p>
            <w:pPr>
              <w:pStyle w:val="TableParagraph"/>
              <w:spacing w:before="40"/>
              <w:ind w:left="7"/>
              <w:jc w:val="center"/>
              <w:rPr>
                <w:sz w:val="18"/>
              </w:rPr>
            </w:pPr>
            <w:r>
              <w:rPr>
                <w:sz w:val="18"/>
              </w:rPr>
              <w:t>○</w:t>
            </w:r>
          </w:p>
        </w:tc>
      </w:tr>
      <w:tr>
        <w:tblPrEx>
          <w:tblW w:w="0" w:type="auto"/>
          <w:jc w:val="left"/>
          <w:tblInd w:w="1075" w:type="dxa"/>
          <w:tblLayout w:type="fixed"/>
          <w:tblCellMar>
            <w:top w:w="0" w:type="dxa"/>
            <w:left w:w="0" w:type="dxa"/>
            <w:bottom w:w="0" w:type="dxa"/>
            <w:right w:w="0" w:type="dxa"/>
          </w:tblCellMar>
          <w:tblLook w:val="01E0"/>
        </w:tblPrEx>
        <w:trPr>
          <w:trHeight w:val="311"/>
          <w:jc w:val="left"/>
        </w:trPr>
        <w:tc>
          <w:tcPr>
            <w:tcW w:w="524" w:type="dxa"/>
            <w:vMerge/>
            <w:tcBorders>
              <w:top w:val="nil"/>
            </w:tcBorders>
          </w:tcPr>
          <w:p>
            <w:pPr>
              <w:rPr>
                <w:sz w:val="2"/>
                <w:szCs w:val="2"/>
              </w:rPr>
            </w:pPr>
          </w:p>
        </w:tc>
        <w:tc>
          <w:tcPr>
            <w:tcW w:w="999" w:type="dxa"/>
            <w:vMerge/>
            <w:tcBorders>
              <w:top w:val="nil"/>
            </w:tcBorders>
          </w:tcPr>
          <w:p>
            <w:pPr>
              <w:rPr>
                <w:sz w:val="2"/>
                <w:szCs w:val="2"/>
              </w:rPr>
            </w:pPr>
          </w:p>
        </w:tc>
        <w:tc>
          <w:tcPr>
            <w:tcW w:w="778" w:type="dxa"/>
          </w:tcPr>
          <w:p>
            <w:pPr>
              <w:pStyle w:val="TableParagraph"/>
              <w:spacing w:before="40"/>
              <w:ind w:left="278" w:right="268"/>
              <w:jc w:val="center"/>
              <w:rPr>
                <w:sz w:val="18"/>
              </w:rPr>
            </w:pPr>
            <w:r>
              <w:rPr>
                <w:sz w:val="18"/>
              </w:rPr>
              <w:t>23</w:t>
            </w:r>
          </w:p>
        </w:tc>
        <w:tc>
          <w:tcPr>
            <w:tcW w:w="2036" w:type="dxa"/>
          </w:tcPr>
          <w:p>
            <w:pPr>
              <w:pStyle w:val="TableParagraph"/>
              <w:spacing w:before="40"/>
              <w:ind w:left="108"/>
              <w:rPr>
                <w:sz w:val="18"/>
              </w:rPr>
            </w:pPr>
            <w:r>
              <w:rPr>
                <w:sz w:val="18"/>
              </w:rPr>
              <w:t>供水车停车区</w:t>
            </w:r>
          </w:p>
        </w:tc>
        <w:tc>
          <w:tcPr>
            <w:tcW w:w="1701" w:type="dxa"/>
          </w:tcPr>
          <w:p>
            <w:pPr>
              <w:pStyle w:val="TableParagraph"/>
              <w:spacing w:before="40"/>
              <w:ind w:left="10"/>
              <w:jc w:val="center"/>
              <w:rPr>
                <w:sz w:val="18"/>
              </w:rPr>
            </w:pPr>
            <w:r>
              <w:rPr>
                <w:sz w:val="18"/>
              </w:rPr>
              <w:t>○</w:t>
            </w:r>
          </w:p>
        </w:tc>
        <w:tc>
          <w:tcPr>
            <w:tcW w:w="1702" w:type="dxa"/>
          </w:tcPr>
          <w:p>
            <w:pPr>
              <w:pStyle w:val="TableParagraph"/>
              <w:spacing w:before="40"/>
              <w:ind w:left="10"/>
              <w:jc w:val="center"/>
              <w:rPr>
                <w:sz w:val="18"/>
              </w:rPr>
            </w:pPr>
            <w:r>
              <w:rPr>
                <w:sz w:val="18"/>
              </w:rPr>
              <w:t>○</w:t>
            </w:r>
          </w:p>
        </w:tc>
        <w:tc>
          <w:tcPr>
            <w:tcW w:w="1719" w:type="dxa"/>
          </w:tcPr>
          <w:p>
            <w:pPr>
              <w:pStyle w:val="TableParagraph"/>
              <w:spacing w:before="40"/>
              <w:ind w:left="7"/>
              <w:jc w:val="center"/>
              <w:rPr>
                <w:sz w:val="18"/>
              </w:rPr>
            </w:pPr>
            <w:r>
              <w:rPr>
                <w:sz w:val="18"/>
              </w:rPr>
              <w:t>○</w:t>
            </w:r>
          </w:p>
        </w:tc>
      </w:tr>
      <w:tr>
        <w:tblPrEx>
          <w:tblW w:w="0" w:type="auto"/>
          <w:jc w:val="left"/>
          <w:tblInd w:w="1075" w:type="dxa"/>
          <w:tblLayout w:type="fixed"/>
          <w:tblCellMar>
            <w:top w:w="0" w:type="dxa"/>
            <w:left w:w="0" w:type="dxa"/>
            <w:bottom w:w="0" w:type="dxa"/>
            <w:right w:w="0" w:type="dxa"/>
          </w:tblCellMar>
          <w:tblLook w:val="01E0"/>
        </w:tblPrEx>
        <w:trPr>
          <w:trHeight w:val="312"/>
          <w:jc w:val="left"/>
        </w:trPr>
        <w:tc>
          <w:tcPr>
            <w:tcW w:w="524" w:type="dxa"/>
            <w:vMerge/>
            <w:tcBorders>
              <w:top w:val="nil"/>
            </w:tcBorders>
          </w:tcPr>
          <w:p>
            <w:pPr>
              <w:rPr>
                <w:sz w:val="2"/>
                <w:szCs w:val="2"/>
              </w:rPr>
            </w:pPr>
          </w:p>
        </w:tc>
        <w:tc>
          <w:tcPr>
            <w:tcW w:w="999" w:type="dxa"/>
            <w:vMerge/>
            <w:tcBorders>
              <w:top w:val="nil"/>
            </w:tcBorders>
          </w:tcPr>
          <w:p>
            <w:pPr>
              <w:rPr>
                <w:sz w:val="2"/>
                <w:szCs w:val="2"/>
              </w:rPr>
            </w:pPr>
          </w:p>
        </w:tc>
        <w:tc>
          <w:tcPr>
            <w:tcW w:w="778" w:type="dxa"/>
          </w:tcPr>
          <w:p>
            <w:pPr>
              <w:pStyle w:val="TableParagraph"/>
              <w:spacing w:before="40"/>
              <w:ind w:left="278" w:right="268"/>
              <w:jc w:val="center"/>
              <w:rPr>
                <w:sz w:val="18"/>
              </w:rPr>
            </w:pPr>
            <w:r>
              <w:rPr>
                <w:sz w:val="18"/>
              </w:rPr>
              <w:t>24</w:t>
            </w:r>
          </w:p>
        </w:tc>
        <w:tc>
          <w:tcPr>
            <w:tcW w:w="2036" w:type="dxa"/>
          </w:tcPr>
          <w:p>
            <w:pPr>
              <w:pStyle w:val="TableParagraph"/>
              <w:spacing w:before="40"/>
              <w:ind w:left="108"/>
              <w:rPr>
                <w:sz w:val="18"/>
              </w:rPr>
            </w:pPr>
            <w:r>
              <w:rPr>
                <w:sz w:val="18"/>
              </w:rPr>
              <w:t>场所应急保障给水管线</w:t>
            </w:r>
          </w:p>
        </w:tc>
        <w:tc>
          <w:tcPr>
            <w:tcW w:w="1701" w:type="dxa"/>
          </w:tcPr>
          <w:p>
            <w:pPr>
              <w:pStyle w:val="TableParagraph"/>
              <w:spacing w:before="40"/>
              <w:ind w:left="10"/>
              <w:jc w:val="center"/>
              <w:rPr>
                <w:sz w:val="18"/>
              </w:rPr>
            </w:pPr>
            <w:r>
              <w:rPr>
                <w:sz w:val="18"/>
              </w:rPr>
              <w:t>●</w:t>
            </w:r>
          </w:p>
        </w:tc>
        <w:tc>
          <w:tcPr>
            <w:tcW w:w="1702" w:type="dxa"/>
          </w:tcPr>
          <w:p>
            <w:pPr>
              <w:pStyle w:val="TableParagraph"/>
              <w:spacing w:before="40"/>
              <w:ind w:left="10"/>
              <w:jc w:val="center"/>
              <w:rPr>
                <w:sz w:val="18"/>
              </w:rPr>
            </w:pPr>
            <w:r>
              <w:rPr>
                <w:sz w:val="18"/>
              </w:rPr>
              <w:t>○</w:t>
            </w:r>
          </w:p>
        </w:tc>
        <w:tc>
          <w:tcPr>
            <w:tcW w:w="1719" w:type="dxa"/>
          </w:tcPr>
          <w:p>
            <w:pPr>
              <w:pStyle w:val="TableParagraph"/>
              <w:spacing w:before="40"/>
              <w:ind w:left="7"/>
              <w:jc w:val="center"/>
              <w:rPr>
                <w:sz w:val="18"/>
              </w:rPr>
            </w:pPr>
            <w:r>
              <w:rPr>
                <w:sz w:val="18"/>
              </w:rPr>
              <w:t>—</w:t>
            </w:r>
          </w:p>
        </w:tc>
      </w:tr>
      <w:tr>
        <w:tblPrEx>
          <w:tblW w:w="0" w:type="auto"/>
          <w:jc w:val="left"/>
          <w:tblInd w:w="1075" w:type="dxa"/>
          <w:tblLayout w:type="fixed"/>
          <w:tblCellMar>
            <w:top w:w="0" w:type="dxa"/>
            <w:left w:w="0" w:type="dxa"/>
            <w:bottom w:w="0" w:type="dxa"/>
            <w:right w:w="0" w:type="dxa"/>
          </w:tblCellMar>
          <w:tblLook w:val="01E0"/>
        </w:tblPrEx>
        <w:trPr>
          <w:trHeight w:val="312"/>
          <w:jc w:val="left"/>
        </w:trPr>
        <w:tc>
          <w:tcPr>
            <w:tcW w:w="524" w:type="dxa"/>
            <w:vMerge/>
            <w:tcBorders>
              <w:top w:val="nil"/>
            </w:tcBorders>
          </w:tcPr>
          <w:p>
            <w:pPr>
              <w:rPr>
                <w:sz w:val="2"/>
                <w:szCs w:val="2"/>
              </w:rPr>
            </w:pPr>
          </w:p>
        </w:tc>
        <w:tc>
          <w:tcPr>
            <w:tcW w:w="999" w:type="dxa"/>
            <w:vMerge/>
            <w:tcBorders>
              <w:top w:val="nil"/>
            </w:tcBorders>
          </w:tcPr>
          <w:p>
            <w:pPr>
              <w:rPr>
                <w:sz w:val="2"/>
                <w:szCs w:val="2"/>
              </w:rPr>
            </w:pPr>
          </w:p>
        </w:tc>
        <w:tc>
          <w:tcPr>
            <w:tcW w:w="778" w:type="dxa"/>
          </w:tcPr>
          <w:p>
            <w:pPr>
              <w:pStyle w:val="TableParagraph"/>
              <w:spacing w:before="42"/>
              <w:ind w:left="278" w:right="268"/>
              <w:jc w:val="center"/>
              <w:rPr>
                <w:sz w:val="18"/>
              </w:rPr>
            </w:pPr>
            <w:r>
              <w:rPr>
                <w:sz w:val="18"/>
              </w:rPr>
              <w:t>25</w:t>
            </w:r>
          </w:p>
        </w:tc>
        <w:tc>
          <w:tcPr>
            <w:tcW w:w="2036" w:type="dxa"/>
          </w:tcPr>
          <w:p>
            <w:pPr>
              <w:pStyle w:val="TableParagraph"/>
              <w:spacing w:before="42"/>
              <w:ind w:left="108"/>
              <w:rPr>
                <w:sz w:val="18"/>
              </w:rPr>
            </w:pPr>
            <w:r>
              <w:rPr>
                <w:sz w:val="18"/>
              </w:rPr>
              <w:t>应急水泵</w:t>
            </w:r>
          </w:p>
        </w:tc>
        <w:tc>
          <w:tcPr>
            <w:tcW w:w="1701" w:type="dxa"/>
          </w:tcPr>
          <w:p>
            <w:pPr>
              <w:pStyle w:val="TableParagraph"/>
              <w:spacing w:before="42"/>
              <w:ind w:left="10"/>
              <w:jc w:val="center"/>
              <w:rPr>
                <w:sz w:val="18"/>
              </w:rPr>
            </w:pPr>
            <w:r>
              <w:rPr>
                <w:sz w:val="18"/>
              </w:rPr>
              <w:t>○</w:t>
            </w:r>
          </w:p>
        </w:tc>
        <w:tc>
          <w:tcPr>
            <w:tcW w:w="1702" w:type="dxa"/>
          </w:tcPr>
          <w:p>
            <w:pPr>
              <w:pStyle w:val="TableParagraph"/>
              <w:spacing w:before="42"/>
              <w:ind w:left="10"/>
              <w:jc w:val="center"/>
              <w:rPr>
                <w:sz w:val="18"/>
              </w:rPr>
            </w:pPr>
            <w:r>
              <w:rPr>
                <w:sz w:val="18"/>
              </w:rPr>
              <w:t>○</w:t>
            </w:r>
          </w:p>
        </w:tc>
        <w:tc>
          <w:tcPr>
            <w:tcW w:w="1719" w:type="dxa"/>
          </w:tcPr>
          <w:p>
            <w:pPr>
              <w:pStyle w:val="TableParagraph"/>
              <w:spacing w:before="42"/>
              <w:ind w:left="7"/>
              <w:jc w:val="center"/>
              <w:rPr>
                <w:sz w:val="18"/>
              </w:rPr>
            </w:pPr>
            <w:r>
              <w:rPr>
                <w:sz w:val="18"/>
              </w:rPr>
              <w:t>—</w:t>
            </w:r>
          </w:p>
        </w:tc>
      </w:tr>
      <w:tr>
        <w:tblPrEx>
          <w:tblW w:w="0" w:type="auto"/>
          <w:jc w:val="left"/>
          <w:tblInd w:w="1075" w:type="dxa"/>
          <w:tblLayout w:type="fixed"/>
          <w:tblCellMar>
            <w:top w:w="0" w:type="dxa"/>
            <w:left w:w="0" w:type="dxa"/>
            <w:bottom w:w="0" w:type="dxa"/>
            <w:right w:w="0" w:type="dxa"/>
          </w:tblCellMar>
          <w:tblLook w:val="01E0"/>
        </w:tblPrEx>
        <w:trPr>
          <w:trHeight w:val="312"/>
          <w:jc w:val="left"/>
        </w:trPr>
        <w:tc>
          <w:tcPr>
            <w:tcW w:w="524" w:type="dxa"/>
            <w:vMerge/>
            <w:tcBorders>
              <w:top w:val="nil"/>
            </w:tcBorders>
          </w:tcPr>
          <w:p>
            <w:pPr>
              <w:rPr>
                <w:sz w:val="2"/>
                <w:szCs w:val="2"/>
              </w:rPr>
            </w:pPr>
          </w:p>
        </w:tc>
        <w:tc>
          <w:tcPr>
            <w:tcW w:w="999" w:type="dxa"/>
            <w:vMerge/>
            <w:tcBorders>
              <w:top w:val="nil"/>
            </w:tcBorders>
          </w:tcPr>
          <w:p>
            <w:pPr>
              <w:rPr>
                <w:sz w:val="2"/>
                <w:szCs w:val="2"/>
              </w:rPr>
            </w:pPr>
          </w:p>
        </w:tc>
        <w:tc>
          <w:tcPr>
            <w:tcW w:w="778" w:type="dxa"/>
          </w:tcPr>
          <w:p>
            <w:pPr>
              <w:pStyle w:val="TableParagraph"/>
              <w:spacing w:before="41"/>
              <w:ind w:left="278" w:right="268"/>
              <w:jc w:val="center"/>
              <w:rPr>
                <w:sz w:val="18"/>
              </w:rPr>
            </w:pPr>
            <w:r>
              <w:rPr>
                <w:sz w:val="18"/>
              </w:rPr>
              <w:t>26</w:t>
            </w:r>
          </w:p>
        </w:tc>
        <w:tc>
          <w:tcPr>
            <w:tcW w:w="2036" w:type="dxa"/>
          </w:tcPr>
          <w:p>
            <w:pPr>
              <w:pStyle w:val="TableParagraph"/>
              <w:spacing w:before="41"/>
              <w:ind w:left="108"/>
              <w:rPr>
                <w:sz w:val="18"/>
              </w:rPr>
            </w:pPr>
            <w:r>
              <w:rPr>
                <w:sz w:val="18"/>
              </w:rPr>
              <w:t>临时管线、供水阀</w:t>
            </w:r>
          </w:p>
        </w:tc>
        <w:tc>
          <w:tcPr>
            <w:tcW w:w="1701" w:type="dxa"/>
          </w:tcPr>
          <w:p>
            <w:pPr>
              <w:pStyle w:val="TableParagraph"/>
              <w:spacing w:before="41"/>
              <w:ind w:left="10"/>
              <w:jc w:val="center"/>
              <w:rPr>
                <w:sz w:val="18"/>
              </w:rPr>
            </w:pPr>
            <w:r>
              <w:rPr>
                <w:sz w:val="18"/>
              </w:rPr>
              <w:t>●</w:t>
            </w:r>
          </w:p>
        </w:tc>
        <w:tc>
          <w:tcPr>
            <w:tcW w:w="1702" w:type="dxa"/>
          </w:tcPr>
          <w:p>
            <w:pPr>
              <w:pStyle w:val="TableParagraph"/>
              <w:spacing w:before="41"/>
              <w:ind w:left="10"/>
              <w:jc w:val="center"/>
              <w:rPr>
                <w:sz w:val="18"/>
              </w:rPr>
            </w:pPr>
            <w:r>
              <w:rPr>
                <w:sz w:val="18"/>
              </w:rPr>
              <w:t>●</w:t>
            </w:r>
          </w:p>
        </w:tc>
        <w:tc>
          <w:tcPr>
            <w:tcW w:w="1719" w:type="dxa"/>
          </w:tcPr>
          <w:p>
            <w:pPr>
              <w:pStyle w:val="TableParagraph"/>
              <w:spacing w:before="41"/>
              <w:ind w:left="7"/>
              <w:jc w:val="center"/>
              <w:rPr>
                <w:sz w:val="18"/>
              </w:rPr>
            </w:pPr>
            <w:r>
              <w:rPr>
                <w:sz w:val="18"/>
              </w:rPr>
              <w:t>—</w:t>
            </w:r>
          </w:p>
        </w:tc>
      </w:tr>
      <w:tr>
        <w:tblPrEx>
          <w:tblW w:w="0" w:type="auto"/>
          <w:jc w:val="left"/>
          <w:tblInd w:w="1075" w:type="dxa"/>
          <w:tblLayout w:type="fixed"/>
          <w:tblCellMar>
            <w:top w:w="0" w:type="dxa"/>
            <w:left w:w="0" w:type="dxa"/>
            <w:bottom w:w="0" w:type="dxa"/>
            <w:right w:w="0" w:type="dxa"/>
          </w:tblCellMar>
          <w:tblLook w:val="01E0"/>
        </w:tblPrEx>
        <w:trPr>
          <w:trHeight w:val="623"/>
          <w:jc w:val="left"/>
        </w:trPr>
        <w:tc>
          <w:tcPr>
            <w:tcW w:w="524" w:type="dxa"/>
            <w:vMerge w:val="restart"/>
          </w:tcPr>
          <w:p>
            <w:pPr>
              <w:pStyle w:val="TableParagraph"/>
              <w:rPr>
                <w:sz w:val="18"/>
              </w:rPr>
            </w:pPr>
          </w:p>
          <w:p>
            <w:pPr>
              <w:pStyle w:val="TableParagraph"/>
              <w:spacing w:before="127"/>
              <w:ind w:left="170"/>
              <w:rPr>
                <w:sz w:val="18"/>
              </w:rPr>
            </w:pPr>
            <w:r>
              <w:rPr>
                <w:sz w:val="18"/>
              </w:rPr>
              <w:t>七</w:t>
            </w:r>
          </w:p>
        </w:tc>
        <w:tc>
          <w:tcPr>
            <w:tcW w:w="999" w:type="dxa"/>
            <w:vMerge w:val="restart"/>
          </w:tcPr>
          <w:p>
            <w:pPr>
              <w:pStyle w:val="TableParagraph"/>
              <w:spacing w:before="9"/>
              <w:rPr>
                <w:sz w:val="15"/>
              </w:rPr>
            </w:pPr>
          </w:p>
          <w:p>
            <w:pPr>
              <w:pStyle w:val="TableParagraph"/>
              <w:spacing w:before="1" w:line="324" w:lineRule="auto"/>
              <w:ind w:left="107" w:right="159"/>
              <w:rPr>
                <w:sz w:val="18"/>
              </w:rPr>
            </w:pPr>
            <w:r>
              <w:rPr>
                <w:sz w:val="18"/>
              </w:rPr>
              <w:t>医疗卫生设施</w:t>
            </w:r>
          </w:p>
        </w:tc>
        <w:tc>
          <w:tcPr>
            <w:tcW w:w="778" w:type="dxa"/>
          </w:tcPr>
          <w:p>
            <w:pPr>
              <w:pStyle w:val="TableParagraph"/>
              <w:spacing w:before="5"/>
              <w:rPr>
                <w:sz w:val="15"/>
              </w:rPr>
            </w:pPr>
          </w:p>
          <w:p>
            <w:pPr>
              <w:pStyle w:val="TableParagraph"/>
              <w:ind w:left="278" w:right="268"/>
              <w:jc w:val="center"/>
              <w:rPr>
                <w:sz w:val="18"/>
              </w:rPr>
            </w:pPr>
            <w:r>
              <w:rPr>
                <w:sz w:val="18"/>
              </w:rPr>
              <w:t>27</w:t>
            </w:r>
          </w:p>
        </w:tc>
        <w:tc>
          <w:tcPr>
            <w:tcW w:w="2036" w:type="dxa"/>
          </w:tcPr>
          <w:p>
            <w:pPr>
              <w:pStyle w:val="TableParagraph"/>
              <w:spacing w:before="41"/>
              <w:ind w:left="108"/>
              <w:rPr>
                <w:sz w:val="18"/>
              </w:rPr>
            </w:pPr>
            <w:r>
              <w:rPr>
                <w:sz w:val="18"/>
              </w:rPr>
              <w:t>应急医疗所/医疗卫生</w:t>
            </w:r>
          </w:p>
          <w:p>
            <w:pPr>
              <w:pStyle w:val="TableParagraph"/>
              <w:spacing w:before="81"/>
              <w:ind w:left="108"/>
              <w:rPr>
                <w:sz w:val="18"/>
              </w:rPr>
            </w:pPr>
            <w:r>
              <w:rPr>
                <w:sz w:val="18"/>
              </w:rPr>
              <w:t>室/医务点</w:t>
            </w:r>
          </w:p>
        </w:tc>
        <w:tc>
          <w:tcPr>
            <w:tcW w:w="1701" w:type="dxa"/>
          </w:tcPr>
          <w:p>
            <w:pPr>
              <w:pStyle w:val="TableParagraph"/>
              <w:spacing w:before="5"/>
              <w:rPr>
                <w:sz w:val="15"/>
              </w:rPr>
            </w:pPr>
          </w:p>
          <w:p>
            <w:pPr>
              <w:pStyle w:val="TableParagraph"/>
              <w:ind w:left="10"/>
              <w:jc w:val="center"/>
              <w:rPr>
                <w:sz w:val="18"/>
              </w:rPr>
            </w:pPr>
            <w:r>
              <w:rPr>
                <w:sz w:val="18"/>
              </w:rPr>
              <w:t>●</w:t>
            </w:r>
          </w:p>
        </w:tc>
        <w:tc>
          <w:tcPr>
            <w:tcW w:w="1702" w:type="dxa"/>
          </w:tcPr>
          <w:p>
            <w:pPr>
              <w:pStyle w:val="TableParagraph"/>
              <w:spacing w:before="5"/>
              <w:rPr>
                <w:sz w:val="15"/>
              </w:rPr>
            </w:pPr>
          </w:p>
          <w:p>
            <w:pPr>
              <w:pStyle w:val="TableParagraph"/>
              <w:ind w:left="10"/>
              <w:jc w:val="center"/>
              <w:rPr>
                <w:sz w:val="18"/>
              </w:rPr>
            </w:pPr>
            <w:r>
              <w:rPr>
                <w:sz w:val="18"/>
              </w:rPr>
              <w:t>●</w:t>
            </w:r>
          </w:p>
        </w:tc>
        <w:tc>
          <w:tcPr>
            <w:tcW w:w="1719" w:type="dxa"/>
          </w:tcPr>
          <w:p>
            <w:pPr>
              <w:pStyle w:val="TableParagraph"/>
              <w:spacing w:before="5"/>
              <w:rPr>
                <w:sz w:val="15"/>
              </w:rPr>
            </w:pPr>
          </w:p>
          <w:p>
            <w:pPr>
              <w:pStyle w:val="TableParagraph"/>
              <w:ind w:left="7"/>
              <w:jc w:val="center"/>
              <w:rPr>
                <w:sz w:val="18"/>
              </w:rPr>
            </w:pPr>
            <w:r>
              <w:rPr>
                <w:sz w:val="18"/>
              </w:rPr>
              <w:t>○</w:t>
            </w:r>
          </w:p>
        </w:tc>
      </w:tr>
      <w:tr>
        <w:tblPrEx>
          <w:tblW w:w="0" w:type="auto"/>
          <w:jc w:val="left"/>
          <w:tblInd w:w="1075" w:type="dxa"/>
          <w:tblLayout w:type="fixed"/>
          <w:tblCellMar>
            <w:top w:w="0" w:type="dxa"/>
            <w:left w:w="0" w:type="dxa"/>
            <w:bottom w:w="0" w:type="dxa"/>
            <w:right w:w="0" w:type="dxa"/>
          </w:tblCellMar>
          <w:tblLook w:val="01E0"/>
        </w:tblPrEx>
        <w:trPr>
          <w:trHeight w:val="312"/>
          <w:jc w:val="left"/>
        </w:trPr>
        <w:tc>
          <w:tcPr>
            <w:tcW w:w="524" w:type="dxa"/>
            <w:vMerge/>
            <w:tcBorders>
              <w:top w:val="nil"/>
            </w:tcBorders>
          </w:tcPr>
          <w:p>
            <w:pPr>
              <w:rPr>
                <w:sz w:val="2"/>
                <w:szCs w:val="2"/>
              </w:rPr>
            </w:pPr>
          </w:p>
        </w:tc>
        <w:tc>
          <w:tcPr>
            <w:tcW w:w="999" w:type="dxa"/>
            <w:vMerge/>
            <w:tcBorders>
              <w:top w:val="nil"/>
            </w:tcBorders>
          </w:tcPr>
          <w:p>
            <w:pPr>
              <w:rPr>
                <w:sz w:val="2"/>
                <w:szCs w:val="2"/>
              </w:rPr>
            </w:pPr>
          </w:p>
        </w:tc>
        <w:tc>
          <w:tcPr>
            <w:tcW w:w="778" w:type="dxa"/>
          </w:tcPr>
          <w:p>
            <w:pPr>
              <w:pStyle w:val="TableParagraph"/>
              <w:spacing w:before="40"/>
              <w:ind w:left="278" w:right="268"/>
              <w:jc w:val="center"/>
              <w:rPr>
                <w:sz w:val="18"/>
              </w:rPr>
            </w:pPr>
            <w:r>
              <w:rPr>
                <w:sz w:val="18"/>
              </w:rPr>
              <w:t>28</w:t>
            </w:r>
          </w:p>
        </w:tc>
        <w:tc>
          <w:tcPr>
            <w:tcW w:w="2036" w:type="dxa"/>
          </w:tcPr>
          <w:p>
            <w:pPr>
              <w:pStyle w:val="TableParagraph"/>
              <w:spacing w:before="40"/>
              <w:ind w:left="108"/>
              <w:rPr>
                <w:sz w:val="18"/>
              </w:rPr>
            </w:pPr>
            <w:r>
              <w:rPr>
                <w:sz w:val="18"/>
              </w:rPr>
              <w:t>医药卫生用品</w:t>
            </w:r>
          </w:p>
        </w:tc>
        <w:tc>
          <w:tcPr>
            <w:tcW w:w="1701" w:type="dxa"/>
          </w:tcPr>
          <w:p>
            <w:pPr>
              <w:pStyle w:val="TableParagraph"/>
              <w:spacing w:before="40"/>
              <w:ind w:left="10"/>
              <w:jc w:val="center"/>
              <w:rPr>
                <w:sz w:val="18"/>
              </w:rPr>
            </w:pPr>
            <w:r>
              <w:rPr>
                <w:sz w:val="18"/>
              </w:rPr>
              <w:t>●</w:t>
            </w:r>
          </w:p>
        </w:tc>
        <w:tc>
          <w:tcPr>
            <w:tcW w:w="1702" w:type="dxa"/>
          </w:tcPr>
          <w:p>
            <w:pPr>
              <w:pStyle w:val="TableParagraph"/>
              <w:spacing w:before="40"/>
              <w:ind w:left="10"/>
              <w:jc w:val="center"/>
              <w:rPr>
                <w:sz w:val="18"/>
              </w:rPr>
            </w:pPr>
            <w:r>
              <w:rPr>
                <w:sz w:val="18"/>
              </w:rPr>
              <w:t>●</w:t>
            </w:r>
          </w:p>
        </w:tc>
        <w:tc>
          <w:tcPr>
            <w:tcW w:w="1719" w:type="dxa"/>
          </w:tcPr>
          <w:p>
            <w:pPr>
              <w:pStyle w:val="TableParagraph"/>
              <w:spacing w:before="40"/>
              <w:ind w:left="7"/>
              <w:jc w:val="center"/>
              <w:rPr>
                <w:sz w:val="18"/>
              </w:rPr>
            </w:pPr>
            <w:r>
              <w:rPr>
                <w:sz w:val="18"/>
              </w:rPr>
              <w:t>○</w:t>
            </w:r>
          </w:p>
        </w:tc>
      </w:tr>
      <w:tr>
        <w:tblPrEx>
          <w:tblW w:w="0" w:type="auto"/>
          <w:jc w:val="left"/>
          <w:tblInd w:w="1075" w:type="dxa"/>
          <w:tblLayout w:type="fixed"/>
          <w:tblCellMar>
            <w:top w:w="0" w:type="dxa"/>
            <w:left w:w="0" w:type="dxa"/>
            <w:bottom w:w="0" w:type="dxa"/>
            <w:right w:w="0" w:type="dxa"/>
          </w:tblCellMar>
          <w:tblLook w:val="01E0"/>
        </w:tblPrEx>
        <w:trPr>
          <w:trHeight w:val="312"/>
          <w:jc w:val="left"/>
        </w:trPr>
        <w:tc>
          <w:tcPr>
            <w:tcW w:w="524" w:type="dxa"/>
            <w:vMerge w:val="restart"/>
          </w:tcPr>
          <w:p>
            <w:pPr>
              <w:pStyle w:val="TableParagraph"/>
              <w:spacing w:before="9"/>
              <w:rPr>
                <w:sz w:val="15"/>
              </w:rPr>
            </w:pPr>
          </w:p>
          <w:p>
            <w:pPr>
              <w:pStyle w:val="TableParagraph"/>
              <w:ind w:left="170"/>
              <w:rPr>
                <w:sz w:val="18"/>
              </w:rPr>
            </w:pPr>
            <w:r>
              <w:rPr>
                <w:sz w:val="18"/>
              </w:rPr>
              <w:t>八</w:t>
            </w:r>
          </w:p>
        </w:tc>
        <w:tc>
          <w:tcPr>
            <w:tcW w:w="999" w:type="dxa"/>
            <w:vMerge w:val="restart"/>
          </w:tcPr>
          <w:p>
            <w:pPr>
              <w:pStyle w:val="TableParagraph"/>
              <w:spacing w:before="9"/>
              <w:rPr>
                <w:sz w:val="15"/>
              </w:rPr>
            </w:pPr>
          </w:p>
          <w:p>
            <w:pPr>
              <w:pStyle w:val="TableParagraph"/>
              <w:ind w:left="107"/>
              <w:rPr>
                <w:sz w:val="18"/>
              </w:rPr>
            </w:pPr>
            <w:r>
              <w:rPr>
                <w:sz w:val="18"/>
              </w:rPr>
              <w:t>应急厕所</w:t>
            </w:r>
          </w:p>
        </w:tc>
        <w:tc>
          <w:tcPr>
            <w:tcW w:w="778" w:type="dxa"/>
          </w:tcPr>
          <w:p>
            <w:pPr>
              <w:pStyle w:val="TableParagraph"/>
              <w:spacing w:before="40"/>
              <w:ind w:left="278" w:right="268"/>
              <w:jc w:val="center"/>
              <w:rPr>
                <w:sz w:val="18"/>
              </w:rPr>
            </w:pPr>
            <w:r>
              <w:rPr>
                <w:sz w:val="18"/>
              </w:rPr>
              <w:t>29</w:t>
            </w:r>
          </w:p>
        </w:tc>
        <w:tc>
          <w:tcPr>
            <w:tcW w:w="2036" w:type="dxa"/>
          </w:tcPr>
          <w:p>
            <w:pPr>
              <w:pStyle w:val="TableParagraph"/>
              <w:spacing w:before="40"/>
              <w:ind w:left="108"/>
              <w:rPr>
                <w:sz w:val="18"/>
              </w:rPr>
            </w:pPr>
            <w:r>
              <w:rPr>
                <w:sz w:val="18"/>
              </w:rPr>
              <w:t>应急固定厕所</w:t>
            </w:r>
          </w:p>
        </w:tc>
        <w:tc>
          <w:tcPr>
            <w:tcW w:w="1701" w:type="dxa"/>
          </w:tcPr>
          <w:p>
            <w:pPr>
              <w:pStyle w:val="TableParagraph"/>
              <w:spacing w:before="40"/>
              <w:ind w:left="10"/>
              <w:jc w:val="center"/>
              <w:rPr>
                <w:sz w:val="18"/>
              </w:rPr>
            </w:pPr>
            <w:r>
              <w:rPr>
                <w:sz w:val="18"/>
              </w:rPr>
              <w:t>●</w:t>
            </w:r>
          </w:p>
        </w:tc>
        <w:tc>
          <w:tcPr>
            <w:tcW w:w="1702" w:type="dxa"/>
          </w:tcPr>
          <w:p>
            <w:pPr>
              <w:pStyle w:val="TableParagraph"/>
              <w:spacing w:before="40"/>
              <w:ind w:left="10"/>
              <w:jc w:val="center"/>
              <w:rPr>
                <w:sz w:val="18"/>
              </w:rPr>
            </w:pPr>
            <w:r>
              <w:rPr>
                <w:sz w:val="18"/>
              </w:rPr>
              <w:t>●</w:t>
            </w:r>
          </w:p>
        </w:tc>
        <w:tc>
          <w:tcPr>
            <w:tcW w:w="1719" w:type="dxa"/>
          </w:tcPr>
          <w:p>
            <w:pPr>
              <w:pStyle w:val="TableParagraph"/>
              <w:spacing w:before="40"/>
              <w:ind w:left="7"/>
              <w:jc w:val="center"/>
              <w:rPr>
                <w:sz w:val="18"/>
              </w:rPr>
            </w:pPr>
            <w:r>
              <w:rPr>
                <w:sz w:val="18"/>
              </w:rPr>
              <w:t>○</w:t>
            </w:r>
          </w:p>
        </w:tc>
      </w:tr>
      <w:tr>
        <w:tblPrEx>
          <w:tblW w:w="0" w:type="auto"/>
          <w:jc w:val="left"/>
          <w:tblInd w:w="1075" w:type="dxa"/>
          <w:tblLayout w:type="fixed"/>
          <w:tblCellMar>
            <w:top w:w="0" w:type="dxa"/>
            <w:left w:w="0" w:type="dxa"/>
            <w:bottom w:w="0" w:type="dxa"/>
            <w:right w:w="0" w:type="dxa"/>
          </w:tblCellMar>
          <w:tblLook w:val="01E0"/>
        </w:tblPrEx>
        <w:trPr>
          <w:trHeight w:val="312"/>
          <w:jc w:val="left"/>
        </w:trPr>
        <w:tc>
          <w:tcPr>
            <w:tcW w:w="524" w:type="dxa"/>
            <w:vMerge/>
            <w:tcBorders>
              <w:top w:val="nil"/>
            </w:tcBorders>
          </w:tcPr>
          <w:p>
            <w:pPr>
              <w:rPr>
                <w:sz w:val="2"/>
                <w:szCs w:val="2"/>
              </w:rPr>
            </w:pPr>
          </w:p>
        </w:tc>
        <w:tc>
          <w:tcPr>
            <w:tcW w:w="999" w:type="dxa"/>
            <w:vMerge/>
            <w:tcBorders>
              <w:top w:val="nil"/>
            </w:tcBorders>
          </w:tcPr>
          <w:p>
            <w:pPr>
              <w:rPr>
                <w:sz w:val="2"/>
                <w:szCs w:val="2"/>
              </w:rPr>
            </w:pPr>
          </w:p>
        </w:tc>
        <w:tc>
          <w:tcPr>
            <w:tcW w:w="778" w:type="dxa"/>
          </w:tcPr>
          <w:p>
            <w:pPr>
              <w:pStyle w:val="TableParagraph"/>
              <w:spacing w:before="40"/>
              <w:ind w:left="278" w:right="268"/>
              <w:jc w:val="center"/>
              <w:rPr>
                <w:sz w:val="18"/>
              </w:rPr>
            </w:pPr>
            <w:r>
              <w:rPr>
                <w:sz w:val="18"/>
              </w:rPr>
              <w:t>30</w:t>
            </w:r>
          </w:p>
        </w:tc>
        <w:tc>
          <w:tcPr>
            <w:tcW w:w="2036" w:type="dxa"/>
          </w:tcPr>
          <w:p>
            <w:pPr>
              <w:pStyle w:val="TableParagraph"/>
              <w:spacing w:before="40"/>
              <w:ind w:left="108"/>
              <w:rPr>
                <w:sz w:val="18"/>
              </w:rPr>
            </w:pPr>
            <w:r>
              <w:rPr>
                <w:sz w:val="18"/>
              </w:rPr>
              <w:t>应急移动厕所</w:t>
            </w:r>
          </w:p>
        </w:tc>
        <w:tc>
          <w:tcPr>
            <w:tcW w:w="1701" w:type="dxa"/>
          </w:tcPr>
          <w:p>
            <w:pPr>
              <w:pStyle w:val="TableParagraph"/>
              <w:spacing w:before="40"/>
              <w:ind w:left="10"/>
              <w:jc w:val="center"/>
              <w:rPr>
                <w:sz w:val="18"/>
              </w:rPr>
            </w:pPr>
            <w:r>
              <w:rPr>
                <w:sz w:val="18"/>
              </w:rPr>
              <w:t>●</w:t>
            </w:r>
          </w:p>
        </w:tc>
        <w:tc>
          <w:tcPr>
            <w:tcW w:w="1702" w:type="dxa"/>
          </w:tcPr>
          <w:p>
            <w:pPr>
              <w:pStyle w:val="TableParagraph"/>
              <w:spacing w:before="40"/>
              <w:ind w:left="10"/>
              <w:jc w:val="center"/>
              <w:rPr>
                <w:sz w:val="18"/>
              </w:rPr>
            </w:pPr>
            <w:r>
              <w:rPr>
                <w:sz w:val="18"/>
              </w:rPr>
              <w:t>●</w:t>
            </w:r>
          </w:p>
        </w:tc>
        <w:tc>
          <w:tcPr>
            <w:tcW w:w="1719" w:type="dxa"/>
          </w:tcPr>
          <w:p>
            <w:pPr>
              <w:pStyle w:val="TableParagraph"/>
              <w:spacing w:before="40"/>
              <w:ind w:left="7"/>
              <w:jc w:val="center"/>
              <w:rPr>
                <w:sz w:val="18"/>
              </w:rPr>
            </w:pPr>
            <w:r>
              <w:rPr>
                <w:sz w:val="18"/>
              </w:rPr>
              <w:t>●</w:t>
            </w:r>
          </w:p>
        </w:tc>
      </w:tr>
      <w:tr>
        <w:tblPrEx>
          <w:tblW w:w="0" w:type="auto"/>
          <w:jc w:val="left"/>
          <w:tblInd w:w="1075" w:type="dxa"/>
          <w:tblLayout w:type="fixed"/>
          <w:tblCellMar>
            <w:top w:w="0" w:type="dxa"/>
            <w:left w:w="0" w:type="dxa"/>
            <w:bottom w:w="0" w:type="dxa"/>
            <w:right w:w="0" w:type="dxa"/>
          </w:tblCellMar>
          <w:tblLook w:val="01E0"/>
        </w:tblPrEx>
        <w:trPr>
          <w:trHeight w:val="311"/>
          <w:jc w:val="left"/>
        </w:trPr>
        <w:tc>
          <w:tcPr>
            <w:tcW w:w="524" w:type="dxa"/>
            <w:vMerge w:val="restart"/>
          </w:tcPr>
          <w:p>
            <w:pPr>
              <w:pStyle w:val="TableParagraph"/>
              <w:spacing w:before="10"/>
              <w:rPr>
                <w:sz w:val="15"/>
              </w:rPr>
            </w:pPr>
          </w:p>
          <w:p>
            <w:pPr>
              <w:pStyle w:val="TableParagraph"/>
              <w:ind w:left="170"/>
              <w:rPr>
                <w:sz w:val="18"/>
              </w:rPr>
            </w:pPr>
            <w:r>
              <w:rPr>
                <w:sz w:val="18"/>
              </w:rPr>
              <w:t>九</w:t>
            </w:r>
          </w:p>
        </w:tc>
        <w:tc>
          <w:tcPr>
            <w:tcW w:w="999" w:type="dxa"/>
            <w:vMerge w:val="restart"/>
          </w:tcPr>
          <w:p>
            <w:pPr>
              <w:pStyle w:val="TableParagraph"/>
              <w:spacing w:before="47"/>
              <w:ind w:left="107"/>
              <w:rPr>
                <w:sz w:val="18"/>
              </w:rPr>
            </w:pPr>
            <w:r>
              <w:rPr>
                <w:sz w:val="18"/>
              </w:rPr>
              <w:t>淋浴盥洗</w:t>
            </w:r>
          </w:p>
          <w:p>
            <w:pPr>
              <w:pStyle w:val="TableParagraph"/>
              <w:spacing w:before="81"/>
              <w:ind w:left="107"/>
              <w:rPr>
                <w:sz w:val="18"/>
              </w:rPr>
            </w:pPr>
            <w:r>
              <w:rPr>
                <w:sz w:val="18"/>
              </w:rPr>
              <w:t>间</w:t>
            </w:r>
          </w:p>
        </w:tc>
        <w:tc>
          <w:tcPr>
            <w:tcW w:w="778" w:type="dxa"/>
          </w:tcPr>
          <w:p>
            <w:pPr>
              <w:pStyle w:val="TableParagraph"/>
              <w:spacing w:before="42"/>
              <w:ind w:left="278" w:right="268"/>
              <w:jc w:val="center"/>
              <w:rPr>
                <w:sz w:val="18"/>
              </w:rPr>
            </w:pPr>
            <w:r>
              <w:rPr>
                <w:sz w:val="18"/>
              </w:rPr>
              <w:t>31</w:t>
            </w:r>
          </w:p>
        </w:tc>
        <w:tc>
          <w:tcPr>
            <w:tcW w:w="2036" w:type="dxa"/>
          </w:tcPr>
          <w:p>
            <w:pPr>
              <w:pStyle w:val="TableParagraph"/>
              <w:spacing w:before="42"/>
              <w:ind w:left="108"/>
              <w:rPr>
                <w:sz w:val="18"/>
              </w:rPr>
            </w:pPr>
            <w:r>
              <w:rPr>
                <w:sz w:val="18"/>
              </w:rPr>
              <w:t>洗漱台</w:t>
            </w:r>
          </w:p>
        </w:tc>
        <w:tc>
          <w:tcPr>
            <w:tcW w:w="1701" w:type="dxa"/>
          </w:tcPr>
          <w:p>
            <w:pPr>
              <w:pStyle w:val="TableParagraph"/>
              <w:spacing w:before="42"/>
              <w:ind w:left="10"/>
              <w:jc w:val="center"/>
              <w:rPr>
                <w:sz w:val="18"/>
              </w:rPr>
            </w:pPr>
            <w:r>
              <w:rPr>
                <w:sz w:val="18"/>
              </w:rPr>
              <w:t>○</w:t>
            </w:r>
          </w:p>
        </w:tc>
        <w:tc>
          <w:tcPr>
            <w:tcW w:w="1702" w:type="dxa"/>
          </w:tcPr>
          <w:p>
            <w:pPr>
              <w:pStyle w:val="TableParagraph"/>
              <w:spacing w:before="42"/>
              <w:ind w:left="10"/>
              <w:jc w:val="center"/>
              <w:rPr>
                <w:sz w:val="18"/>
              </w:rPr>
            </w:pPr>
            <w:r>
              <w:rPr>
                <w:sz w:val="18"/>
              </w:rPr>
              <w:t>○</w:t>
            </w:r>
          </w:p>
        </w:tc>
        <w:tc>
          <w:tcPr>
            <w:tcW w:w="1719" w:type="dxa"/>
          </w:tcPr>
          <w:p>
            <w:pPr>
              <w:pStyle w:val="TableParagraph"/>
              <w:spacing w:before="42"/>
              <w:ind w:left="7"/>
              <w:jc w:val="center"/>
              <w:rPr>
                <w:sz w:val="18"/>
              </w:rPr>
            </w:pPr>
            <w:r>
              <w:rPr>
                <w:sz w:val="18"/>
              </w:rPr>
              <w:t>—</w:t>
            </w:r>
          </w:p>
        </w:tc>
      </w:tr>
      <w:tr>
        <w:tblPrEx>
          <w:tblW w:w="0" w:type="auto"/>
          <w:jc w:val="left"/>
          <w:tblInd w:w="1075" w:type="dxa"/>
          <w:tblLayout w:type="fixed"/>
          <w:tblCellMar>
            <w:top w:w="0" w:type="dxa"/>
            <w:left w:w="0" w:type="dxa"/>
            <w:bottom w:w="0" w:type="dxa"/>
            <w:right w:w="0" w:type="dxa"/>
          </w:tblCellMar>
          <w:tblLook w:val="01E0"/>
        </w:tblPrEx>
        <w:trPr>
          <w:trHeight w:val="312"/>
          <w:jc w:val="left"/>
        </w:trPr>
        <w:tc>
          <w:tcPr>
            <w:tcW w:w="524" w:type="dxa"/>
            <w:vMerge/>
            <w:tcBorders>
              <w:top w:val="nil"/>
            </w:tcBorders>
          </w:tcPr>
          <w:p>
            <w:pPr>
              <w:rPr>
                <w:sz w:val="2"/>
                <w:szCs w:val="2"/>
              </w:rPr>
            </w:pPr>
          </w:p>
        </w:tc>
        <w:tc>
          <w:tcPr>
            <w:tcW w:w="999" w:type="dxa"/>
            <w:vMerge/>
            <w:tcBorders>
              <w:top w:val="nil"/>
            </w:tcBorders>
          </w:tcPr>
          <w:p>
            <w:pPr>
              <w:rPr>
                <w:sz w:val="2"/>
                <w:szCs w:val="2"/>
              </w:rPr>
            </w:pPr>
          </w:p>
        </w:tc>
        <w:tc>
          <w:tcPr>
            <w:tcW w:w="778" w:type="dxa"/>
          </w:tcPr>
          <w:p>
            <w:pPr>
              <w:pStyle w:val="TableParagraph"/>
              <w:spacing w:before="41"/>
              <w:ind w:left="278" w:right="268"/>
              <w:jc w:val="center"/>
              <w:rPr>
                <w:sz w:val="18"/>
              </w:rPr>
            </w:pPr>
            <w:r>
              <w:rPr>
                <w:sz w:val="18"/>
              </w:rPr>
              <w:t>32</w:t>
            </w:r>
          </w:p>
        </w:tc>
        <w:tc>
          <w:tcPr>
            <w:tcW w:w="2036" w:type="dxa"/>
          </w:tcPr>
          <w:p>
            <w:pPr>
              <w:pStyle w:val="TableParagraph"/>
              <w:spacing w:before="41"/>
              <w:ind w:left="108"/>
              <w:rPr>
                <w:sz w:val="18"/>
              </w:rPr>
            </w:pPr>
            <w:r>
              <w:rPr>
                <w:sz w:val="18"/>
              </w:rPr>
              <w:t>洗浴设施</w:t>
            </w:r>
          </w:p>
        </w:tc>
        <w:tc>
          <w:tcPr>
            <w:tcW w:w="1701" w:type="dxa"/>
          </w:tcPr>
          <w:p>
            <w:pPr>
              <w:pStyle w:val="TableParagraph"/>
              <w:spacing w:before="41"/>
              <w:ind w:left="10"/>
              <w:jc w:val="center"/>
              <w:rPr>
                <w:sz w:val="18"/>
              </w:rPr>
            </w:pPr>
            <w:r>
              <w:rPr>
                <w:sz w:val="18"/>
              </w:rPr>
              <w:t>●</w:t>
            </w:r>
          </w:p>
        </w:tc>
        <w:tc>
          <w:tcPr>
            <w:tcW w:w="1702" w:type="dxa"/>
          </w:tcPr>
          <w:p>
            <w:pPr>
              <w:pStyle w:val="TableParagraph"/>
              <w:spacing w:before="41"/>
              <w:ind w:left="10"/>
              <w:jc w:val="center"/>
              <w:rPr>
                <w:sz w:val="18"/>
              </w:rPr>
            </w:pPr>
            <w:r>
              <w:rPr>
                <w:sz w:val="18"/>
              </w:rPr>
              <w:t>○</w:t>
            </w:r>
          </w:p>
        </w:tc>
        <w:tc>
          <w:tcPr>
            <w:tcW w:w="1719" w:type="dxa"/>
          </w:tcPr>
          <w:p>
            <w:pPr>
              <w:pStyle w:val="TableParagraph"/>
              <w:spacing w:before="41"/>
              <w:ind w:left="7"/>
              <w:jc w:val="center"/>
              <w:rPr>
                <w:sz w:val="18"/>
              </w:rPr>
            </w:pPr>
            <w:r>
              <w:rPr>
                <w:sz w:val="18"/>
              </w:rPr>
              <w:t>—</w:t>
            </w:r>
          </w:p>
        </w:tc>
      </w:tr>
      <w:tr>
        <w:tblPrEx>
          <w:tblW w:w="0" w:type="auto"/>
          <w:jc w:val="left"/>
          <w:tblInd w:w="1075" w:type="dxa"/>
          <w:tblLayout w:type="fixed"/>
          <w:tblCellMar>
            <w:top w:w="0" w:type="dxa"/>
            <w:left w:w="0" w:type="dxa"/>
            <w:bottom w:w="0" w:type="dxa"/>
            <w:right w:w="0" w:type="dxa"/>
          </w:tblCellMar>
          <w:tblLook w:val="01E0"/>
        </w:tblPrEx>
        <w:trPr>
          <w:trHeight w:val="312"/>
          <w:jc w:val="left"/>
        </w:trPr>
        <w:tc>
          <w:tcPr>
            <w:tcW w:w="524" w:type="dxa"/>
            <w:vMerge w:val="restart"/>
          </w:tcPr>
          <w:p>
            <w:pPr>
              <w:pStyle w:val="TableParagraph"/>
              <w:spacing w:before="9"/>
              <w:rPr>
                <w:sz w:val="15"/>
              </w:rPr>
            </w:pPr>
          </w:p>
          <w:p>
            <w:pPr>
              <w:pStyle w:val="TableParagraph"/>
              <w:spacing w:before="1"/>
              <w:ind w:left="170"/>
              <w:rPr>
                <w:sz w:val="18"/>
              </w:rPr>
            </w:pPr>
            <w:r>
              <w:rPr>
                <w:sz w:val="18"/>
              </w:rPr>
              <w:t>十</w:t>
            </w:r>
          </w:p>
        </w:tc>
        <w:tc>
          <w:tcPr>
            <w:tcW w:w="999" w:type="dxa"/>
            <w:vMerge w:val="restart"/>
          </w:tcPr>
          <w:p>
            <w:pPr>
              <w:pStyle w:val="TableParagraph"/>
              <w:spacing w:before="46"/>
              <w:ind w:left="107"/>
              <w:rPr>
                <w:sz w:val="18"/>
              </w:rPr>
            </w:pPr>
            <w:r>
              <w:rPr>
                <w:sz w:val="18"/>
              </w:rPr>
              <w:t>专业救灾</w:t>
            </w:r>
          </w:p>
          <w:p>
            <w:pPr>
              <w:pStyle w:val="TableParagraph"/>
              <w:spacing w:before="81"/>
              <w:ind w:left="107"/>
              <w:rPr>
                <w:sz w:val="18"/>
              </w:rPr>
            </w:pPr>
            <w:r>
              <w:rPr>
                <w:sz w:val="18"/>
              </w:rPr>
              <w:t>队伍场地</w:t>
            </w:r>
          </w:p>
        </w:tc>
        <w:tc>
          <w:tcPr>
            <w:tcW w:w="778" w:type="dxa"/>
          </w:tcPr>
          <w:p>
            <w:pPr>
              <w:pStyle w:val="TableParagraph"/>
              <w:spacing w:before="41"/>
              <w:ind w:left="278" w:right="268"/>
              <w:jc w:val="center"/>
              <w:rPr>
                <w:sz w:val="18"/>
              </w:rPr>
            </w:pPr>
            <w:r>
              <w:rPr>
                <w:sz w:val="18"/>
              </w:rPr>
              <w:t>33</w:t>
            </w:r>
          </w:p>
        </w:tc>
        <w:tc>
          <w:tcPr>
            <w:tcW w:w="2036" w:type="dxa"/>
          </w:tcPr>
          <w:p>
            <w:pPr>
              <w:pStyle w:val="TableParagraph"/>
              <w:spacing w:before="41"/>
              <w:ind w:left="108"/>
              <w:rPr>
                <w:sz w:val="18"/>
              </w:rPr>
            </w:pPr>
            <w:r>
              <w:rPr>
                <w:sz w:val="18"/>
              </w:rPr>
              <w:t>车辆设备用地</w:t>
            </w:r>
          </w:p>
        </w:tc>
        <w:tc>
          <w:tcPr>
            <w:tcW w:w="1701" w:type="dxa"/>
          </w:tcPr>
          <w:p>
            <w:pPr>
              <w:pStyle w:val="TableParagraph"/>
              <w:spacing w:before="41"/>
              <w:ind w:left="10"/>
              <w:jc w:val="center"/>
              <w:rPr>
                <w:sz w:val="18"/>
              </w:rPr>
            </w:pPr>
            <w:r>
              <w:rPr>
                <w:sz w:val="18"/>
              </w:rPr>
              <w:t>●</w:t>
            </w:r>
          </w:p>
        </w:tc>
        <w:tc>
          <w:tcPr>
            <w:tcW w:w="1702" w:type="dxa"/>
          </w:tcPr>
          <w:p>
            <w:pPr>
              <w:pStyle w:val="TableParagraph"/>
              <w:spacing w:before="41"/>
              <w:ind w:left="10"/>
              <w:jc w:val="center"/>
              <w:rPr>
                <w:sz w:val="18"/>
              </w:rPr>
            </w:pPr>
            <w:r>
              <w:rPr>
                <w:sz w:val="18"/>
              </w:rPr>
              <w:t>●</w:t>
            </w:r>
          </w:p>
        </w:tc>
        <w:tc>
          <w:tcPr>
            <w:tcW w:w="1719" w:type="dxa"/>
          </w:tcPr>
          <w:p>
            <w:pPr>
              <w:pStyle w:val="TableParagraph"/>
              <w:spacing w:before="41"/>
              <w:ind w:left="7"/>
              <w:jc w:val="center"/>
              <w:rPr>
                <w:sz w:val="18"/>
              </w:rPr>
            </w:pPr>
            <w:r>
              <w:rPr>
                <w:sz w:val="18"/>
              </w:rPr>
              <w:t>—</w:t>
            </w:r>
          </w:p>
        </w:tc>
      </w:tr>
      <w:tr>
        <w:tblPrEx>
          <w:tblW w:w="0" w:type="auto"/>
          <w:jc w:val="left"/>
          <w:tblInd w:w="1075" w:type="dxa"/>
          <w:tblLayout w:type="fixed"/>
          <w:tblCellMar>
            <w:top w:w="0" w:type="dxa"/>
            <w:left w:w="0" w:type="dxa"/>
            <w:bottom w:w="0" w:type="dxa"/>
            <w:right w:w="0" w:type="dxa"/>
          </w:tblCellMar>
          <w:tblLook w:val="01E0"/>
        </w:tblPrEx>
        <w:trPr>
          <w:trHeight w:val="312"/>
          <w:jc w:val="left"/>
        </w:trPr>
        <w:tc>
          <w:tcPr>
            <w:tcW w:w="524" w:type="dxa"/>
            <w:vMerge/>
            <w:tcBorders>
              <w:top w:val="nil"/>
            </w:tcBorders>
          </w:tcPr>
          <w:p>
            <w:pPr>
              <w:rPr>
                <w:sz w:val="2"/>
                <w:szCs w:val="2"/>
              </w:rPr>
            </w:pPr>
          </w:p>
        </w:tc>
        <w:tc>
          <w:tcPr>
            <w:tcW w:w="999" w:type="dxa"/>
            <w:vMerge/>
            <w:tcBorders>
              <w:top w:val="nil"/>
            </w:tcBorders>
          </w:tcPr>
          <w:p>
            <w:pPr>
              <w:rPr>
                <w:sz w:val="2"/>
                <w:szCs w:val="2"/>
              </w:rPr>
            </w:pPr>
          </w:p>
        </w:tc>
        <w:tc>
          <w:tcPr>
            <w:tcW w:w="778" w:type="dxa"/>
          </w:tcPr>
          <w:p>
            <w:pPr>
              <w:pStyle w:val="TableParagraph"/>
              <w:spacing w:before="41"/>
              <w:ind w:left="278" w:right="268"/>
              <w:jc w:val="center"/>
              <w:rPr>
                <w:sz w:val="18"/>
              </w:rPr>
            </w:pPr>
            <w:r>
              <w:rPr>
                <w:sz w:val="18"/>
              </w:rPr>
              <w:t>34</w:t>
            </w:r>
          </w:p>
        </w:tc>
        <w:tc>
          <w:tcPr>
            <w:tcW w:w="2036" w:type="dxa"/>
          </w:tcPr>
          <w:p>
            <w:pPr>
              <w:pStyle w:val="TableParagraph"/>
              <w:spacing w:before="41"/>
              <w:ind w:left="108"/>
              <w:rPr>
                <w:sz w:val="18"/>
              </w:rPr>
            </w:pPr>
            <w:r>
              <w:rPr>
                <w:sz w:val="18"/>
              </w:rPr>
              <w:t>人员宿住用地</w:t>
            </w:r>
          </w:p>
        </w:tc>
        <w:tc>
          <w:tcPr>
            <w:tcW w:w="1701" w:type="dxa"/>
          </w:tcPr>
          <w:p>
            <w:pPr>
              <w:pStyle w:val="TableParagraph"/>
              <w:spacing w:before="41"/>
              <w:ind w:left="10"/>
              <w:jc w:val="center"/>
              <w:rPr>
                <w:sz w:val="18"/>
              </w:rPr>
            </w:pPr>
            <w:r>
              <w:rPr>
                <w:sz w:val="18"/>
              </w:rPr>
              <w:t>●</w:t>
            </w:r>
          </w:p>
        </w:tc>
        <w:tc>
          <w:tcPr>
            <w:tcW w:w="1702" w:type="dxa"/>
          </w:tcPr>
          <w:p>
            <w:pPr>
              <w:pStyle w:val="TableParagraph"/>
              <w:spacing w:before="41"/>
              <w:ind w:left="10"/>
              <w:jc w:val="center"/>
              <w:rPr>
                <w:sz w:val="18"/>
              </w:rPr>
            </w:pPr>
            <w:r>
              <w:rPr>
                <w:sz w:val="18"/>
              </w:rPr>
              <w:t>●</w:t>
            </w:r>
          </w:p>
        </w:tc>
        <w:tc>
          <w:tcPr>
            <w:tcW w:w="1719" w:type="dxa"/>
          </w:tcPr>
          <w:p>
            <w:pPr>
              <w:pStyle w:val="TableParagraph"/>
              <w:spacing w:before="41"/>
              <w:ind w:left="7"/>
              <w:jc w:val="center"/>
              <w:rPr>
                <w:sz w:val="18"/>
              </w:rPr>
            </w:pPr>
            <w:r>
              <w:rPr>
                <w:sz w:val="18"/>
              </w:rPr>
              <w:t>—</w:t>
            </w:r>
          </w:p>
        </w:tc>
      </w:tr>
      <w:tr>
        <w:tblPrEx>
          <w:tblW w:w="0" w:type="auto"/>
          <w:jc w:val="left"/>
          <w:tblInd w:w="1075" w:type="dxa"/>
          <w:tblLayout w:type="fixed"/>
          <w:tblCellMar>
            <w:top w:w="0" w:type="dxa"/>
            <w:left w:w="0" w:type="dxa"/>
            <w:bottom w:w="0" w:type="dxa"/>
            <w:right w:w="0" w:type="dxa"/>
          </w:tblCellMar>
          <w:tblLook w:val="01E0"/>
        </w:tblPrEx>
        <w:trPr>
          <w:trHeight w:val="312"/>
          <w:jc w:val="left"/>
        </w:trPr>
        <w:tc>
          <w:tcPr>
            <w:tcW w:w="524" w:type="dxa"/>
            <w:vMerge w:val="restart"/>
          </w:tcPr>
          <w:p>
            <w:pPr>
              <w:pStyle w:val="TableParagraph"/>
              <w:rPr>
                <w:sz w:val="18"/>
              </w:rPr>
            </w:pPr>
          </w:p>
          <w:p>
            <w:pPr>
              <w:pStyle w:val="TableParagraph"/>
              <w:spacing w:before="131" w:line="324" w:lineRule="auto"/>
              <w:ind w:left="170" w:right="161"/>
              <w:rPr>
                <w:sz w:val="18"/>
              </w:rPr>
            </w:pPr>
            <w:r>
              <w:rPr>
                <w:sz w:val="18"/>
              </w:rPr>
              <w:t>十一</w:t>
            </w:r>
          </w:p>
        </w:tc>
        <w:tc>
          <w:tcPr>
            <w:tcW w:w="999" w:type="dxa"/>
            <w:vMerge w:val="restart"/>
          </w:tcPr>
          <w:p>
            <w:pPr>
              <w:pStyle w:val="TableParagraph"/>
              <w:rPr>
                <w:sz w:val="18"/>
              </w:rPr>
            </w:pPr>
          </w:p>
          <w:p>
            <w:pPr>
              <w:pStyle w:val="TableParagraph"/>
              <w:spacing w:before="5"/>
              <w:rPr>
                <w:sz w:val="22"/>
              </w:rPr>
            </w:pPr>
          </w:p>
          <w:p>
            <w:pPr>
              <w:pStyle w:val="TableParagraph"/>
              <w:ind w:left="107"/>
              <w:rPr>
                <w:sz w:val="18"/>
              </w:rPr>
            </w:pPr>
            <w:r>
              <w:rPr>
                <w:sz w:val="18"/>
              </w:rPr>
              <w:t>通信设施</w:t>
            </w:r>
          </w:p>
        </w:tc>
        <w:tc>
          <w:tcPr>
            <w:tcW w:w="778" w:type="dxa"/>
          </w:tcPr>
          <w:p>
            <w:pPr>
              <w:pStyle w:val="TableParagraph"/>
              <w:spacing w:before="40"/>
              <w:ind w:left="278" w:right="268"/>
              <w:jc w:val="center"/>
              <w:rPr>
                <w:sz w:val="18"/>
              </w:rPr>
            </w:pPr>
            <w:r>
              <w:rPr>
                <w:sz w:val="18"/>
              </w:rPr>
              <w:t>35</w:t>
            </w:r>
          </w:p>
        </w:tc>
        <w:tc>
          <w:tcPr>
            <w:tcW w:w="2036" w:type="dxa"/>
          </w:tcPr>
          <w:p>
            <w:pPr>
              <w:pStyle w:val="TableParagraph"/>
              <w:spacing w:before="40"/>
              <w:ind w:left="108"/>
              <w:rPr>
                <w:sz w:val="18"/>
              </w:rPr>
            </w:pPr>
            <w:r>
              <w:rPr>
                <w:sz w:val="18"/>
              </w:rPr>
              <w:t>应急电话，对讲机</w:t>
            </w:r>
          </w:p>
        </w:tc>
        <w:tc>
          <w:tcPr>
            <w:tcW w:w="1701" w:type="dxa"/>
          </w:tcPr>
          <w:p>
            <w:pPr>
              <w:pStyle w:val="TableParagraph"/>
              <w:spacing w:before="40"/>
              <w:ind w:left="10"/>
              <w:jc w:val="center"/>
              <w:rPr>
                <w:sz w:val="18"/>
              </w:rPr>
            </w:pPr>
            <w:r>
              <w:rPr>
                <w:sz w:val="18"/>
              </w:rPr>
              <w:t>●</w:t>
            </w:r>
          </w:p>
        </w:tc>
        <w:tc>
          <w:tcPr>
            <w:tcW w:w="1702" w:type="dxa"/>
          </w:tcPr>
          <w:p>
            <w:pPr>
              <w:pStyle w:val="TableParagraph"/>
              <w:spacing w:before="40"/>
              <w:ind w:left="10"/>
              <w:jc w:val="center"/>
              <w:rPr>
                <w:sz w:val="18"/>
              </w:rPr>
            </w:pPr>
            <w:r>
              <w:rPr>
                <w:sz w:val="18"/>
              </w:rPr>
              <w:t>●</w:t>
            </w:r>
          </w:p>
        </w:tc>
        <w:tc>
          <w:tcPr>
            <w:tcW w:w="1719" w:type="dxa"/>
          </w:tcPr>
          <w:p>
            <w:pPr>
              <w:pStyle w:val="TableParagraph"/>
              <w:spacing w:before="40"/>
              <w:ind w:left="7"/>
              <w:jc w:val="center"/>
              <w:rPr>
                <w:sz w:val="18"/>
              </w:rPr>
            </w:pPr>
            <w:r>
              <w:rPr>
                <w:sz w:val="18"/>
              </w:rPr>
              <w:t>—</w:t>
            </w:r>
          </w:p>
        </w:tc>
      </w:tr>
      <w:tr>
        <w:tblPrEx>
          <w:tblW w:w="0" w:type="auto"/>
          <w:jc w:val="left"/>
          <w:tblInd w:w="1075" w:type="dxa"/>
          <w:tblLayout w:type="fixed"/>
          <w:tblCellMar>
            <w:top w:w="0" w:type="dxa"/>
            <w:left w:w="0" w:type="dxa"/>
            <w:bottom w:w="0" w:type="dxa"/>
            <w:right w:w="0" w:type="dxa"/>
          </w:tblCellMar>
          <w:tblLook w:val="01E0"/>
        </w:tblPrEx>
        <w:trPr>
          <w:trHeight w:val="311"/>
          <w:jc w:val="left"/>
        </w:trPr>
        <w:tc>
          <w:tcPr>
            <w:tcW w:w="524" w:type="dxa"/>
            <w:vMerge/>
            <w:tcBorders>
              <w:top w:val="nil"/>
            </w:tcBorders>
          </w:tcPr>
          <w:p>
            <w:pPr>
              <w:rPr>
                <w:sz w:val="2"/>
                <w:szCs w:val="2"/>
              </w:rPr>
            </w:pPr>
          </w:p>
        </w:tc>
        <w:tc>
          <w:tcPr>
            <w:tcW w:w="999" w:type="dxa"/>
            <w:vMerge/>
            <w:tcBorders>
              <w:top w:val="nil"/>
            </w:tcBorders>
          </w:tcPr>
          <w:p>
            <w:pPr>
              <w:rPr>
                <w:sz w:val="2"/>
                <w:szCs w:val="2"/>
              </w:rPr>
            </w:pPr>
          </w:p>
        </w:tc>
        <w:tc>
          <w:tcPr>
            <w:tcW w:w="778" w:type="dxa"/>
          </w:tcPr>
          <w:p>
            <w:pPr>
              <w:pStyle w:val="TableParagraph"/>
              <w:spacing w:before="40"/>
              <w:ind w:left="278" w:right="268"/>
              <w:jc w:val="center"/>
              <w:rPr>
                <w:sz w:val="18"/>
              </w:rPr>
            </w:pPr>
            <w:r>
              <w:rPr>
                <w:sz w:val="18"/>
              </w:rPr>
              <w:t>36</w:t>
            </w:r>
          </w:p>
        </w:tc>
        <w:tc>
          <w:tcPr>
            <w:tcW w:w="2036" w:type="dxa"/>
          </w:tcPr>
          <w:p>
            <w:pPr>
              <w:pStyle w:val="TableParagraph"/>
              <w:spacing w:before="40"/>
              <w:ind w:left="108"/>
              <w:rPr>
                <w:sz w:val="18"/>
              </w:rPr>
            </w:pPr>
            <w:r>
              <w:rPr>
                <w:sz w:val="18"/>
              </w:rPr>
              <w:t>应急指挥监控中心</w:t>
            </w:r>
          </w:p>
        </w:tc>
        <w:tc>
          <w:tcPr>
            <w:tcW w:w="1701" w:type="dxa"/>
          </w:tcPr>
          <w:p>
            <w:pPr>
              <w:pStyle w:val="TableParagraph"/>
              <w:spacing w:before="40"/>
              <w:ind w:left="10"/>
              <w:jc w:val="center"/>
              <w:rPr>
                <w:sz w:val="18"/>
              </w:rPr>
            </w:pPr>
            <w:r>
              <w:rPr>
                <w:sz w:val="18"/>
              </w:rPr>
              <w:t>●</w:t>
            </w:r>
          </w:p>
        </w:tc>
        <w:tc>
          <w:tcPr>
            <w:tcW w:w="1702" w:type="dxa"/>
          </w:tcPr>
          <w:p>
            <w:pPr>
              <w:pStyle w:val="TableParagraph"/>
              <w:spacing w:before="40"/>
              <w:ind w:left="10"/>
              <w:jc w:val="center"/>
              <w:rPr>
                <w:sz w:val="18"/>
              </w:rPr>
            </w:pPr>
            <w:r>
              <w:rPr>
                <w:sz w:val="18"/>
              </w:rPr>
              <w:t>●</w:t>
            </w:r>
          </w:p>
        </w:tc>
        <w:tc>
          <w:tcPr>
            <w:tcW w:w="1719" w:type="dxa"/>
          </w:tcPr>
          <w:p>
            <w:pPr>
              <w:pStyle w:val="TableParagraph"/>
              <w:spacing w:before="40"/>
              <w:ind w:left="7"/>
              <w:jc w:val="center"/>
              <w:rPr>
                <w:sz w:val="18"/>
              </w:rPr>
            </w:pPr>
            <w:r>
              <w:rPr>
                <w:sz w:val="18"/>
              </w:rPr>
              <w:t>—</w:t>
            </w:r>
          </w:p>
        </w:tc>
      </w:tr>
      <w:tr>
        <w:tblPrEx>
          <w:tblW w:w="0" w:type="auto"/>
          <w:jc w:val="left"/>
          <w:tblInd w:w="1075" w:type="dxa"/>
          <w:tblLayout w:type="fixed"/>
          <w:tblCellMar>
            <w:top w:w="0" w:type="dxa"/>
            <w:left w:w="0" w:type="dxa"/>
            <w:bottom w:w="0" w:type="dxa"/>
            <w:right w:w="0" w:type="dxa"/>
          </w:tblCellMar>
          <w:tblLook w:val="01E0"/>
        </w:tblPrEx>
        <w:trPr>
          <w:trHeight w:val="624"/>
          <w:jc w:val="left"/>
        </w:trPr>
        <w:tc>
          <w:tcPr>
            <w:tcW w:w="524" w:type="dxa"/>
            <w:vMerge/>
            <w:tcBorders>
              <w:top w:val="nil"/>
            </w:tcBorders>
          </w:tcPr>
          <w:p>
            <w:pPr>
              <w:rPr>
                <w:sz w:val="2"/>
                <w:szCs w:val="2"/>
              </w:rPr>
            </w:pPr>
          </w:p>
        </w:tc>
        <w:tc>
          <w:tcPr>
            <w:tcW w:w="999" w:type="dxa"/>
            <w:vMerge/>
            <w:tcBorders>
              <w:top w:val="nil"/>
            </w:tcBorders>
          </w:tcPr>
          <w:p>
            <w:pPr>
              <w:rPr>
                <w:sz w:val="2"/>
                <w:szCs w:val="2"/>
              </w:rPr>
            </w:pPr>
          </w:p>
        </w:tc>
        <w:tc>
          <w:tcPr>
            <w:tcW w:w="778" w:type="dxa"/>
          </w:tcPr>
          <w:p>
            <w:pPr>
              <w:pStyle w:val="TableParagraph"/>
              <w:spacing w:before="5"/>
              <w:rPr>
                <w:sz w:val="15"/>
              </w:rPr>
            </w:pPr>
          </w:p>
          <w:p>
            <w:pPr>
              <w:pStyle w:val="TableParagraph"/>
              <w:spacing w:before="1"/>
              <w:ind w:left="278" w:right="268"/>
              <w:jc w:val="center"/>
              <w:rPr>
                <w:sz w:val="18"/>
              </w:rPr>
            </w:pPr>
            <w:r>
              <w:rPr>
                <w:sz w:val="18"/>
              </w:rPr>
              <w:t>37</w:t>
            </w:r>
          </w:p>
        </w:tc>
        <w:tc>
          <w:tcPr>
            <w:tcW w:w="2036" w:type="dxa"/>
          </w:tcPr>
          <w:p>
            <w:pPr>
              <w:pStyle w:val="TableParagraph"/>
              <w:spacing w:before="42"/>
              <w:ind w:left="108"/>
              <w:rPr>
                <w:sz w:val="18"/>
              </w:rPr>
            </w:pPr>
            <w:r>
              <w:rPr>
                <w:sz w:val="18"/>
              </w:rPr>
              <w:t>应急指挥通信设备，通</w:t>
            </w:r>
          </w:p>
          <w:p>
            <w:pPr>
              <w:pStyle w:val="TableParagraph"/>
              <w:spacing w:before="81"/>
              <w:ind w:left="108"/>
              <w:rPr>
                <w:sz w:val="18"/>
              </w:rPr>
            </w:pPr>
            <w:r>
              <w:rPr>
                <w:sz w:val="18"/>
              </w:rPr>
              <w:t>信车</w:t>
            </w:r>
          </w:p>
        </w:tc>
        <w:tc>
          <w:tcPr>
            <w:tcW w:w="1701" w:type="dxa"/>
          </w:tcPr>
          <w:p>
            <w:pPr>
              <w:pStyle w:val="TableParagraph"/>
              <w:spacing w:before="5"/>
              <w:rPr>
                <w:sz w:val="15"/>
              </w:rPr>
            </w:pPr>
          </w:p>
          <w:p>
            <w:pPr>
              <w:pStyle w:val="TableParagraph"/>
              <w:spacing w:before="1"/>
              <w:ind w:left="10"/>
              <w:jc w:val="center"/>
              <w:rPr>
                <w:sz w:val="18"/>
              </w:rPr>
            </w:pPr>
            <w:r>
              <w:rPr>
                <w:sz w:val="18"/>
              </w:rPr>
              <w:t>●</w:t>
            </w:r>
          </w:p>
        </w:tc>
        <w:tc>
          <w:tcPr>
            <w:tcW w:w="1702" w:type="dxa"/>
          </w:tcPr>
          <w:p>
            <w:pPr>
              <w:pStyle w:val="TableParagraph"/>
              <w:spacing w:before="5"/>
              <w:rPr>
                <w:sz w:val="15"/>
              </w:rPr>
            </w:pPr>
          </w:p>
          <w:p>
            <w:pPr>
              <w:pStyle w:val="TableParagraph"/>
              <w:spacing w:before="1"/>
              <w:ind w:left="10"/>
              <w:jc w:val="center"/>
              <w:rPr>
                <w:sz w:val="18"/>
              </w:rPr>
            </w:pPr>
            <w:r>
              <w:rPr>
                <w:sz w:val="18"/>
              </w:rPr>
              <w:t>○</w:t>
            </w:r>
          </w:p>
        </w:tc>
        <w:tc>
          <w:tcPr>
            <w:tcW w:w="1719" w:type="dxa"/>
          </w:tcPr>
          <w:p>
            <w:pPr>
              <w:pStyle w:val="TableParagraph"/>
              <w:spacing w:before="5"/>
              <w:rPr>
                <w:sz w:val="15"/>
              </w:rPr>
            </w:pPr>
          </w:p>
          <w:p>
            <w:pPr>
              <w:pStyle w:val="TableParagraph"/>
              <w:spacing w:before="1"/>
              <w:ind w:left="7"/>
              <w:jc w:val="center"/>
              <w:rPr>
                <w:sz w:val="18"/>
              </w:rPr>
            </w:pPr>
            <w:r>
              <w:rPr>
                <w:sz w:val="18"/>
              </w:rPr>
              <w:t>—</w:t>
            </w:r>
          </w:p>
        </w:tc>
      </w:tr>
    </w:tbl>
    <w:p>
      <w:pPr>
        <w:pStyle w:val="BodyText"/>
        <w:spacing w:line="199" w:lineRule="exact"/>
        <w:ind w:left="1317"/>
        <w:rPr>
          <w:sz w:val="19"/>
        </w:rPr>
      </w:pPr>
      <w:r>
        <w:rPr>
          <w:position w:val="-3"/>
          <w:sz w:val="19"/>
        </w:rPr>
        <w:pict>
          <v:group id="_x0000_i1048" style="width:5.5pt;height:10pt;mso-position-horizontal-relative:char;mso-position-vertical-relative:line" coordorigin="0,0" coordsize="110,200">
            <v:shape id="_x0000_s1049" type="#_x0000_t202" style="width:110;height:200;position:absolute" filled="f" stroked="f">
              <v:textbox inset="0,0,0,0">
                <w:txbxContent>
                  <w:p>
                    <w:pPr>
                      <w:spacing w:before="0" w:line="199" w:lineRule="exact"/>
                      <w:ind w:left="0" w:right="0" w:firstLine="0"/>
                      <w:jc w:val="left"/>
                      <w:rPr>
                        <w:rFonts w:ascii="Times New Roman"/>
                        <w:sz w:val="18"/>
                      </w:rPr>
                    </w:pPr>
                    <w:r>
                      <w:rPr>
                        <w:rFonts w:ascii="Times New Roman"/>
                        <w:sz w:val="18"/>
                      </w:rPr>
                      <w:t>6</w:t>
                    </w:r>
                  </w:p>
                </w:txbxContent>
              </v:textbox>
            </v:shape>
            <w10:wrap type="none"/>
          </v:group>
        </w:pict>
      </w:r>
    </w:p>
    <w:p>
      <w:pPr>
        <w:spacing w:after="0" w:line="199" w:lineRule="exact"/>
        <w:rPr>
          <w:sz w:val="19"/>
        </w:rPr>
      </w:pPr>
      <w:r>
        <w:rPr>
          <w:sz w:val="19"/>
        </w:rPr>
        <w:br/>
      </w:r>
      <w:r>
        <w:rPr>
          <w:sz w:val="19"/>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21" w:history="1">
        <w:r>
          <w:rPr>
            <w:rFonts w:ascii="SimSun" w:eastAsia="SimSun" w:hAnsi="SimSun" w:cs="SimSun"/>
            <w:b/>
            <w:bCs/>
            <w:color w:val="0000EE"/>
            <w:sz w:val="30"/>
            <w:szCs w:val="30"/>
            <w:u w:val="single" w:color="0000EE"/>
          </w:rPr>
          <w:t>https://d.book118.com/825104322210011101</w:t>
        </w:r>
      </w:hyperlink>
    </w:p>
    <w:p>
      <w:pPr>
        <w:spacing w:after="0" w:line="199" w:lineRule="exact"/>
        <w:rPr>
          <w:sz w:val="19"/>
        </w:rPr>
      </w:pPr>
    </w:p>
    <w:sectPr>
      <w:headerReference w:type="even" r:id="rId22"/>
      <w:headerReference w:type="default" r:id="rId23"/>
      <w:pgSz w:w="11910" w:h="16840"/>
      <w:pgMar w:top="1660" w:right="260" w:bottom="280" w:left="240" w:header="1442" w:footer="0"/>
      <w:pgNumType w:start="10"/>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黑体">
    <w:altName w:val="黑体"/>
    <w:charset w:val="86"/>
    <w:family w:val="modern"/>
    <w:pitch w:val="fixed"/>
    <w:sig w:usb0="00000000" w:usb1="00000000" w:usb2="00000000" w:usb3="00000000" w:csb0="00040000" w:csb1="00000000"/>
  </w:font>
  <w:font w:name="Wingdings 2">
    <w:altName w:val="Wingdings 2"/>
    <w:charset w:val="02"/>
    <w:family w:val="roman"/>
    <w:pitch w:val="variable"/>
    <w:sig w:usb0="00000000" w:usb1="00000000" w:usb2="00000000" w:usb3="00000000" w:csb0="80000000" w:csb1="00000000"/>
  </w:font>
  <w:font w:name="宋体">
    <w:altName w:val="宋体"/>
    <w:charset w:val="86"/>
    <w:family w:val="auto"/>
    <w:pitch w:val="variable"/>
    <w:sig w:usb0="00000000" w:usb1="00000000" w:usb2="00000000" w:usb3="00000000" w:csb0="00040000" w:csb1="00000000"/>
  </w:font>
  <w:font w:name="微软雅黑">
    <w:altName w:val="微软雅黑"/>
    <w:charset w:val="86"/>
    <w:family w:val="swiss"/>
    <w:pitch w:val="variable"/>
    <w:sig w:usb0="00000000" w:usb1="00000000" w:usb2="00000000" w:usb3="00000000" w:csb0="00040000"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96.55pt;height:13.6pt;margin-top:71.1pt;margin-left:69.92pt;mso-position-horizontal-relative:page;mso-position-vertical-relative:page;position:absolute;z-index:-251657216" filled="f" stroked="f">
          <v:textbox inset="0,0,0,0">
            <w:txbxContent>
              <w:p>
                <w:pPr>
                  <w:pStyle w:val="BodyText"/>
                  <w:spacing w:line="265" w:lineRule="exact"/>
                  <w:ind w:left="20"/>
                  <w:rPr>
                    <w:rFonts w:ascii="黑体" w:hAnsi="黑体"/>
                  </w:rPr>
                </w:pPr>
                <w:r>
                  <w:rPr>
                    <w:rFonts w:ascii="黑体" w:hAnsi="黑体"/>
                  </w:rPr>
                  <w:t>DB4401/T 158</w:t>
                </w:r>
                <w:r>
                  <w:rPr>
                    <w:rFonts w:ascii="Times New Roman" w:hAnsi="Times New Roman"/>
                  </w:rPr>
                  <w:t>—</w:t>
                </w:r>
                <w:r>
                  <w:rPr>
                    <w:rFonts w:ascii="黑体" w:hAnsi="黑体"/>
                  </w:rPr>
                  <w:t>2022</w:t>
                </w: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96.55pt;height:13.6pt;margin-top:71.1pt;margin-left:443.12pt;mso-position-horizontal-relative:page;mso-position-vertical-relative:page;position:absolute;z-index:-251658240" filled="f" stroked="f">
          <v:textbox inset="0,0,0,0">
            <w:txbxContent>
              <w:p>
                <w:pPr>
                  <w:pStyle w:val="BodyText"/>
                  <w:spacing w:line="265" w:lineRule="exact"/>
                  <w:ind w:left="20"/>
                  <w:rPr>
                    <w:rFonts w:ascii="黑体" w:hAnsi="黑体"/>
                  </w:rPr>
                </w:pPr>
                <w:r>
                  <w:rPr>
                    <w:rFonts w:ascii="黑体" w:hAnsi="黑体"/>
                  </w:rPr>
                  <w:t>DB4401/T 158</w:t>
                </w:r>
                <w:r>
                  <w:rPr>
                    <w:rFonts w:ascii="Times New Roman" w:hAnsi="Times New Roman"/>
                  </w:rPr>
                  <w:t>—</w:t>
                </w:r>
                <w:r>
                  <w:rPr>
                    <w:rFonts w:ascii="黑体" w:hAnsi="黑体"/>
                  </w:rPr>
                  <w:t>2022</w:t>
                </w:r>
              </w:p>
            </w:txbxContent>
          </v:textbox>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96.55pt;height:13.6pt;margin-top:71.1pt;margin-left:69.92pt;mso-position-horizontal-relative:page;mso-position-vertical-relative:page;position:absolute;z-index:-251655168" filled="f" stroked="f">
          <v:textbox inset="0,0,0,0">
            <w:txbxContent>
              <w:p>
                <w:pPr>
                  <w:pStyle w:val="BodyText"/>
                  <w:spacing w:line="265" w:lineRule="exact"/>
                  <w:ind w:left="20"/>
                  <w:rPr>
                    <w:rFonts w:ascii="黑体" w:hAnsi="黑体"/>
                  </w:rPr>
                </w:pPr>
                <w:r>
                  <w:rPr>
                    <w:rFonts w:ascii="黑体" w:hAnsi="黑体"/>
                  </w:rPr>
                  <w:t>DB4401/T 158</w:t>
                </w:r>
                <w:r>
                  <w:rPr>
                    <w:rFonts w:ascii="Times New Roman" w:hAnsi="Times New Roman"/>
                  </w:rPr>
                  <w:t>—</w:t>
                </w:r>
                <w:r>
                  <w:rPr>
                    <w:rFonts w:ascii="黑体" w:hAnsi="黑体"/>
                  </w:rPr>
                  <w:t>2022</w:t>
                </w:r>
              </w:p>
            </w:txbxContent>
          </v:textbox>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width:96.55pt;height:13.6pt;margin-top:71.1pt;margin-left:443.12pt;mso-position-horizontal-relative:page;mso-position-vertical-relative:page;position:absolute;z-index:-251656192" filled="f" stroked="f">
          <v:textbox inset="0,0,0,0">
            <w:txbxContent>
              <w:p>
                <w:pPr>
                  <w:pStyle w:val="BodyText"/>
                  <w:spacing w:line="265" w:lineRule="exact"/>
                  <w:ind w:left="20"/>
                  <w:rPr>
                    <w:rFonts w:ascii="黑体" w:hAnsi="黑体"/>
                  </w:rPr>
                </w:pPr>
                <w:r>
                  <w:rPr>
                    <w:rFonts w:ascii="黑体" w:hAnsi="黑体"/>
                  </w:rPr>
                  <w:t>DB4401/T 158</w:t>
                </w:r>
                <w:r>
                  <w:rPr>
                    <w:rFonts w:ascii="Times New Roman" w:hAnsi="Times New Roman"/>
                  </w:rPr>
                  <w:t>—</w:t>
                </w:r>
                <w:r>
                  <w:rPr>
                    <w:rFonts w:ascii="黑体" w:hAnsi="黑体"/>
                  </w:rPr>
                  <w:t>2022</w:t>
                </w:r>
              </w:p>
            </w:txbxContent>
          </v:textbox>
        </v:shape>
      </w:pict>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96.55pt;height:13.6pt;margin-top:71.1pt;margin-left:69.92pt;mso-position-horizontal-relative:page;mso-position-vertical-relative:page;position:absolute;z-index:-251653120" filled="f" stroked="f">
          <v:textbox inset="0,0,0,0">
            <w:txbxContent>
              <w:p>
                <w:pPr>
                  <w:pStyle w:val="BodyText"/>
                  <w:spacing w:line="265" w:lineRule="exact"/>
                  <w:ind w:left="20"/>
                  <w:rPr>
                    <w:rFonts w:ascii="黑体" w:hAnsi="黑体"/>
                  </w:rPr>
                </w:pPr>
                <w:r>
                  <w:rPr>
                    <w:rFonts w:ascii="黑体" w:hAnsi="黑体"/>
                  </w:rPr>
                  <w:t>DB4401/T 158</w:t>
                </w:r>
                <w:r>
                  <w:rPr>
                    <w:rFonts w:ascii="Times New Roman" w:hAnsi="Times New Roman"/>
                  </w:rPr>
                  <w:t>—</w:t>
                </w:r>
                <w:r>
                  <w:rPr>
                    <w:rFonts w:ascii="黑体" w:hAnsi="黑体"/>
                  </w:rPr>
                  <w:t>2022</w:t>
                </w:r>
              </w:p>
            </w:txbxContent>
          </v:textbox>
        </v:shape>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width:96.55pt;height:13.6pt;margin-top:71.1pt;margin-left:443.12pt;mso-position-horizontal-relative:page;mso-position-vertical-relative:page;position:absolute;z-index:-251654144" filled="f" stroked="f">
          <v:textbox inset="0,0,0,0">
            <w:txbxContent>
              <w:p>
                <w:pPr>
                  <w:pStyle w:val="BodyText"/>
                  <w:spacing w:line="265" w:lineRule="exact"/>
                  <w:ind w:left="20"/>
                  <w:rPr>
                    <w:rFonts w:ascii="黑体" w:hAnsi="黑体"/>
                  </w:rPr>
                </w:pPr>
                <w:r>
                  <w:rPr>
                    <w:rFonts w:ascii="黑体" w:hAnsi="黑体"/>
                  </w:rPr>
                  <w:t>DB4401/T 158</w:t>
                </w:r>
                <w:r>
                  <w:rPr>
                    <w:rFonts w:ascii="Times New Roman" w:hAnsi="Times New Roman"/>
                  </w:rPr>
                  <w:t>—</w:t>
                </w:r>
                <w:r>
                  <w:rPr>
                    <w:rFonts w:ascii="黑体" w:hAnsi="黑体"/>
                  </w:rPr>
                  <w:t>2022</w:t>
                </w:r>
              </w:p>
            </w:txbxContent>
          </v:textbox>
        </v:shape>
      </w:pict>
    </w: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96.55pt;height:13.6pt;margin-top:71.1pt;margin-left:69.92pt;mso-position-horizontal-relative:page;mso-position-vertical-relative:page;position:absolute;z-index:-251651072" filled="f" stroked="f">
          <v:textbox inset="0,0,0,0">
            <w:txbxContent>
              <w:p>
                <w:pPr>
                  <w:pStyle w:val="BodyText"/>
                  <w:spacing w:line="265" w:lineRule="exact"/>
                  <w:ind w:left="20"/>
                  <w:rPr>
                    <w:rFonts w:ascii="黑体" w:hAnsi="黑体"/>
                  </w:rPr>
                </w:pPr>
                <w:r>
                  <w:rPr>
                    <w:rFonts w:ascii="黑体" w:hAnsi="黑体"/>
                  </w:rPr>
                  <w:t>DB4401/T 158</w:t>
                </w:r>
                <w:r>
                  <w:rPr>
                    <w:rFonts w:ascii="Times New Roman" w:hAnsi="Times New Roman"/>
                  </w:rPr>
                  <w:t>—</w:t>
                </w:r>
                <w:r>
                  <w:rPr>
                    <w:rFonts w:ascii="黑体" w:hAnsi="黑体"/>
                  </w:rPr>
                  <w:t>2022</w:t>
                </w:r>
              </w:p>
            </w:txbxContent>
          </v:textbox>
        </v:shape>
      </w:pic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5" type="#_x0000_t202" style="width:96.55pt;height:13.6pt;margin-top:71.1pt;margin-left:443.12pt;mso-position-horizontal-relative:page;mso-position-vertical-relative:page;position:absolute;z-index:-251652096" filled="f" stroked="f">
          <v:textbox inset="0,0,0,0">
            <w:txbxContent>
              <w:p>
                <w:pPr>
                  <w:pStyle w:val="BodyText"/>
                  <w:spacing w:line="265" w:lineRule="exact"/>
                  <w:ind w:left="20"/>
                  <w:rPr>
                    <w:rFonts w:ascii="黑体" w:hAnsi="黑体"/>
                  </w:rPr>
                </w:pPr>
                <w:r>
                  <w:rPr>
                    <w:rFonts w:ascii="黑体" w:hAnsi="黑体"/>
                  </w:rPr>
                  <w:t>DB4401/T 158</w:t>
                </w:r>
                <w:r>
                  <w:rPr>
                    <w:rFonts w:ascii="Times New Roman" w:hAnsi="Times New Roman"/>
                  </w:rPr>
                  <w:t>—</w:t>
                </w:r>
                <w:r>
                  <w:rPr>
                    <w:rFonts w:ascii="黑体" w:hAnsi="黑体"/>
                  </w:rPr>
                  <w:t>2022</w:t>
                </w:r>
              </w:p>
            </w:txbxContent>
          </v:textbox>
        </v:shape>
      </w:pic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8" type="#_x0000_t202" style="width:96.55pt;height:13.6pt;margin-top:71.1pt;margin-left:69.92pt;mso-position-horizontal-relative:page;mso-position-vertical-relative:page;position:absolute;z-index:-251649024" filled="f" stroked="f">
          <v:textbox inset="0,0,0,0">
            <w:txbxContent>
              <w:p>
                <w:pPr>
                  <w:pStyle w:val="BodyText"/>
                  <w:spacing w:line="265" w:lineRule="exact"/>
                  <w:ind w:left="20"/>
                  <w:rPr>
                    <w:rFonts w:ascii="黑体" w:hAnsi="黑体"/>
                  </w:rPr>
                </w:pPr>
                <w:r>
                  <w:rPr>
                    <w:rFonts w:ascii="黑体" w:hAnsi="黑体"/>
                  </w:rPr>
                  <w:t>DB4401/T 158</w:t>
                </w:r>
                <w:r>
                  <w:rPr>
                    <w:rFonts w:ascii="Times New Roman" w:hAnsi="Times New Roman"/>
                  </w:rPr>
                  <w:t>—</w:t>
                </w:r>
                <w:r>
                  <w:rPr>
                    <w:rFonts w:ascii="黑体" w:hAnsi="黑体"/>
                  </w:rPr>
                  <w:t>2022</w:t>
                </w:r>
              </w:p>
            </w:txbxContent>
          </v:textbox>
        </v:shape>
      </w:pic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7" type="#_x0000_t202" style="width:96.55pt;height:13.6pt;margin-top:71.1pt;margin-left:443.12pt;mso-position-horizontal-relative:page;mso-position-vertical-relative:page;position:absolute;z-index:-251650048" filled="f" stroked="f">
          <v:textbox inset="0,0,0,0">
            <w:txbxContent>
              <w:p>
                <w:pPr>
                  <w:pStyle w:val="BodyText"/>
                  <w:spacing w:line="265" w:lineRule="exact"/>
                  <w:ind w:left="20"/>
                  <w:rPr>
                    <w:rFonts w:ascii="黑体" w:hAnsi="黑体"/>
                  </w:rPr>
                </w:pPr>
                <w:r>
                  <w:rPr>
                    <w:rFonts w:ascii="黑体" w:hAnsi="黑体"/>
                  </w:rPr>
                  <w:t>DB4401/T 158</w:t>
                </w:r>
                <w:r>
                  <w:rPr>
                    <w:rFonts w:ascii="Times New Roman" w:hAnsi="Times New Roman"/>
                  </w:rPr>
                  <w:t>—</w:t>
                </w:r>
                <w:r>
                  <w:rPr>
                    <w:rFonts w:ascii="黑体" w:hAnsi="黑体"/>
                  </w:rPr>
                  <w:t>2022</w:t>
                </w:r>
              </w:p>
            </w:txbxContent>
          </v:textbox>
        </v:shape>
      </w:pict>
    </w: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0" type="#_x0000_t202" style="width:96.55pt;height:13.6pt;margin-top:71.1pt;margin-left:69.92pt;mso-position-horizontal-relative:page;mso-position-vertical-relative:page;position:absolute;z-index:-251646976" filled="f" stroked="f">
          <v:textbox inset="0,0,0,0">
            <w:txbxContent>
              <w:p>
                <w:pPr>
                  <w:pStyle w:val="BodyText"/>
                  <w:spacing w:line="265" w:lineRule="exact"/>
                  <w:ind w:left="20"/>
                  <w:rPr>
                    <w:rFonts w:ascii="黑体" w:hAnsi="黑体"/>
                  </w:rPr>
                </w:pPr>
                <w:r>
                  <w:rPr>
                    <w:rFonts w:ascii="黑体" w:hAnsi="黑体"/>
                  </w:rPr>
                  <w:t>DB4401/T 158</w:t>
                </w:r>
                <w:r>
                  <w:rPr>
                    <w:rFonts w:ascii="Times New Roman" w:hAnsi="Times New Roman"/>
                  </w:rPr>
                  <w:t>—</w:t>
                </w:r>
                <w:r>
                  <w:rPr>
                    <w:rFonts w:ascii="黑体" w:hAnsi="黑体"/>
                  </w:rPr>
                  <w:t>2022</w:t>
                </w:r>
              </w:p>
            </w:txbxContent>
          </v:textbox>
        </v:shape>
      </w:pict>
    </w: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9" type="#_x0000_t202" style="width:96.55pt;height:13.6pt;margin-top:71.1pt;margin-left:443.12pt;mso-position-horizontal-relative:page;mso-position-vertical-relative:page;position:absolute;z-index:-251648000" filled="f" stroked="f">
          <v:textbox inset="0,0,0,0">
            <w:txbxContent>
              <w:p>
                <w:pPr>
                  <w:pStyle w:val="BodyText"/>
                  <w:spacing w:line="265" w:lineRule="exact"/>
                  <w:ind w:left="20"/>
                  <w:rPr>
                    <w:rFonts w:ascii="黑体" w:hAnsi="黑体"/>
                  </w:rPr>
                </w:pPr>
                <w:r>
                  <w:rPr>
                    <w:rFonts w:ascii="黑体" w:hAnsi="黑体"/>
                  </w:rPr>
                  <w:t>DB4401/T 158</w:t>
                </w:r>
                <w:r>
                  <w:rPr>
                    <w:rFonts w:ascii="Times New Roman" w:hAnsi="Times New Roman"/>
                  </w:rPr>
                  <w:t>—</w:t>
                </w:r>
                <w:r>
                  <w:rPr>
                    <w:rFonts w:ascii="黑体" w:hAnsi="黑体"/>
                  </w:rPr>
                  <w:t>2022</w:t>
                </w:r>
              </w:p>
            </w:txbxContent>
          </v:textbox>
        </v:shape>
      </w:pict>
    </w: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2" type="#_x0000_t202" style="width:96.55pt;height:13.6pt;margin-top:71.1pt;margin-left:69.92pt;mso-position-horizontal-relative:page;mso-position-vertical-relative:page;position:absolute;z-index:-251644928" filled="f" stroked="f">
          <v:textbox inset="0,0,0,0">
            <w:txbxContent>
              <w:p>
                <w:pPr>
                  <w:pStyle w:val="BodyText"/>
                  <w:spacing w:line="265" w:lineRule="exact"/>
                  <w:ind w:left="20"/>
                  <w:rPr>
                    <w:rFonts w:ascii="黑体" w:hAnsi="黑体"/>
                  </w:rPr>
                </w:pPr>
                <w:r>
                  <w:rPr>
                    <w:rFonts w:ascii="黑体" w:hAnsi="黑体"/>
                  </w:rPr>
                  <w:t>DB4401/T 158</w:t>
                </w:r>
                <w:r>
                  <w:rPr>
                    <w:rFonts w:ascii="Times New Roman" w:hAnsi="Times New Roman"/>
                  </w:rPr>
                  <w:t>—</w:t>
                </w:r>
                <w:r>
                  <w:rPr>
                    <w:rFonts w:ascii="黑体" w:hAnsi="黑体"/>
                  </w:rPr>
                  <w:t>2022</w:t>
                </w:r>
              </w:p>
            </w:txbxContent>
          </v:textbox>
        </v:shape>
      </w:pict>
    </w: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1" type="#_x0000_t202" style="width:96.55pt;height:13.6pt;margin-top:71.1pt;margin-left:443.12pt;mso-position-horizontal-relative:page;mso-position-vertical-relative:page;position:absolute;z-index:-251645952" filled="f" stroked="f">
          <v:textbox inset="0,0,0,0">
            <w:txbxContent>
              <w:p>
                <w:pPr>
                  <w:pStyle w:val="BodyText"/>
                  <w:spacing w:line="265" w:lineRule="exact"/>
                  <w:ind w:left="20"/>
                  <w:rPr>
                    <w:rFonts w:ascii="黑体" w:hAnsi="黑体"/>
                  </w:rPr>
                </w:pPr>
                <w:r>
                  <w:rPr>
                    <w:rFonts w:ascii="黑体" w:hAnsi="黑体"/>
                  </w:rPr>
                  <w:t>DB4401/T 158</w:t>
                </w:r>
                <w:r>
                  <w:rPr>
                    <w:rFonts w:ascii="Times New Roman" w:hAnsi="Times New Roman"/>
                  </w:rPr>
                  <w:t>—</w:t>
                </w:r>
                <w:r>
                  <w:rPr>
                    <w:rFonts w:ascii="黑体" w:hAnsi="黑体"/>
                  </w:rPr>
                  <w:t>2022</w:t>
                </w:r>
              </w:p>
            </w:txbxContent>
          </v:textbox>
        </v:shape>
      </w:pict>
    </w: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4" type="#_x0000_t202" style="width:96.55pt;height:13.6pt;margin-top:71.1pt;margin-left:69.92pt;mso-position-horizontal-relative:page;mso-position-vertical-relative:page;position:absolute;z-index:-251642880" filled="f" stroked="f">
          <v:textbox inset="0,0,0,0">
            <w:txbxContent>
              <w:p>
                <w:pPr>
                  <w:pStyle w:val="BodyText"/>
                  <w:spacing w:line="265" w:lineRule="exact"/>
                  <w:ind w:left="20"/>
                  <w:rPr>
                    <w:rFonts w:ascii="黑体" w:hAnsi="黑体"/>
                  </w:rPr>
                </w:pPr>
                <w:r>
                  <w:rPr>
                    <w:rFonts w:ascii="黑体" w:hAnsi="黑体"/>
                  </w:rPr>
                  <w:t>DB4401/T 158</w:t>
                </w:r>
                <w:r>
                  <w:rPr>
                    <w:rFonts w:ascii="Times New Roman" w:hAnsi="Times New Roman"/>
                  </w:rPr>
                  <w:t>—</w:t>
                </w:r>
                <w:r>
                  <w:rPr>
                    <w:rFonts w:ascii="黑体" w:hAnsi="黑体"/>
                  </w:rPr>
                  <w:t>2022</w:t>
                </w:r>
              </w:p>
            </w:txbxContent>
          </v:textbox>
        </v:shape>
      </w:pict>
    </w: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3" type="#_x0000_t202" style="width:96.55pt;height:13.6pt;margin-top:71.1pt;margin-left:443.12pt;mso-position-horizontal-relative:page;mso-position-vertical-relative:page;position:absolute;z-index:-251643904" filled="f" stroked="f">
          <v:textbox inset="0,0,0,0">
            <w:txbxContent>
              <w:p>
                <w:pPr>
                  <w:pStyle w:val="BodyText"/>
                  <w:spacing w:line="265" w:lineRule="exact"/>
                  <w:ind w:left="20"/>
                  <w:rPr>
                    <w:rFonts w:ascii="黑体" w:hAnsi="黑体"/>
                  </w:rPr>
                </w:pPr>
                <w:r>
                  <w:rPr>
                    <w:rFonts w:ascii="黑体" w:hAnsi="黑体"/>
                  </w:rPr>
                  <w:t>DB4401/T 158</w:t>
                </w:r>
                <w:r>
                  <w:rPr>
                    <w:rFonts w:ascii="Times New Roman" w:hAnsi="Times New Roman"/>
                  </w:rPr>
                  <w:t>—</w:t>
                </w:r>
                <w:r>
                  <w:rPr>
                    <w:rFonts w:ascii="黑体" w:hAnsi="黑体"/>
                  </w:rPr>
                  <w:t>2022</w:t>
                </w:r>
              </w:p>
            </w:txbxContent>
          </v:textbox>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3E97C9"/>
    <w:multiLevelType w:val="hybridMultilevel"/>
    <w:tmpl w:val="00000000"/>
    <w:lvl w:ilvl="0">
      <w:start w:val="4"/>
      <w:numFmt w:val="decimal"/>
      <w:lvlText w:val="%1"/>
      <w:lvlJc w:val="left"/>
      <w:pPr>
        <w:ind w:left="1704" w:hanging="526"/>
        <w:jc w:val="left"/>
      </w:pPr>
      <w:rPr>
        <w:rFonts w:hint="default"/>
        <w:lang w:val="en-US" w:eastAsia="zh-CN" w:bidi="ar-SA"/>
      </w:rPr>
    </w:lvl>
    <w:lvl w:ilvl="1">
      <w:start w:val="6"/>
      <w:numFmt w:val="decimal"/>
      <w:lvlText w:val="%1.%2"/>
      <w:lvlJc w:val="left"/>
      <w:pPr>
        <w:ind w:left="1704" w:hanging="526"/>
        <w:jc w:val="left"/>
      </w:pPr>
      <w:rPr>
        <w:rFonts w:ascii="黑体" w:eastAsia="黑体" w:hAnsi="黑体" w:cs="黑体" w:hint="default"/>
        <w:spacing w:val="0"/>
        <w:w w:val="99"/>
        <w:sz w:val="21"/>
        <w:szCs w:val="21"/>
        <w:lang w:val="en-US" w:eastAsia="zh-CN" w:bidi="ar-SA"/>
      </w:rPr>
    </w:lvl>
    <w:lvl w:ilvl="2">
      <w:start w:val="1"/>
      <w:numFmt w:val="decimal"/>
      <w:lvlText w:val="%1.%2.%3"/>
      <w:lvlJc w:val="left"/>
      <w:pPr>
        <w:ind w:left="1178" w:hanging="735"/>
        <w:jc w:val="left"/>
      </w:pPr>
      <w:rPr>
        <w:rFonts w:ascii="黑体" w:eastAsia="黑体" w:hAnsi="黑体" w:cs="黑体" w:hint="default"/>
        <w:spacing w:val="-2"/>
        <w:w w:val="99"/>
        <w:sz w:val="21"/>
        <w:szCs w:val="21"/>
        <w:lang w:val="en-US" w:eastAsia="zh-CN" w:bidi="ar-SA"/>
      </w:rPr>
    </w:lvl>
    <w:lvl w:ilvl="3">
      <w:start w:val="1"/>
      <w:numFmt w:val="lowerLetter"/>
      <w:lvlText w:val="%4）"/>
      <w:lvlJc w:val="left"/>
      <w:pPr>
        <w:ind w:left="1914" w:hanging="316"/>
        <w:jc w:val="left"/>
      </w:pPr>
      <w:rPr>
        <w:rFonts w:ascii="宋体" w:eastAsia="宋体" w:hAnsi="宋体" w:cs="宋体" w:hint="default"/>
        <w:spacing w:val="-1"/>
        <w:w w:val="99"/>
        <w:sz w:val="19"/>
        <w:szCs w:val="19"/>
        <w:lang w:val="en-US" w:eastAsia="zh-CN" w:bidi="ar-SA"/>
      </w:rPr>
    </w:lvl>
    <w:lvl w:ilvl="4">
      <w:start w:val="0"/>
      <w:numFmt w:val="bullet"/>
      <w:lvlText w:val="•"/>
      <w:lvlJc w:val="left"/>
      <w:pPr>
        <w:ind w:left="4291" w:hanging="316"/>
      </w:pPr>
      <w:rPr>
        <w:rFonts w:hint="default"/>
        <w:lang w:val="en-US" w:eastAsia="zh-CN" w:bidi="ar-SA"/>
      </w:rPr>
    </w:lvl>
    <w:lvl w:ilvl="5">
      <w:start w:val="0"/>
      <w:numFmt w:val="bullet"/>
      <w:lvlText w:val="•"/>
      <w:lvlJc w:val="left"/>
      <w:pPr>
        <w:ind w:left="5477" w:hanging="316"/>
      </w:pPr>
      <w:rPr>
        <w:rFonts w:hint="default"/>
        <w:lang w:val="en-US" w:eastAsia="zh-CN" w:bidi="ar-SA"/>
      </w:rPr>
    </w:lvl>
    <w:lvl w:ilvl="6">
      <w:start w:val="0"/>
      <w:numFmt w:val="bullet"/>
      <w:lvlText w:val="•"/>
      <w:lvlJc w:val="left"/>
      <w:pPr>
        <w:ind w:left="6663" w:hanging="316"/>
      </w:pPr>
      <w:rPr>
        <w:rFonts w:hint="default"/>
        <w:lang w:val="en-US" w:eastAsia="zh-CN" w:bidi="ar-SA"/>
      </w:rPr>
    </w:lvl>
    <w:lvl w:ilvl="7">
      <w:start w:val="0"/>
      <w:numFmt w:val="bullet"/>
      <w:lvlText w:val="•"/>
      <w:lvlJc w:val="left"/>
      <w:pPr>
        <w:ind w:left="7848" w:hanging="316"/>
      </w:pPr>
      <w:rPr>
        <w:rFonts w:hint="default"/>
        <w:lang w:val="en-US" w:eastAsia="zh-CN" w:bidi="ar-SA"/>
      </w:rPr>
    </w:lvl>
    <w:lvl w:ilvl="8">
      <w:start w:val="0"/>
      <w:numFmt w:val="bullet"/>
      <w:lvlText w:val="•"/>
      <w:lvlJc w:val="left"/>
      <w:pPr>
        <w:ind w:left="9034" w:hanging="316"/>
      </w:pPr>
      <w:rPr>
        <w:rFonts w:hint="default"/>
        <w:lang w:val="en-US" w:eastAsia="zh-CN" w:bidi="ar-SA"/>
      </w:rPr>
    </w:lvl>
  </w:abstractNum>
  <w:abstractNum w:abstractNumId="1">
    <w:nsid w:val="1D5752AB"/>
    <w:multiLevelType w:val="hybridMultilevel"/>
    <w:tmpl w:val="00000000"/>
    <w:lvl w:ilvl="0">
      <w:start w:val="5"/>
      <w:numFmt w:val="decimal"/>
      <w:lvlText w:val="%1"/>
      <w:lvlJc w:val="left"/>
      <w:pPr>
        <w:ind w:left="2124" w:hanging="946"/>
        <w:jc w:val="left"/>
      </w:pPr>
      <w:rPr>
        <w:rFonts w:hint="default"/>
        <w:lang w:val="en-US" w:eastAsia="zh-CN" w:bidi="ar-SA"/>
      </w:rPr>
    </w:lvl>
    <w:lvl w:ilvl="1">
      <w:start w:val="2"/>
      <w:numFmt w:val="decimal"/>
      <w:lvlText w:val="%1.%2"/>
      <w:lvlJc w:val="left"/>
      <w:pPr>
        <w:ind w:left="2124" w:hanging="946"/>
        <w:jc w:val="left"/>
      </w:pPr>
      <w:rPr>
        <w:rFonts w:hint="default"/>
        <w:lang w:val="en-US" w:eastAsia="zh-CN" w:bidi="ar-SA"/>
      </w:rPr>
    </w:lvl>
    <w:lvl w:ilvl="2">
      <w:start w:val="3"/>
      <w:numFmt w:val="decimal"/>
      <w:lvlText w:val="%1.%2.%3"/>
      <w:lvlJc w:val="left"/>
      <w:pPr>
        <w:ind w:left="2124" w:hanging="946"/>
        <w:jc w:val="left"/>
      </w:pPr>
      <w:rPr>
        <w:rFonts w:hint="default"/>
        <w:lang w:val="en-US" w:eastAsia="zh-CN" w:bidi="ar-SA"/>
      </w:rPr>
    </w:lvl>
    <w:lvl w:ilvl="3">
      <w:start w:val="5"/>
      <w:numFmt w:val="decimal"/>
      <w:lvlText w:val="%1.%2.%3.%4"/>
      <w:lvlJc w:val="left"/>
      <w:pPr>
        <w:ind w:left="2124" w:hanging="946"/>
        <w:jc w:val="left"/>
      </w:pPr>
      <w:rPr>
        <w:rFonts w:ascii="黑体" w:eastAsia="黑体" w:hAnsi="黑体" w:cs="黑体" w:hint="default"/>
        <w:spacing w:val="-2"/>
        <w:w w:val="99"/>
        <w:sz w:val="21"/>
        <w:szCs w:val="21"/>
        <w:lang w:val="en-US" w:eastAsia="zh-CN" w:bidi="ar-SA"/>
      </w:rPr>
    </w:lvl>
    <w:lvl w:ilvl="4">
      <w:start w:val="0"/>
      <w:numFmt w:val="bullet"/>
      <w:lvlText w:val="•"/>
      <w:lvlJc w:val="left"/>
      <w:pPr>
        <w:ind w:left="5834" w:hanging="946"/>
      </w:pPr>
      <w:rPr>
        <w:rFonts w:hint="default"/>
        <w:lang w:val="en-US" w:eastAsia="zh-CN" w:bidi="ar-SA"/>
      </w:rPr>
    </w:lvl>
    <w:lvl w:ilvl="5">
      <w:start w:val="0"/>
      <w:numFmt w:val="bullet"/>
      <w:lvlText w:val="•"/>
      <w:lvlJc w:val="left"/>
      <w:pPr>
        <w:ind w:left="6763" w:hanging="946"/>
      </w:pPr>
      <w:rPr>
        <w:rFonts w:hint="default"/>
        <w:lang w:val="en-US" w:eastAsia="zh-CN" w:bidi="ar-SA"/>
      </w:rPr>
    </w:lvl>
    <w:lvl w:ilvl="6">
      <w:start w:val="0"/>
      <w:numFmt w:val="bullet"/>
      <w:lvlText w:val="•"/>
      <w:lvlJc w:val="left"/>
      <w:pPr>
        <w:ind w:left="7691" w:hanging="946"/>
      </w:pPr>
      <w:rPr>
        <w:rFonts w:hint="default"/>
        <w:lang w:val="en-US" w:eastAsia="zh-CN" w:bidi="ar-SA"/>
      </w:rPr>
    </w:lvl>
    <w:lvl w:ilvl="7">
      <w:start w:val="0"/>
      <w:numFmt w:val="bullet"/>
      <w:lvlText w:val="•"/>
      <w:lvlJc w:val="left"/>
      <w:pPr>
        <w:ind w:left="8620" w:hanging="946"/>
      </w:pPr>
      <w:rPr>
        <w:rFonts w:hint="default"/>
        <w:lang w:val="en-US" w:eastAsia="zh-CN" w:bidi="ar-SA"/>
      </w:rPr>
    </w:lvl>
    <w:lvl w:ilvl="8">
      <w:start w:val="0"/>
      <w:numFmt w:val="bullet"/>
      <w:lvlText w:val="•"/>
      <w:lvlJc w:val="left"/>
      <w:pPr>
        <w:ind w:left="9548" w:hanging="946"/>
      </w:pPr>
      <w:rPr>
        <w:rFonts w:hint="default"/>
        <w:lang w:val="en-US" w:eastAsia="zh-CN" w:bidi="ar-SA"/>
      </w:rPr>
    </w:lvl>
  </w:abstractNum>
  <w:abstractNum w:abstractNumId="2">
    <w:nsid w:val="1F7E12B1"/>
    <w:multiLevelType w:val="hybridMultilevel"/>
    <w:tmpl w:val="00000000"/>
    <w:lvl w:ilvl="0">
      <w:start w:val="5"/>
      <w:numFmt w:val="decimal"/>
      <w:lvlText w:val="%1"/>
      <w:lvlJc w:val="left"/>
      <w:pPr>
        <w:ind w:left="525" w:hanging="526"/>
        <w:jc w:val="left"/>
      </w:pPr>
      <w:rPr>
        <w:rFonts w:hint="default"/>
        <w:lang w:val="en-US" w:eastAsia="zh-CN" w:bidi="ar-SA"/>
      </w:rPr>
    </w:lvl>
    <w:lvl w:ilvl="1">
      <w:start w:val="2"/>
      <w:numFmt w:val="decimal"/>
      <w:lvlText w:val="%1.%2"/>
      <w:lvlJc w:val="left"/>
      <w:pPr>
        <w:ind w:left="525" w:hanging="526"/>
        <w:jc w:val="left"/>
      </w:pPr>
      <w:rPr>
        <w:rFonts w:ascii="黑体" w:eastAsia="黑体" w:hAnsi="黑体" w:cs="黑体" w:hint="default"/>
        <w:spacing w:val="0"/>
        <w:w w:val="99"/>
        <w:sz w:val="21"/>
        <w:szCs w:val="21"/>
        <w:lang w:val="en-US" w:eastAsia="zh-CN" w:bidi="ar-SA"/>
      </w:rPr>
    </w:lvl>
    <w:lvl w:ilvl="2">
      <w:start w:val="1"/>
      <w:numFmt w:val="decimal"/>
      <w:lvlText w:val="%1.%2.%3"/>
      <w:lvlJc w:val="left"/>
      <w:pPr>
        <w:ind w:left="734" w:hanging="735"/>
        <w:jc w:val="left"/>
      </w:pPr>
      <w:rPr>
        <w:rFonts w:ascii="黑体" w:eastAsia="黑体" w:hAnsi="黑体" w:cs="黑体" w:hint="default"/>
        <w:spacing w:val="-2"/>
        <w:w w:val="99"/>
        <w:sz w:val="21"/>
        <w:szCs w:val="21"/>
        <w:lang w:val="en-US" w:eastAsia="zh-CN" w:bidi="ar-SA"/>
      </w:rPr>
    </w:lvl>
    <w:lvl w:ilvl="3">
      <w:start w:val="0"/>
      <w:numFmt w:val="bullet"/>
      <w:lvlText w:val="•"/>
      <w:lvlJc w:val="left"/>
      <w:pPr>
        <w:ind w:left="1910" w:hanging="735"/>
      </w:pPr>
      <w:rPr>
        <w:rFonts w:hint="default"/>
        <w:lang w:val="en-US" w:eastAsia="zh-CN" w:bidi="ar-SA"/>
      </w:rPr>
    </w:lvl>
    <w:lvl w:ilvl="4">
      <w:start w:val="0"/>
      <w:numFmt w:val="bullet"/>
      <w:lvlText w:val="•"/>
      <w:lvlJc w:val="left"/>
      <w:pPr>
        <w:ind w:left="2495" w:hanging="735"/>
      </w:pPr>
      <w:rPr>
        <w:rFonts w:hint="default"/>
        <w:lang w:val="en-US" w:eastAsia="zh-CN" w:bidi="ar-SA"/>
      </w:rPr>
    </w:lvl>
    <w:lvl w:ilvl="5">
      <w:start w:val="0"/>
      <w:numFmt w:val="bullet"/>
      <w:lvlText w:val="•"/>
      <w:lvlJc w:val="left"/>
      <w:pPr>
        <w:ind w:left="3080" w:hanging="735"/>
      </w:pPr>
      <w:rPr>
        <w:rFonts w:hint="default"/>
        <w:lang w:val="en-US" w:eastAsia="zh-CN" w:bidi="ar-SA"/>
      </w:rPr>
    </w:lvl>
    <w:lvl w:ilvl="6">
      <w:start w:val="0"/>
      <w:numFmt w:val="bullet"/>
      <w:lvlText w:val="•"/>
      <w:lvlJc w:val="left"/>
      <w:pPr>
        <w:ind w:left="3665" w:hanging="735"/>
      </w:pPr>
      <w:rPr>
        <w:rFonts w:hint="default"/>
        <w:lang w:val="en-US" w:eastAsia="zh-CN" w:bidi="ar-SA"/>
      </w:rPr>
    </w:lvl>
    <w:lvl w:ilvl="7">
      <w:start w:val="0"/>
      <w:numFmt w:val="bullet"/>
      <w:lvlText w:val="•"/>
      <w:lvlJc w:val="left"/>
      <w:pPr>
        <w:ind w:left="4250" w:hanging="735"/>
      </w:pPr>
      <w:rPr>
        <w:rFonts w:hint="default"/>
        <w:lang w:val="en-US" w:eastAsia="zh-CN" w:bidi="ar-SA"/>
      </w:rPr>
    </w:lvl>
    <w:lvl w:ilvl="8">
      <w:start w:val="0"/>
      <w:numFmt w:val="bullet"/>
      <w:lvlText w:val="•"/>
      <w:lvlJc w:val="left"/>
      <w:pPr>
        <w:ind w:left="4835" w:hanging="735"/>
      </w:pPr>
      <w:rPr>
        <w:rFonts w:hint="default"/>
        <w:lang w:val="en-US" w:eastAsia="zh-CN" w:bidi="ar-SA"/>
      </w:rPr>
    </w:lvl>
  </w:abstractNum>
  <w:abstractNum w:abstractNumId="3">
    <w:nsid w:val="21180517"/>
    <w:multiLevelType w:val="hybridMultilevel"/>
    <w:tmpl w:val="00000000"/>
    <w:lvl w:ilvl="0">
      <w:start w:val="1"/>
      <w:numFmt w:val="decimal"/>
      <w:lvlText w:val="%1）"/>
      <w:lvlJc w:val="left"/>
      <w:pPr>
        <w:ind w:left="1178" w:hanging="317"/>
        <w:jc w:val="left"/>
      </w:pPr>
      <w:rPr>
        <w:rFonts w:ascii="宋体" w:eastAsia="宋体" w:hAnsi="宋体" w:cs="宋体" w:hint="default"/>
        <w:spacing w:val="1"/>
        <w:w w:val="99"/>
        <w:sz w:val="19"/>
        <w:szCs w:val="19"/>
        <w:lang w:val="en-US" w:eastAsia="zh-CN" w:bidi="ar-SA"/>
      </w:rPr>
    </w:lvl>
    <w:lvl w:ilvl="1">
      <w:start w:val="0"/>
      <w:numFmt w:val="bullet"/>
      <w:lvlText w:val="•"/>
      <w:lvlJc w:val="left"/>
      <w:pPr>
        <w:ind w:left="2202" w:hanging="317"/>
      </w:pPr>
      <w:rPr>
        <w:rFonts w:hint="default"/>
        <w:lang w:val="en-US" w:eastAsia="zh-CN" w:bidi="ar-SA"/>
      </w:rPr>
    </w:lvl>
    <w:lvl w:ilvl="2">
      <w:start w:val="0"/>
      <w:numFmt w:val="bullet"/>
      <w:lvlText w:val="•"/>
      <w:lvlJc w:val="left"/>
      <w:pPr>
        <w:ind w:left="3225" w:hanging="317"/>
      </w:pPr>
      <w:rPr>
        <w:rFonts w:hint="default"/>
        <w:lang w:val="en-US" w:eastAsia="zh-CN" w:bidi="ar-SA"/>
      </w:rPr>
    </w:lvl>
    <w:lvl w:ilvl="3">
      <w:start w:val="0"/>
      <w:numFmt w:val="bullet"/>
      <w:lvlText w:val="•"/>
      <w:lvlJc w:val="left"/>
      <w:pPr>
        <w:ind w:left="4247" w:hanging="317"/>
      </w:pPr>
      <w:rPr>
        <w:rFonts w:hint="default"/>
        <w:lang w:val="en-US" w:eastAsia="zh-CN" w:bidi="ar-SA"/>
      </w:rPr>
    </w:lvl>
    <w:lvl w:ilvl="4">
      <w:start w:val="0"/>
      <w:numFmt w:val="bullet"/>
      <w:lvlText w:val="•"/>
      <w:lvlJc w:val="left"/>
      <w:pPr>
        <w:ind w:left="5270" w:hanging="317"/>
      </w:pPr>
      <w:rPr>
        <w:rFonts w:hint="default"/>
        <w:lang w:val="en-US" w:eastAsia="zh-CN" w:bidi="ar-SA"/>
      </w:rPr>
    </w:lvl>
    <w:lvl w:ilvl="5">
      <w:start w:val="0"/>
      <w:numFmt w:val="bullet"/>
      <w:lvlText w:val="•"/>
      <w:lvlJc w:val="left"/>
      <w:pPr>
        <w:ind w:left="6293" w:hanging="317"/>
      </w:pPr>
      <w:rPr>
        <w:rFonts w:hint="default"/>
        <w:lang w:val="en-US" w:eastAsia="zh-CN" w:bidi="ar-SA"/>
      </w:rPr>
    </w:lvl>
    <w:lvl w:ilvl="6">
      <w:start w:val="0"/>
      <w:numFmt w:val="bullet"/>
      <w:lvlText w:val="•"/>
      <w:lvlJc w:val="left"/>
      <w:pPr>
        <w:ind w:left="7315" w:hanging="317"/>
      </w:pPr>
      <w:rPr>
        <w:rFonts w:hint="default"/>
        <w:lang w:val="en-US" w:eastAsia="zh-CN" w:bidi="ar-SA"/>
      </w:rPr>
    </w:lvl>
    <w:lvl w:ilvl="7">
      <w:start w:val="0"/>
      <w:numFmt w:val="bullet"/>
      <w:lvlText w:val="•"/>
      <w:lvlJc w:val="left"/>
      <w:pPr>
        <w:ind w:left="8338" w:hanging="317"/>
      </w:pPr>
      <w:rPr>
        <w:rFonts w:hint="default"/>
        <w:lang w:val="en-US" w:eastAsia="zh-CN" w:bidi="ar-SA"/>
      </w:rPr>
    </w:lvl>
    <w:lvl w:ilvl="8">
      <w:start w:val="0"/>
      <w:numFmt w:val="bullet"/>
      <w:lvlText w:val="•"/>
      <w:lvlJc w:val="left"/>
      <w:pPr>
        <w:ind w:left="9360" w:hanging="317"/>
      </w:pPr>
      <w:rPr>
        <w:rFonts w:hint="default"/>
        <w:lang w:val="en-US" w:eastAsia="zh-CN" w:bidi="ar-SA"/>
      </w:rPr>
    </w:lvl>
  </w:abstractNum>
  <w:abstractNum w:abstractNumId="4">
    <w:nsid w:val="2DF3F75A"/>
    <w:multiLevelType w:val="hybridMultilevel"/>
    <w:tmpl w:val="00000000"/>
    <w:lvl w:ilvl="0">
      <w:start w:val="1"/>
      <w:numFmt w:val="decimal"/>
      <w:lvlText w:val="%1"/>
      <w:lvlJc w:val="left"/>
      <w:pPr>
        <w:ind w:left="1492" w:hanging="315"/>
        <w:jc w:val="left"/>
      </w:pPr>
      <w:rPr>
        <w:rFonts w:ascii="黑体" w:eastAsia="黑体" w:hAnsi="黑体" w:cs="黑体" w:hint="default"/>
        <w:w w:val="99"/>
        <w:sz w:val="21"/>
        <w:szCs w:val="21"/>
        <w:lang w:val="en-US" w:eastAsia="zh-CN" w:bidi="ar-SA"/>
      </w:rPr>
    </w:lvl>
    <w:lvl w:ilvl="1">
      <w:start w:val="0"/>
      <w:numFmt w:val="bullet"/>
      <w:lvlText w:val="•"/>
      <w:lvlJc w:val="left"/>
      <w:pPr>
        <w:ind w:left="2490" w:hanging="315"/>
      </w:pPr>
      <w:rPr>
        <w:rFonts w:hint="default"/>
        <w:lang w:val="en-US" w:eastAsia="zh-CN" w:bidi="ar-SA"/>
      </w:rPr>
    </w:lvl>
    <w:lvl w:ilvl="2">
      <w:start w:val="0"/>
      <w:numFmt w:val="bullet"/>
      <w:lvlText w:val="•"/>
      <w:lvlJc w:val="left"/>
      <w:pPr>
        <w:ind w:left="3481" w:hanging="315"/>
      </w:pPr>
      <w:rPr>
        <w:rFonts w:hint="default"/>
        <w:lang w:val="en-US" w:eastAsia="zh-CN" w:bidi="ar-SA"/>
      </w:rPr>
    </w:lvl>
    <w:lvl w:ilvl="3">
      <w:start w:val="0"/>
      <w:numFmt w:val="bullet"/>
      <w:lvlText w:val="•"/>
      <w:lvlJc w:val="left"/>
      <w:pPr>
        <w:ind w:left="4471" w:hanging="315"/>
      </w:pPr>
      <w:rPr>
        <w:rFonts w:hint="default"/>
        <w:lang w:val="en-US" w:eastAsia="zh-CN" w:bidi="ar-SA"/>
      </w:rPr>
    </w:lvl>
    <w:lvl w:ilvl="4">
      <w:start w:val="0"/>
      <w:numFmt w:val="bullet"/>
      <w:lvlText w:val="•"/>
      <w:lvlJc w:val="left"/>
      <w:pPr>
        <w:ind w:left="5462" w:hanging="315"/>
      </w:pPr>
      <w:rPr>
        <w:rFonts w:hint="default"/>
        <w:lang w:val="en-US" w:eastAsia="zh-CN" w:bidi="ar-SA"/>
      </w:rPr>
    </w:lvl>
    <w:lvl w:ilvl="5">
      <w:start w:val="0"/>
      <w:numFmt w:val="bullet"/>
      <w:lvlText w:val="•"/>
      <w:lvlJc w:val="left"/>
      <w:pPr>
        <w:ind w:left="6453" w:hanging="315"/>
      </w:pPr>
      <w:rPr>
        <w:rFonts w:hint="default"/>
        <w:lang w:val="en-US" w:eastAsia="zh-CN" w:bidi="ar-SA"/>
      </w:rPr>
    </w:lvl>
    <w:lvl w:ilvl="6">
      <w:start w:val="0"/>
      <w:numFmt w:val="bullet"/>
      <w:lvlText w:val="•"/>
      <w:lvlJc w:val="left"/>
      <w:pPr>
        <w:ind w:left="7443" w:hanging="315"/>
      </w:pPr>
      <w:rPr>
        <w:rFonts w:hint="default"/>
        <w:lang w:val="en-US" w:eastAsia="zh-CN" w:bidi="ar-SA"/>
      </w:rPr>
    </w:lvl>
    <w:lvl w:ilvl="7">
      <w:start w:val="0"/>
      <w:numFmt w:val="bullet"/>
      <w:lvlText w:val="•"/>
      <w:lvlJc w:val="left"/>
      <w:pPr>
        <w:ind w:left="8434" w:hanging="315"/>
      </w:pPr>
      <w:rPr>
        <w:rFonts w:hint="default"/>
        <w:lang w:val="en-US" w:eastAsia="zh-CN" w:bidi="ar-SA"/>
      </w:rPr>
    </w:lvl>
    <w:lvl w:ilvl="8">
      <w:start w:val="0"/>
      <w:numFmt w:val="bullet"/>
      <w:lvlText w:val="•"/>
      <w:lvlJc w:val="left"/>
      <w:pPr>
        <w:ind w:left="9424" w:hanging="315"/>
      </w:pPr>
      <w:rPr>
        <w:rFonts w:hint="default"/>
        <w:lang w:val="en-US" w:eastAsia="zh-CN" w:bidi="ar-SA"/>
      </w:rPr>
    </w:lvl>
  </w:abstractNum>
  <w:abstractNum w:abstractNumId="5">
    <w:nsid w:val="3854E520"/>
    <w:multiLevelType w:val="hybridMultilevel"/>
    <w:tmpl w:val="00000000"/>
    <w:lvl w:ilvl="0">
      <w:start w:val="4"/>
      <w:numFmt w:val="decimal"/>
      <w:lvlText w:val="%1"/>
      <w:lvlJc w:val="left"/>
      <w:pPr>
        <w:ind w:left="1492" w:hanging="315"/>
        <w:jc w:val="left"/>
      </w:pPr>
      <w:rPr>
        <w:rFonts w:ascii="黑体" w:eastAsia="黑体" w:hAnsi="黑体" w:cs="黑体" w:hint="default"/>
        <w:w w:val="99"/>
        <w:sz w:val="21"/>
        <w:szCs w:val="21"/>
        <w:lang w:val="en-US" w:eastAsia="zh-CN" w:bidi="ar-SA"/>
      </w:rPr>
    </w:lvl>
    <w:lvl w:ilvl="1">
      <w:start w:val="1"/>
      <w:numFmt w:val="decimal"/>
      <w:lvlText w:val="%1.%2"/>
      <w:lvlJc w:val="left"/>
      <w:pPr>
        <w:ind w:left="1704" w:hanging="526"/>
        <w:jc w:val="left"/>
      </w:pPr>
      <w:rPr>
        <w:rFonts w:ascii="黑体" w:eastAsia="黑体" w:hAnsi="黑体" w:cs="黑体" w:hint="default"/>
        <w:spacing w:val="0"/>
        <w:w w:val="99"/>
        <w:sz w:val="21"/>
        <w:szCs w:val="21"/>
        <w:lang w:val="en-US" w:eastAsia="zh-CN" w:bidi="ar-SA"/>
      </w:rPr>
    </w:lvl>
    <w:lvl w:ilvl="2">
      <w:start w:val="1"/>
      <w:numFmt w:val="decimal"/>
      <w:lvlText w:val="%1.%2.%3"/>
      <w:lvlJc w:val="left"/>
      <w:pPr>
        <w:ind w:left="1178" w:hanging="735"/>
        <w:jc w:val="left"/>
      </w:pPr>
      <w:rPr>
        <w:rFonts w:ascii="黑体" w:eastAsia="黑体" w:hAnsi="黑体" w:cs="黑体" w:hint="default"/>
        <w:spacing w:val="-2"/>
        <w:w w:val="99"/>
        <w:sz w:val="21"/>
        <w:szCs w:val="21"/>
        <w:lang w:val="en-US" w:eastAsia="zh-CN" w:bidi="ar-SA"/>
      </w:rPr>
    </w:lvl>
    <w:lvl w:ilvl="3">
      <w:start w:val="1"/>
      <w:numFmt w:val="decimal"/>
      <w:lvlText w:val="%1.%2.%3.%4"/>
      <w:lvlJc w:val="left"/>
      <w:pPr>
        <w:ind w:left="1178" w:hanging="946"/>
        <w:jc w:val="left"/>
      </w:pPr>
      <w:rPr>
        <w:rFonts w:ascii="黑体" w:eastAsia="黑体" w:hAnsi="黑体" w:cs="黑体" w:hint="default"/>
        <w:spacing w:val="-2"/>
        <w:w w:val="99"/>
        <w:sz w:val="21"/>
        <w:szCs w:val="21"/>
        <w:lang w:val="en-US" w:eastAsia="zh-CN" w:bidi="ar-SA"/>
      </w:rPr>
    </w:lvl>
    <w:lvl w:ilvl="4">
      <w:start w:val="0"/>
      <w:numFmt w:val="bullet"/>
      <w:lvlText w:val="•"/>
      <w:lvlJc w:val="left"/>
      <w:pPr>
        <w:ind w:left="2120" w:hanging="946"/>
      </w:pPr>
      <w:rPr>
        <w:rFonts w:hint="default"/>
        <w:lang w:val="en-US" w:eastAsia="zh-CN" w:bidi="ar-SA"/>
      </w:rPr>
    </w:lvl>
    <w:lvl w:ilvl="5">
      <w:start w:val="0"/>
      <w:numFmt w:val="bullet"/>
      <w:lvlText w:val="•"/>
      <w:lvlJc w:val="left"/>
      <w:pPr>
        <w:ind w:left="3667" w:hanging="946"/>
      </w:pPr>
      <w:rPr>
        <w:rFonts w:hint="default"/>
        <w:lang w:val="en-US" w:eastAsia="zh-CN" w:bidi="ar-SA"/>
      </w:rPr>
    </w:lvl>
    <w:lvl w:ilvl="6">
      <w:start w:val="0"/>
      <w:numFmt w:val="bullet"/>
      <w:lvlText w:val="•"/>
      <w:lvlJc w:val="left"/>
      <w:pPr>
        <w:ind w:left="5215" w:hanging="946"/>
      </w:pPr>
      <w:rPr>
        <w:rFonts w:hint="default"/>
        <w:lang w:val="en-US" w:eastAsia="zh-CN" w:bidi="ar-SA"/>
      </w:rPr>
    </w:lvl>
    <w:lvl w:ilvl="7">
      <w:start w:val="0"/>
      <w:numFmt w:val="bullet"/>
      <w:lvlText w:val="•"/>
      <w:lvlJc w:val="left"/>
      <w:pPr>
        <w:ind w:left="6763" w:hanging="946"/>
      </w:pPr>
      <w:rPr>
        <w:rFonts w:hint="default"/>
        <w:lang w:val="en-US" w:eastAsia="zh-CN" w:bidi="ar-SA"/>
      </w:rPr>
    </w:lvl>
    <w:lvl w:ilvl="8">
      <w:start w:val="0"/>
      <w:numFmt w:val="bullet"/>
      <w:lvlText w:val="•"/>
      <w:lvlJc w:val="left"/>
      <w:pPr>
        <w:ind w:left="8310" w:hanging="946"/>
      </w:pPr>
      <w:rPr>
        <w:rFonts w:hint="default"/>
        <w:lang w:val="en-US" w:eastAsia="zh-CN" w:bidi="ar-SA"/>
      </w:rPr>
    </w:lvl>
  </w:abstractNum>
  <w:abstractNum w:abstractNumId="6">
    <w:nsid w:val="47B51218"/>
    <w:multiLevelType w:val="hybridMultilevel"/>
    <w:tmpl w:val="00000000"/>
    <w:lvl w:ilvl="0">
      <w:start w:val="5"/>
      <w:numFmt w:val="decimal"/>
      <w:lvlText w:val="%1"/>
      <w:lvlJc w:val="left"/>
      <w:pPr>
        <w:ind w:left="1912" w:hanging="735"/>
        <w:jc w:val="left"/>
      </w:pPr>
      <w:rPr>
        <w:rFonts w:hint="default"/>
        <w:lang w:val="en-US" w:eastAsia="zh-CN" w:bidi="ar-SA"/>
      </w:rPr>
    </w:lvl>
    <w:lvl w:ilvl="1">
      <w:start w:val="2"/>
      <w:numFmt w:val="decimal"/>
      <w:lvlText w:val="%1.%2"/>
      <w:lvlJc w:val="left"/>
      <w:pPr>
        <w:ind w:left="1912" w:hanging="735"/>
        <w:jc w:val="left"/>
      </w:pPr>
      <w:rPr>
        <w:rFonts w:hint="default"/>
        <w:lang w:val="en-US" w:eastAsia="zh-CN" w:bidi="ar-SA"/>
      </w:rPr>
    </w:lvl>
    <w:lvl w:ilvl="2">
      <w:start w:val="4"/>
      <w:numFmt w:val="decimal"/>
      <w:lvlText w:val="%1.%2.%3"/>
      <w:lvlJc w:val="left"/>
      <w:pPr>
        <w:ind w:left="1912" w:hanging="735"/>
        <w:jc w:val="left"/>
      </w:pPr>
      <w:rPr>
        <w:rFonts w:ascii="黑体" w:eastAsia="黑体" w:hAnsi="黑体" w:cs="黑体" w:hint="default"/>
        <w:spacing w:val="-2"/>
        <w:w w:val="99"/>
        <w:sz w:val="21"/>
        <w:szCs w:val="21"/>
        <w:lang w:val="en-US" w:eastAsia="zh-CN" w:bidi="ar-SA"/>
      </w:rPr>
    </w:lvl>
    <w:lvl w:ilvl="3">
      <w:start w:val="1"/>
      <w:numFmt w:val="decimal"/>
      <w:lvlText w:val="%1.%2.%3.%4"/>
      <w:lvlJc w:val="left"/>
      <w:pPr>
        <w:ind w:left="2124" w:hanging="946"/>
        <w:jc w:val="left"/>
      </w:pPr>
      <w:rPr>
        <w:rFonts w:ascii="黑体" w:eastAsia="黑体" w:hAnsi="黑体" w:cs="黑体" w:hint="default"/>
        <w:spacing w:val="-2"/>
        <w:w w:val="99"/>
        <w:sz w:val="21"/>
        <w:szCs w:val="21"/>
        <w:lang w:val="en-US" w:eastAsia="zh-CN" w:bidi="ar-SA"/>
      </w:rPr>
    </w:lvl>
    <w:lvl w:ilvl="4">
      <w:start w:val="1"/>
      <w:numFmt w:val="decimal"/>
      <w:lvlText w:val="%5）"/>
      <w:lvlJc w:val="left"/>
      <w:pPr>
        <w:ind w:left="1178" w:hanging="317"/>
        <w:jc w:val="left"/>
      </w:pPr>
      <w:rPr>
        <w:rFonts w:ascii="宋体" w:eastAsia="宋体" w:hAnsi="宋体" w:cs="宋体" w:hint="default"/>
        <w:spacing w:val="1"/>
        <w:w w:val="99"/>
        <w:sz w:val="19"/>
        <w:szCs w:val="19"/>
        <w:lang w:val="en-US" w:eastAsia="zh-CN" w:bidi="ar-SA"/>
      </w:rPr>
    </w:lvl>
    <w:lvl w:ilvl="5">
      <w:start w:val="0"/>
      <w:numFmt w:val="bullet"/>
      <w:lvlText w:val="•"/>
      <w:lvlJc w:val="left"/>
      <w:pPr>
        <w:ind w:left="4844" w:hanging="317"/>
      </w:pPr>
      <w:rPr>
        <w:rFonts w:hint="default"/>
        <w:lang w:val="en-US" w:eastAsia="zh-CN" w:bidi="ar-SA"/>
      </w:rPr>
    </w:lvl>
    <w:lvl w:ilvl="6">
      <w:start w:val="0"/>
      <w:numFmt w:val="bullet"/>
      <w:lvlText w:val="•"/>
      <w:lvlJc w:val="left"/>
      <w:pPr>
        <w:ind w:left="6156" w:hanging="317"/>
      </w:pPr>
      <w:rPr>
        <w:rFonts w:hint="default"/>
        <w:lang w:val="en-US" w:eastAsia="zh-CN" w:bidi="ar-SA"/>
      </w:rPr>
    </w:lvl>
    <w:lvl w:ilvl="7">
      <w:start w:val="0"/>
      <w:numFmt w:val="bullet"/>
      <w:lvlText w:val="•"/>
      <w:lvlJc w:val="left"/>
      <w:pPr>
        <w:ind w:left="7469" w:hanging="317"/>
      </w:pPr>
      <w:rPr>
        <w:rFonts w:hint="default"/>
        <w:lang w:val="en-US" w:eastAsia="zh-CN" w:bidi="ar-SA"/>
      </w:rPr>
    </w:lvl>
    <w:lvl w:ilvl="8">
      <w:start w:val="0"/>
      <w:numFmt w:val="bullet"/>
      <w:lvlText w:val="•"/>
      <w:lvlJc w:val="left"/>
      <w:pPr>
        <w:ind w:left="8781" w:hanging="317"/>
      </w:pPr>
      <w:rPr>
        <w:rFonts w:hint="default"/>
        <w:lang w:val="en-US" w:eastAsia="zh-CN" w:bidi="ar-SA"/>
      </w:rPr>
    </w:lvl>
  </w:abstractNum>
  <w:abstractNum w:abstractNumId="7">
    <w:nsid w:val="4975F1CC"/>
    <w:multiLevelType w:val="hybridMultilevel"/>
    <w:tmpl w:val="00000000"/>
    <w:lvl w:ilvl="0">
      <w:start w:val="4"/>
      <w:numFmt w:val="decimal"/>
      <w:lvlText w:val="%1"/>
      <w:lvlJc w:val="left"/>
      <w:pPr>
        <w:ind w:left="525" w:hanging="526"/>
        <w:jc w:val="left"/>
      </w:pPr>
      <w:rPr>
        <w:rFonts w:hint="default"/>
        <w:lang w:val="en-US" w:eastAsia="zh-CN" w:bidi="ar-SA"/>
      </w:rPr>
    </w:lvl>
    <w:lvl w:ilvl="1">
      <w:start w:val="5"/>
      <w:numFmt w:val="decimal"/>
      <w:lvlText w:val="%1.%2"/>
      <w:lvlJc w:val="left"/>
      <w:pPr>
        <w:ind w:left="525" w:hanging="526"/>
        <w:jc w:val="left"/>
      </w:pPr>
      <w:rPr>
        <w:rFonts w:ascii="黑体" w:eastAsia="黑体" w:hAnsi="黑体" w:cs="黑体" w:hint="default"/>
        <w:spacing w:val="0"/>
        <w:w w:val="99"/>
        <w:sz w:val="21"/>
        <w:szCs w:val="21"/>
        <w:lang w:val="en-US" w:eastAsia="zh-CN" w:bidi="ar-SA"/>
      </w:rPr>
    </w:lvl>
    <w:lvl w:ilvl="2">
      <w:start w:val="1"/>
      <w:numFmt w:val="decimal"/>
      <w:lvlText w:val="%1.%2.%3"/>
      <w:lvlJc w:val="left"/>
      <w:pPr>
        <w:ind w:left="734" w:hanging="735"/>
        <w:jc w:val="left"/>
      </w:pPr>
      <w:rPr>
        <w:rFonts w:ascii="黑体" w:eastAsia="黑体" w:hAnsi="黑体" w:cs="黑体" w:hint="default"/>
        <w:spacing w:val="-2"/>
        <w:w w:val="99"/>
        <w:sz w:val="21"/>
        <w:szCs w:val="21"/>
        <w:lang w:val="en-US" w:eastAsia="zh-CN" w:bidi="ar-SA"/>
      </w:rPr>
    </w:lvl>
    <w:lvl w:ilvl="3">
      <w:start w:val="1"/>
      <w:numFmt w:val="lowerLetter"/>
      <w:lvlText w:val="%4）"/>
      <w:lvlJc w:val="left"/>
      <w:pPr>
        <w:ind w:left="0" w:hanging="316"/>
        <w:jc w:val="left"/>
      </w:pPr>
      <w:rPr>
        <w:rFonts w:ascii="宋体" w:eastAsia="宋体" w:hAnsi="宋体" w:cs="宋体" w:hint="default"/>
        <w:spacing w:val="-1"/>
        <w:w w:val="99"/>
        <w:sz w:val="19"/>
        <w:szCs w:val="19"/>
        <w:lang w:val="en-US" w:eastAsia="zh-CN" w:bidi="ar-SA"/>
      </w:rPr>
    </w:lvl>
    <w:lvl w:ilvl="4">
      <w:start w:val="0"/>
      <w:numFmt w:val="bullet"/>
      <w:lvlText w:val="•"/>
      <w:lvlJc w:val="left"/>
      <w:pPr>
        <w:ind w:left="2898" w:hanging="316"/>
      </w:pPr>
      <w:rPr>
        <w:rFonts w:hint="default"/>
        <w:lang w:val="en-US" w:eastAsia="zh-CN" w:bidi="ar-SA"/>
      </w:rPr>
    </w:lvl>
    <w:lvl w:ilvl="5">
      <w:start w:val="0"/>
      <w:numFmt w:val="bullet"/>
      <w:lvlText w:val="•"/>
      <w:lvlJc w:val="left"/>
      <w:pPr>
        <w:ind w:left="3977" w:hanging="316"/>
      </w:pPr>
      <w:rPr>
        <w:rFonts w:hint="default"/>
        <w:lang w:val="en-US" w:eastAsia="zh-CN" w:bidi="ar-SA"/>
      </w:rPr>
    </w:lvl>
    <w:lvl w:ilvl="6">
      <w:start w:val="0"/>
      <w:numFmt w:val="bullet"/>
      <w:lvlText w:val="•"/>
      <w:lvlJc w:val="left"/>
      <w:pPr>
        <w:ind w:left="5057" w:hanging="316"/>
      </w:pPr>
      <w:rPr>
        <w:rFonts w:hint="default"/>
        <w:lang w:val="en-US" w:eastAsia="zh-CN" w:bidi="ar-SA"/>
      </w:rPr>
    </w:lvl>
    <w:lvl w:ilvl="7">
      <w:start w:val="0"/>
      <w:numFmt w:val="bullet"/>
      <w:lvlText w:val="•"/>
      <w:lvlJc w:val="left"/>
      <w:pPr>
        <w:ind w:left="6136" w:hanging="316"/>
      </w:pPr>
      <w:rPr>
        <w:rFonts w:hint="default"/>
        <w:lang w:val="en-US" w:eastAsia="zh-CN" w:bidi="ar-SA"/>
      </w:rPr>
    </w:lvl>
    <w:lvl w:ilvl="8">
      <w:start w:val="0"/>
      <w:numFmt w:val="bullet"/>
      <w:lvlText w:val="•"/>
      <w:lvlJc w:val="left"/>
      <w:pPr>
        <w:ind w:left="7215" w:hanging="316"/>
      </w:pPr>
      <w:rPr>
        <w:rFonts w:hint="default"/>
        <w:lang w:val="en-US" w:eastAsia="zh-CN" w:bidi="ar-SA"/>
      </w:rPr>
    </w:lvl>
  </w:abstractNum>
  <w:abstractNum w:abstractNumId="8">
    <w:nsid w:val="4B491D2D"/>
    <w:multiLevelType w:val="hybridMultilevel"/>
    <w:tmpl w:val="00000000"/>
    <w:lvl w:ilvl="0">
      <w:start w:val="4"/>
      <w:numFmt w:val="decimal"/>
      <w:lvlText w:val="%1"/>
      <w:lvlJc w:val="left"/>
      <w:pPr>
        <w:ind w:left="1178" w:hanging="735"/>
        <w:jc w:val="left"/>
      </w:pPr>
      <w:rPr>
        <w:rFonts w:hint="default"/>
        <w:lang w:val="en-US" w:eastAsia="zh-CN" w:bidi="ar-SA"/>
      </w:rPr>
    </w:lvl>
    <w:lvl w:ilvl="1">
      <w:start w:val="5"/>
      <w:numFmt w:val="decimal"/>
      <w:lvlText w:val="%1.%2"/>
      <w:lvlJc w:val="left"/>
      <w:pPr>
        <w:ind w:left="1178" w:hanging="735"/>
        <w:jc w:val="left"/>
      </w:pPr>
      <w:rPr>
        <w:rFonts w:hint="default"/>
        <w:lang w:val="en-US" w:eastAsia="zh-CN" w:bidi="ar-SA"/>
      </w:rPr>
    </w:lvl>
    <w:lvl w:ilvl="2">
      <w:start w:val="3"/>
      <w:numFmt w:val="decimal"/>
      <w:lvlText w:val="%1.%2.%3"/>
      <w:lvlJc w:val="left"/>
      <w:pPr>
        <w:ind w:left="1178" w:hanging="735"/>
        <w:jc w:val="left"/>
      </w:pPr>
      <w:rPr>
        <w:rFonts w:ascii="黑体" w:eastAsia="黑体" w:hAnsi="黑体" w:cs="黑体" w:hint="default"/>
        <w:spacing w:val="-2"/>
        <w:w w:val="99"/>
        <w:sz w:val="21"/>
        <w:szCs w:val="21"/>
        <w:lang w:val="en-US" w:eastAsia="zh-CN" w:bidi="ar-SA"/>
      </w:rPr>
    </w:lvl>
    <w:lvl w:ilvl="3">
      <w:start w:val="1"/>
      <w:numFmt w:val="lowerLetter"/>
      <w:lvlText w:val="%4）"/>
      <w:lvlJc w:val="left"/>
      <w:pPr>
        <w:ind w:left="1914" w:hanging="316"/>
        <w:jc w:val="left"/>
      </w:pPr>
      <w:rPr>
        <w:rFonts w:ascii="宋体" w:eastAsia="宋体" w:hAnsi="宋体" w:cs="宋体" w:hint="default"/>
        <w:spacing w:val="-1"/>
        <w:w w:val="99"/>
        <w:sz w:val="19"/>
        <w:szCs w:val="19"/>
        <w:lang w:val="en-US" w:eastAsia="zh-CN" w:bidi="ar-SA"/>
      </w:rPr>
    </w:lvl>
    <w:lvl w:ilvl="4">
      <w:start w:val="0"/>
      <w:numFmt w:val="bullet"/>
      <w:lvlText w:val="•"/>
      <w:lvlJc w:val="left"/>
      <w:pPr>
        <w:ind w:left="5082" w:hanging="316"/>
      </w:pPr>
      <w:rPr>
        <w:rFonts w:hint="default"/>
        <w:lang w:val="en-US" w:eastAsia="zh-CN" w:bidi="ar-SA"/>
      </w:rPr>
    </w:lvl>
    <w:lvl w:ilvl="5">
      <w:start w:val="0"/>
      <w:numFmt w:val="bullet"/>
      <w:lvlText w:val="•"/>
      <w:lvlJc w:val="left"/>
      <w:pPr>
        <w:ind w:left="6136" w:hanging="316"/>
      </w:pPr>
      <w:rPr>
        <w:rFonts w:hint="default"/>
        <w:lang w:val="en-US" w:eastAsia="zh-CN" w:bidi="ar-SA"/>
      </w:rPr>
    </w:lvl>
    <w:lvl w:ilvl="6">
      <w:start w:val="0"/>
      <w:numFmt w:val="bullet"/>
      <w:lvlText w:val="•"/>
      <w:lvlJc w:val="left"/>
      <w:pPr>
        <w:ind w:left="7190" w:hanging="316"/>
      </w:pPr>
      <w:rPr>
        <w:rFonts w:hint="default"/>
        <w:lang w:val="en-US" w:eastAsia="zh-CN" w:bidi="ar-SA"/>
      </w:rPr>
    </w:lvl>
    <w:lvl w:ilvl="7">
      <w:start w:val="0"/>
      <w:numFmt w:val="bullet"/>
      <w:lvlText w:val="•"/>
      <w:lvlJc w:val="left"/>
      <w:pPr>
        <w:ind w:left="8244" w:hanging="316"/>
      </w:pPr>
      <w:rPr>
        <w:rFonts w:hint="default"/>
        <w:lang w:val="en-US" w:eastAsia="zh-CN" w:bidi="ar-SA"/>
      </w:rPr>
    </w:lvl>
    <w:lvl w:ilvl="8">
      <w:start w:val="0"/>
      <w:numFmt w:val="bullet"/>
      <w:lvlText w:val="•"/>
      <w:lvlJc w:val="left"/>
      <w:pPr>
        <w:ind w:left="9298" w:hanging="316"/>
      </w:pPr>
      <w:rPr>
        <w:rFonts w:hint="default"/>
        <w:lang w:val="en-US" w:eastAsia="zh-CN" w:bidi="ar-SA"/>
      </w:rPr>
    </w:lvl>
  </w:abstractNum>
  <w:abstractNum w:abstractNumId="9">
    <w:nsid w:val="55587760"/>
    <w:multiLevelType w:val="hybridMultilevel"/>
    <w:tmpl w:val="00000000"/>
    <w:lvl w:ilvl="0">
      <w:start w:val="1"/>
      <w:numFmt w:val="decimal"/>
      <w:lvlText w:val="%1"/>
      <w:lvlJc w:val="left"/>
      <w:pPr>
        <w:ind w:left="1492" w:hanging="315"/>
        <w:jc w:val="left"/>
      </w:pPr>
      <w:rPr>
        <w:rFonts w:ascii="黑体" w:eastAsia="黑体" w:hAnsi="黑体" w:cs="黑体" w:hint="default"/>
        <w:w w:val="99"/>
        <w:sz w:val="21"/>
        <w:szCs w:val="21"/>
        <w:lang w:val="en-US" w:eastAsia="zh-CN" w:bidi="ar-SA"/>
      </w:rPr>
    </w:lvl>
    <w:lvl w:ilvl="1">
      <w:start w:val="0"/>
      <w:numFmt w:val="bullet"/>
      <w:lvlText w:val="•"/>
      <w:lvlJc w:val="left"/>
      <w:pPr>
        <w:ind w:left="2490" w:hanging="315"/>
      </w:pPr>
      <w:rPr>
        <w:rFonts w:hint="default"/>
        <w:lang w:val="en-US" w:eastAsia="zh-CN" w:bidi="ar-SA"/>
      </w:rPr>
    </w:lvl>
    <w:lvl w:ilvl="2">
      <w:start w:val="0"/>
      <w:numFmt w:val="bullet"/>
      <w:lvlText w:val="•"/>
      <w:lvlJc w:val="left"/>
      <w:pPr>
        <w:ind w:left="3481" w:hanging="315"/>
      </w:pPr>
      <w:rPr>
        <w:rFonts w:hint="default"/>
        <w:lang w:val="en-US" w:eastAsia="zh-CN" w:bidi="ar-SA"/>
      </w:rPr>
    </w:lvl>
    <w:lvl w:ilvl="3">
      <w:start w:val="0"/>
      <w:numFmt w:val="bullet"/>
      <w:lvlText w:val="•"/>
      <w:lvlJc w:val="left"/>
      <w:pPr>
        <w:ind w:left="4471" w:hanging="315"/>
      </w:pPr>
      <w:rPr>
        <w:rFonts w:hint="default"/>
        <w:lang w:val="en-US" w:eastAsia="zh-CN" w:bidi="ar-SA"/>
      </w:rPr>
    </w:lvl>
    <w:lvl w:ilvl="4">
      <w:start w:val="0"/>
      <w:numFmt w:val="bullet"/>
      <w:lvlText w:val="•"/>
      <w:lvlJc w:val="left"/>
      <w:pPr>
        <w:ind w:left="5462" w:hanging="315"/>
      </w:pPr>
      <w:rPr>
        <w:rFonts w:hint="default"/>
        <w:lang w:val="en-US" w:eastAsia="zh-CN" w:bidi="ar-SA"/>
      </w:rPr>
    </w:lvl>
    <w:lvl w:ilvl="5">
      <w:start w:val="0"/>
      <w:numFmt w:val="bullet"/>
      <w:lvlText w:val="•"/>
      <w:lvlJc w:val="left"/>
      <w:pPr>
        <w:ind w:left="6453" w:hanging="315"/>
      </w:pPr>
      <w:rPr>
        <w:rFonts w:hint="default"/>
        <w:lang w:val="en-US" w:eastAsia="zh-CN" w:bidi="ar-SA"/>
      </w:rPr>
    </w:lvl>
    <w:lvl w:ilvl="6">
      <w:start w:val="0"/>
      <w:numFmt w:val="bullet"/>
      <w:lvlText w:val="•"/>
      <w:lvlJc w:val="left"/>
      <w:pPr>
        <w:ind w:left="7443" w:hanging="315"/>
      </w:pPr>
      <w:rPr>
        <w:rFonts w:hint="default"/>
        <w:lang w:val="en-US" w:eastAsia="zh-CN" w:bidi="ar-SA"/>
      </w:rPr>
    </w:lvl>
    <w:lvl w:ilvl="7">
      <w:start w:val="0"/>
      <w:numFmt w:val="bullet"/>
      <w:lvlText w:val="•"/>
      <w:lvlJc w:val="left"/>
      <w:pPr>
        <w:ind w:left="8434" w:hanging="315"/>
      </w:pPr>
      <w:rPr>
        <w:rFonts w:hint="default"/>
        <w:lang w:val="en-US" w:eastAsia="zh-CN" w:bidi="ar-SA"/>
      </w:rPr>
    </w:lvl>
    <w:lvl w:ilvl="8">
      <w:start w:val="0"/>
      <w:numFmt w:val="bullet"/>
      <w:lvlText w:val="•"/>
      <w:lvlJc w:val="left"/>
      <w:pPr>
        <w:ind w:left="9424" w:hanging="315"/>
      </w:pPr>
      <w:rPr>
        <w:rFonts w:hint="default"/>
        <w:lang w:val="en-US" w:eastAsia="zh-CN" w:bidi="ar-SA"/>
      </w:rPr>
    </w:lvl>
  </w:abstractNum>
  <w:abstractNum w:abstractNumId="10">
    <w:nsid w:val="5D5BACBE"/>
    <w:multiLevelType w:val="hybridMultilevel"/>
    <w:tmpl w:val="00000000"/>
    <w:lvl w:ilvl="0">
      <w:start w:val="1"/>
      <w:numFmt w:val="decimal"/>
      <w:lvlText w:val="%1"/>
      <w:lvlJc w:val="left"/>
      <w:pPr>
        <w:ind w:left="1492" w:hanging="315"/>
        <w:jc w:val="left"/>
      </w:pPr>
      <w:rPr>
        <w:rFonts w:ascii="宋体" w:eastAsia="宋体" w:hAnsi="宋体" w:cs="宋体" w:hint="default"/>
        <w:w w:val="99"/>
        <w:sz w:val="21"/>
        <w:szCs w:val="21"/>
        <w:lang w:val="en-US" w:eastAsia="zh-CN" w:bidi="ar-SA"/>
      </w:rPr>
    </w:lvl>
    <w:lvl w:ilvl="1">
      <w:start w:val="1"/>
      <w:numFmt w:val="decimal"/>
      <w:lvlText w:val="%1.%2"/>
      <w:lvlJc w:val="left"/>
      <w:pPr>
        <w:ind w:left="1912" w:hanging="526"/>
        <w:jc w:val="left"/>
      </w:pPr>
      <w:rPr>
        <w:rFonts w:ascii="宋体" w:eastAsia="宋体" w:hAnsi="宋体" w:cs="宋体" w:hint="default"/>
        <w:spacing w:val="0"/>
        <w:w w:val="99"/>
        <w:sz w:val="21"/>
        <w:szCs w:val="21"/>
        <w:lang w:val="en-US" w:eastAsia="zh-CN" w:bidi="ar-SA"/>
      </w:rPr>
    </w:lvl>
    <w:lvl w:ilvl="2">
      <w:start w:val="0"/>
      <w:numFmt w:val="bullet"/>
      <w:lvlText w:val="•"/>
      <w:lvlJc w:val="left"/>
      <w:pPr>
        <w:ind w:left="2974" w:hanging="526"/>
      </w:pPr>
      <w:rPr>
        <w:rFonts w:hint="default"/>
        <w:lang w:val="en-US" w:eastAsia="zh-CN" w:bidi="ar-SA"/>
      </w:rPr>
    </w:lvl>
    <w:lvl w:ilvl="3">
      <w:start w:val="0"/>
      <w:numFmt w:val="bullet"/>
      <w:lvlText w:val="•"/>
      <w:lvlJc w:val="left"/>
      <w:pPr>
        <w:ind w:left="4028" w:hanging="526"/>
      </w:pPr>
      <w:rPr>
        <w:rFonts w:hint="default"/>
        <w:lang w:val="en-US" w:eastAsia="zh-CN" w:bidi="ar-SA"/>
      </w:rPr>
    </w:lvl>
    <w:lvl w:ilvl="4">
      <w:start w:val="0"/>
      <w:numFmt w:val="bullet"/>
      <w:lvlText w:val="•"/>
      <w:lvlJc w:val="left"/>
      <w:pPr>
        <w:ind w:left="5082" w:hanging="526"/>
      </w:pPr>
      <w:rPr>
        <w:rFonts w:hint="default"/>
        <w:lang w:val="en-US" w:eastAsia="zh-CN" w:bidi="ar-SA"/>
      </w:rPr>
    </w:lvl>
    <w:lvl w:ilvl="5">
      <w:start w:val="0"/>
      <w:numFmt w:val="bullet"/>
      <w:lvlText w:val="•"/>
      <w:lvlJc w:val="left"/>
      <w:pPr>
        <w:ind w:left="6136" w:hanging="526"/>
      </w:pPr>
      <w:rPr>
        <w:rFonts w:hint="default"/>
        <w:lang w:val="en-US" w:eastAsia="zh-CN" w:bidi="ar-SA"/>
      </w:rPr>
    </w:lvl>
    <w:lvl w:ilvl="6">
      <w:start w:val="0"/>
      <w:numFmt w:val="bullet"/>
      <w:lvlText w:val="•"/>
      <w:lvlJc w:val="left"/>
      <w:pPr>
        <w:ind w:left="7190" w:hanging="526"/>
      </w:pPr>
      <w:rPr>
        <w:rFonts w:hint="default"/>
        <w:lang w:val="en-US" w:eastAsia="zh-CN" w:bidi="ar-SA"/>
      </w:rPr>
    </w:lvl>
    <w:lvl w:ilvl="7">
      <w:start w:val="0"/>
      <w:numFmt w:val="bullet"/>
      <w:lvlText w:val="•"/>
      <w:lvlJc w:val="left"/>
      <w:pPr>
        <w:ind w:left="8244" w:hanging="526"/>
      </w:pPr>
      <w:rPr>
        <w:rFonts w:hint="default"/>
        <w:lang w:val="en-US" w:eastAsia="zh-CN" w:bidi="ar-SA"/>
      </w:rPr>
    </w:lvl>
    <w:lvl w:ilvl="8">
      <w:start w:val="0"/>
      <w:numFmt w:val="bullet"/>
      <w:lvlText w:val="•"/>
      <w:lvlJc w:val="left"/>
      <w:pPr>
        <w:ind w:left="9298" w:hanging="526"/>
      </w:pPr>
      <w:rPr>
        <w:rFonts w:hint="default"/>
        <w:lang w:val="en-US" w:eastAsia="zh-CN" w:bidi="ar-SA"/>
      </w:rPr>
    </w:lvl>
  </w:abstractNum>
  <w:abstractNum w:abstractNumId="11">
    <w:nsid w:val="6DDF2684"/>
    <w:multiLevelType w:val="hybridMultilevel"/>
    <w:tmpl w:val="00000000"/>
    <w:lvl w:ilvl="0">
      <w:start w:val="5"/>
      <w:numFmt w:val="decimal"/>
      <w:lvlText w:val="%1"/>
      <w:lvlJc w:val="left"/>
      <w:pPr>
        <w:ind w:left="1812" w:hanging="735"/>
        <w:jc w:val="left"/>
      </w:pPr>
      <w:rPr>
        <w:rFonts w:hint="default"/>
        <w:lang w:val="en-US" w:eastAsia="zh-CN" w:bidi="ar-SA"/>
      </w:rPr>
    </w:lvl>
    <w:lvl w:ilvl="1">
      <w:start w:val="2"/>
      <w:numFmt w:val="decimal"/>
      <w:lvlText w:val="%1.%2"/>
      <w:lvlJc w:val="left"/>
      <w:pPr>
        <w:ind w:left="1812" w:hanging="735"/>
        <w:jc w:val="left"/>
      </w:pPr>
      <w:rPr>
        <w:rFonts w:hint="default"/>
        <w:lang w:val="en-US" w:eastAsia="zh-CN" w:bidi="ar-SA"/>
      </w:rPr>
    </w:lvl>
    <w:lvl w:ilvl="2">
      <w:start w:val="2"/>
      <w:numFmt w:val="decimal"/>
      <w:lvlText w:val="%1.%2.%3"/>
      <w:lvlJc w:val="left"/>
      <w:pPr>
        <w:ind w:left="1812" w:hanging="735"/>
        <w:jc w:val="left"/>
      </w:pPr>
      <w:rPr>
        <w:rFonts w:ascii="黑体" w:eastAsia="黑体" w:hAnsi="黑体" w:cs="黑体" w:hint="default"/>
        <w:spacing w:val="-2"/>
        <w:w w:val="99"/>
        <w:sz w:val="21"/>
        <w:szCs w:val="21"/>
        <w:lang w:val="en-US" w:eastAsia="zh-CN" w:bidi="ar-SA"/>
      </w:rPr>
    </w:lvl>
    <w:lvl w:ilvl="3">
      <w:start w:val="1"/>
      <w:numFmt w:val="decimal"/>
      <w:lvlText w:val="%1.%2.%3.%4"/>
      <w:lvlJc w:val="left"/>
      <w:pPr>
        <w:ind w:left="1078" w:hanging="946"/>
        <w:jc w:val="left"/>
      </w:pPr>
      <w:rPr>
        <w:rFonts w:ascii="黑体" w:eastAsia="黑体" w:hAnsi="黑体" w:cs="黑体" w:hint="default"/>
        <w:spacing w:val="-2"/>
        <w:w w:val="99"/>
        <w:sz w:val="21"/>
        <w:szCs w:val="21"/>
        <w:lang w:val="en-US" w:eastAsia="zh-CN" w:bidi="ar-SA"/>
      </w:rPr>
    </w:lvl>
    <w:lvl w:ilvl="4">
      <w:start w:val="0"/>
      <w:numFmt w:val="bullet"/>
      <w:lvlText w:val="•"/>
      <w:lvlJc w:val="left"/>
      <w:pPr>
        <w:ind w:left="4946" w:hanging="946"/>
      </w:pPr>
      <w:rPr>
        <w:rFonts w:hint="default"/>
        <w:lang w:val="en-US" w:eastAsia="zh-CN" w:bidi="ar-SA"/>
      </w:rPr>
    </w:lvl>
    <w:lvl w:ilvl="5">
      <w:start w:val="0"/>
      <w:numFmt w:val="bullet"/>
      <w:lvlText w:val="•"/>
      <w:lvlJc w:val="left"/>
      <w:pPr>
        <w:ind w:left="5988" w:hanging="946"/>
      </w:pPr>
      <w:rPr>
        <w:rFonts w:hint="default"/>
        <w:lang w:val="en-US" w:eastAsia="zh-CN" w:bidi="ar-SA"/>
      </w:rPr>
    </w:lvl>
    <w:lvl w:ilvl="6">
      <w:start w:val="0"/>
      <w:numFmt w:val="bullet"/>
      <w:lvlText w:val="•"/>
      <w:lvlJc w:val="left"/>
      <w:pPr>
        <w:ind w:left="7031" w:hanging="946"/>
      </w:pPr>
      <w:rPr>
        <w:rFonts w:hint="default"/>
        <w:lang w:val="en-US" w:eastAsia="zh-CN" w:bidi="ar-SA"/>
      </w:rPr>
    </w:lvl>
    <w:lvl w:ilvl="7">
      <w:start w:val="0"/>
      <w:numFmt w:val="bullet"/>
      <w:lvlText w:val="•"/>
      <w:lvlJc w:val="left"/>
      <w:pPr>
        <w:ind w:left="8073" w:hanging="946"/>
      </w:pPr>
      <w:rPr>
        <w:rFonts w:hint="default"/>
        <w:lang w:val="en-US" w:eastAsia="zh-CN" w:bidi="ar-SA"/>
      </w:rPr>
    </w:lvl>
    <w:lvl w:ilvl="8">
      <w:start w:val="0"/>
      <w:numFmt w:val="bullet"/>
      <w:lvlText w:val="•"/>
      <w:lvlJc w:val="left"/>
      <w:pPr>
        <w:ind w:left="9115" w:hanging="946"/>
      </w:pPr>
      <w:rPr>
        <w:rFonts w:hint="default"/>
        <w:lang w:val="en-US" w:eastAsia="zh-CN" w:bidi="ar-SA"/>
      </w:rPr>
    </w:lvl>
  </w:abstractNum>
  <w:abstractNum w:abstractNumId="12">
    <w:nsid w:val="709D4BFF"/>
    <w:multiLevelType w:val="hybridMultilevel"/>
    <w:tmpl w:val="00000000"/>
    <w:lvl w:ilvl="0">
      <w:start w:val="4"/>
      <w:numFmt w:val="lowerLetter"/>
      <w:lvlText w:val="%1）"/>
      <w:lvlJc w:val="left"/>
      <w:pPr>
        <w:ind w:left="1178" w:hanging="316"/>
        <w:jc w:val="left"/>
      </w:pPr>
      <w:rPr>
        <w:rFonts w:ascii="宋体" w:eastAsia="宋体" w:hAnsi="宋体" w:cs="宋体" w:hint="default"/>
        <w:spacing w:val="-1"/>
        <w:w w:val="99"/>
        <w:sz w:val="19"/>
        <w:szCs w:val="19"/>
        <w:lang w:val="en-US" w:eastAsia="zh-CN" w:bidi="ar-SA"/>
      </w:rPr>
    </w:lvl>
    <w:lvl w:ilvl="1">
      <w:start w:val="0"/>
      <w:numFmt w:val="bullet"/>
      <w:lvlText w:val="•"/>
      <w:lvlJc w:val="left"/>
      <w:pPr>
        <w:ind w:left="2202" w:hanging="316"/>
      </w:pPr>
      <w:rPr>
        <w:rFonts w:hint="default"/>
        <w:lang w:val="en-US" w:eastAsia="zh-CN" w:bidi="ar-SA"/>
      </w:rPr>
    </w:lvl>
    <w:lvl w:ilvl="2">
      <w:start w:val="0"/>
      <w:numFmt w:val="bullet"/>
      <w:lvlText w:val="•"/>
      <w:lvlJc w:val="left"/>
      <w:pPr>
        <w:ind w:left="3225" w:hanging="316"/>
      </w:pPr>
      <w:rPr>
        <w:rFonts w:hint="default"/>
        <w:lang w:val="en-US" w:eastAsia="zh-CN" w:bidi="ar-SA"/>
      </w:rPr>
    </w:lvl>
    <w:lvl w:ilvl="3">
      <w:start w:val="0"/>
      <w:numFmt w:val="bullet"/>
      <w:lvlText w:val="•"/>
      <w:lvlJc w:val="left"/>
      <w:pPr>
        <w:ind w:left="4247" w:hanging="316"/>
      </w:pPr>
      <w:rPr>
        <w:rFonts w:hint="default"/>
        <w:lang w:val="en-US" w:eastAsia="zh-CN" w:bidi="ar-SA"/>
      </w:rPr>
    </w:lvl>
    <w:lvl w:ilvl="4">
      <w:start w:val="0"/>
      <w:numFmt w:val="bullet"/>
      <w:lvlText w:val="•"/>
      <w:lvlJc w:val="left"/>
      <w:pPr>
        <w:ind w:left="5270" w:hanging="316"/>
      </w:pPr>
      <w:rPr>
        <w:rFonts w:hint="default"/>
        <w:lang w:val="en-US" w:eastAsia="zh-CN" w:bidi="ar-SA"/>
      </w:rPr>
    </w:lvl>
    <w:lvl w:ilvl="5">
      <w:start w:val="0"/>
      <w:numFmt w:val="bullet"/>
      <w:lvlText w:val="•"/>
      <w:lvlJc w:val="left"/>
      <w:pPr>
        <w:ind w:left="6293" w:hanging="316"/>
      </w:pPr>
      <w:rPr>
        <w:rFonts w:hint="default"/>
        <w:lang w:val="en-US" w:eastAsia="zh-CN" w:bidi="ar-SA"/>
      </w:rPr>
    </w:lvl>
    <w:lvl w:ilvl="6">
      <w:start w:val="0"/>
      <w:numFmt w:val="bullet"/>
      <w:lvlText w:val="•"/>
      <w:lvlJc w:val="left"/>
      <w:pPr>
        <w:ind w:left="7315" w:hanging="316"/>
      </w:pPr>
      <w:rPr>
        <w:rFonts w:hint="default"/>
        <w:lang w:val="en-US" w:eastAsia="zh-CN" w:bidi="ar-SA"/>
      </w:rPr>
    </w:lvl>
    <w:lvl w:ilvl="7">
      <w:start w:val="0"/>
      <w:numFmt w:val="bullet"/>
      <w:lvlText w:val="•"/>
      <w:lvlJc w:val="left"/>
      <w:pPr>
        <w:ind w:left="8338" w:hanging="316"/>
      </w:pPr>
      <w:rPr>
        <w:rFonts w:hint="default"/>
        <w:lang w:val="en-US" w:eastAsia="zh-CN" w:bidi="ar-SA"/>
      </w:rPr>
    </w:lvl>
    <w:lvl w:ilvl="8">
      <w:start w:val="0"/>
      <w:numFmt w:val="bullet"/>
      <w:lvlText w:val="•"/>
      <w:lvlJc w:val="left"/>
      <w:pPr>
        <w:ind w:left="9360" w:hanging="316"/>
      </w:pPr>
      <w:rPr>
        <w:rFonts w:hint="default"/>
        <w:lang w:val="en-US" w:eastAsia="zh-CN" w:bidi="ar-SA"/>
      </w:rPr>
    </w:lvl>
  </w:abstractNum>
  <w:num w:numId="1">
    <w:abstractNumId w:val="3"/>
  </w:num>
  <w:num w:numId="2">
    <w:abstractNumId w:val="6"/>
  </w:num>
  <w:num w:numId="3">
    <w:abstractNumId w:val="1"/>
  </w:num>
  <w:num w:numId="4">
    <w:abstractNumId w:val="11"/>
  </w:num>
  <w:num w:numId="5">
    <w:abstractNumId w:val="2"/>
  </w:num>
  <w:num w:numId="6">
    <w:abstractNumId w:val="12"/>
  </w:num>
  <w:num w:numId="7">
    <w:abstractNumId w:val="0"/>
  </w:num>
  <w:num w:numId="8">
    <w:abstractNumId w:val="8"/>
  </w:num>
  <w:num w:numId="9">
    <w:abstractNumId w:val="7"/>
  </w:num>
  <w:num w:numId="10">
    <w:abstractNumId w:val="5"/>
  </w:num>
  <w:num w:numId="11">
    <w:abstractNumId w:val="4"/>
  </w:num>
  <w:num w:numId="12">
    <w:abstractNumId w:val="10"/>
  </w:num>
  <w:num w:numId="13">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evenAndOddHeaders/>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lang w:val="en-US" w:eastAsia="zh-CN" w:bidi="ar-SA"/>
    </w:rPr>
  </w:style>
  <w:style w:type="paragraph" w:styleId="Heading1">
    <w:name w:val="heading 1"/>
    <w:basedOn w:val="Normal"/>
    <w:uiPriority w:val="1"/>
    <w:qFormat/>
    <w:pPr>
      <w:spacing w:before="215"/>
      <w:ind w:left="303"/>
      <w:jc w:val="center"/>
      <w:outlineLvl w:val="0"/>
    </w:pPr>
    <w:rPr>
      <w:rFonts w:ascii="黑体" w:eastAsia="黑体" w:hAnsi="黑体" w:cs="黑体"/>
      <w:sz w:val="32"/>
      <w:szCs w:val="32"/>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21"/>
      <w:szCs w:val="21"/>
      <w:lang w:val="en-US" w:eastAsia="zh-CN" w:bidi="ar-SA"/>
    </w:rPr>
  </w:style>
  <w:style w:type="paragraph" w:styleId="Title">
    <w:name w:val="Title"/>
    <w:basedOn w:val="Normal"/>
    <w:uiPriority w:val="1"/>
    <w:qFormat/>
    <w:pPr>
      <w:spacing w:before="28"/>
      <w:ind w:left="588"/>
      <w:jc w:val="center"/>
    </w:pPr>
    <w:rPr>
      <w:rFonts w:ascii="黑体" w:eastAsia="黑体" w:hAnsi="黑体" w:cs="黑体"/>
      <w:sz w:val="52"/>
      <w:szCs w:val="52"/>
      <w:lang w:val="en-US" w:eastAsia="zh-CN" w:bidi="ar-SA"/>
    </w:rPr>
  </w:style>
  <w:style w:type="paragraph" w:styleId="ListParagraph">
    <w:name w:val="List Paragraph"/>
    <w:basedOn w:val="Normal"/>
    <w:uiPriority w:val="1"/>
    <w:qFormat/>
    <w:pPr>
      <w:ind w:left="1178"/>
    </w:pPr>
    <w:rPr>
      <w:rFonts w:ascii="宋体" w:eastAsia="宋体" w:hAnsi="宋体" w:cs="宋体"/>
      <w:lang w:val="en-US" w:eastAsia="zh-CN" w:bidi="ar-SA"/>
    </w:rPr>
  </w:style>
  <w:style w:type="paragraph" w:customStyle="1" w:styleId="TableParagraph">
    <w:name w:val="Table Paragraph"/>
    <w:basedOn w:val="Normal"/>
    <w:uiPriority w:val="1"/>
    <w:qFormat/>
    <w:rPr>
      <w:rFonts w:ascii="宋体" w:eastAsia="宋体" w:hAnsi="宋体" w:cs="宋体"/>
      <w:lang w:val="en-US" w:eastAsia="zh-CN"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header" Target="header6.xml" /><Relationship Id="rId13" Type="http://schemas.openxmlformats.org/officeDocument/2006/relationships/header" Target="header7.xml" /><Relationship Id="rId14" Type="http://schemas.openxmlformats.org/officeDocument/2006/relationships/header" Target="header8.xml" /><Relationship Id="rId15" Type="http://schemas.openxmlformats.org/officeDocument/2006/relationships/header" Target="header9.xml" /><Relationship Id="rId16" Type="http://schemas.openxmlformats.org/officeDocument/2006/relationships/header" Target="header10.xml" /><Relationship Id="rId17" Type="http://schemas.openxmlformats.org/officeDocument/2006/relationships/header" Target="header11.xml" /><Relationship Id="rId18" Type="http://schemas.openxmlformats.org/officeDocument/2006/relationships/header" Target="header12.xml" /><Relationship Id="rId19" Type="http://schemas.openxmlformats.org/officeDocument/2006/relationships/header" Target="header13.xml" /><Relationship Id="rId2" Type="http://schemas.openxmlformats.org/officeDocument/2006/relationships/webSettings" Target="webSettings.xml" /><Relationship Id="rId20" Type="http://schemas.openxmlformats.org/officeDocument/2006/relationships/header" Target="header14.xml" /><Relationship Id="rId21" Type="http://schemas.openxmlformats.org/officeDocument/2006/relationships/hyperlink" Target="https://d.book118.com/825104322210011101" TargetMode="External" /><Relationship Id="rId22" Type="http://schemas.openxmlformats.org/officeDocument/2006/relationships/header" Target="header15.xml" /><Relationship Id="rId23" Type="http://schemas.openxmlformats.org/officeDocument/2006/relationships/header" Target="header16.xml" /><Relationship Id="rId24" Type="http://schemas.openxmlformats.org/officeDocument/2006/relationships/theme" Target="theme/theme1.xml" /><Relationship Id="rId25" Type="http://schemas.openxmlformats.org/officeDocument/2006/relationships/numbering" Target="numbering.xml" /><Relationship Id="rId26"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hyperlink" Target="mailto:1020215820@qq.com" TargetMode="Externa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标准名称</dc:title>
  <dc:creator>you</dc:creator>
  <cp:revision>0</cp:revision>
  <dcterms:created xsi:type="dcterms:W3CDTF">2024-01-30T07:46:32Z</dcterms:created>
  <dcterms:modified xsi:type="dcterms:W3CDTF">2024-01-30T07:46:32Z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2022-04-29T00:00:00Z</vt:filetime>
  </property>
  <property fmtid="{D5CDD505-2E9C-101B-9397-08002B2CF9AE}" pid="3" name="Creator">
    <vt:lpwstr>Aspose Ltd.</vt:lpwstr>
  </property>
  <property fmtid="{D5CDD505-2E9C-101B-9397-08002B2CF9AE}" pid="4" name="LastSaved">
    <vt:filetime>2024-01-30T00:00:00Z</vt:filetime>
  </property>
</Properties>
</file>