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2018-2023年吐鲁番职业技术学院高职单招（数学／语文／英语）历年常考试题库含答案解析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被人称为“七绝圣手”的诗人是（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A.王之涣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C.王昌龄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2.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下列句子中加点的“其”可作为语气词的是（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drawing>
          <wp:inline distT="0" distB="0" distL="0" distR="0">
            <wp:extent cx="1752784" cy="156226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2784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A.见图A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B.见图B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C.见图C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D.见图D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《论快乐》一文驳斥了这样的观点，即把快乐分成（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A.感性的和理性的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B.苦和乐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C.肉体的和精神的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D.短暂的和永恒的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梁启超《论毅力》写于（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A.戊戌变法之前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B.戊戌变法失败后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C.五四运动之时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D.五四运动之后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《报刘一丈书》本文主旨是（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A.赞美刘一丈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B.讽刺官场腐败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C.讽刺“才德称位”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D.赞美“上下相孚”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下列关于《庄子·秋水》的表述，不正确的一项是（）。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A.“东面而视，不见水端”描写了北海的辽阔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B.“两涘渚崖之间，不辩牛马”描写了黄河水上涨的景色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C.“吾长见笑于大方之家”说明河伯认识到了自己的局限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D.“天下之水，莫大于海”写出了北海若骄傲自得的心态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《大同》选自（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马致远的《天净沙·秋思》最突出的艺术特色是（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A.设景抒情、时空跳跃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B.设景抒情、多用比兴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C.借景抒情、寓情于景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D.借景抒情、多用比兴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A.山水诗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B.田园诗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C.边塞诗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D.怀古诗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在《八声甘州》中，“是处红衰翠减，苒苒物华休”的修辞方法是（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王实甫的《西厢记》是一部（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B.说唱文学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C.元杂剧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D.传奇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绝句属于（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A.古体诗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B.楚辞体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“日薄西山，气息奄奄”出自（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https://d.book118.com/825144143330011112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82514414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