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监护病房行业相关公司筹备报告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三、监护病房项目概况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9" w:history="1">
        <w:r>
          <w:rPr>
            <w:rFonts w:ascii="仿宋" w:eastAsia="仿宋" w:hAnsi="仿宋" w:cs="仿宋" w:hint="eastAsia"/>
            <w:lang w:eastAsia="zh-CN"/>
          </w:rPr>
          <w:t>(二)、监护病房项目提出的理由</w:t>
        </w:r>
        <w:r>
          <w:tab/>
        </w:r>
        <w:r>
          <w:fldChar w:fldCharType="begin"/>
        </w:r>
        <w:r>
          <w:instrText xml:space="preserve"> PAGEREF _Toc27749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(三)、监护病房项目选址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(六)、监护病房项目投资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(七)、监护病房项目进度规划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(九)、监护病房项目综合评价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_Toc14745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eastAsia="zh-CN"/>
          </w:rPr>
          <w:t>(七)、监护病房项目建设必要性分析</w:t>
        </w:r>
        <w:r>
          <w:tab/>
        </w:r>
        <w:r>
          <w:fldChar w:fldCharType="begin"/>
        </w:r>
        <w:r>
          <w:instrText xml:space="preserve"> PAGEREF _Toc13308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(五)、监护病房项目总投资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_Toc7737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七、监护病房项目经济效益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(三)、监护病房项目盈利能力分析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9" w:history="1">
        <w:r>
          <w:rPr>
            <w:rFonts w:ascii="仿宋" w:eastAsia="仿宋" w:hAnsi="仿宋" w:cs="仿宋" w:hint="eastAsia"/>
            <w:lang w:eastAsia="zh-CN"/>
          </w:rPr>
          <w:t>(一)、监护病房项目进度安排</w:t>
        </w:r>
        <w:r>
          <w:tab/>
        </w:r>
        <w:r>
          <w:fldChar w:fldCharType="begin"/>
        </w:r>
        <w:r>
          <w:instrText xml:space="preserve"> PAGEREF _Toc7589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(二)、监护病房项目实施保障措施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_Toc22403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(一)、社会责任监护病房项目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3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9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https://d.book118.com/825222120142011101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监护病房行业相关公司筹备报告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监护病房行业相关公司筹备报告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监护病房行业相关公司筹备报告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监护病房行业相关公司筹备报告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监护病房行业相关公司筹备报告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222120142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2024-01-19T14:49:00Z</dcterms:created>
  <dcterms:modified xsi:type="dcterms:W3CDTF">2024-01-19T14:49:23Z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1A3CFC5BB4B8425ABA3479B6453351CE_11</vt:lpwstr>
  </property>
  <property fmtid="{D5CDD505-2E9C-101B-9397-08002B2CF9AE}" pid="3" name="KSOProductBuildVer">
    <vt:lpwstr>2052-12.1.0.16120</vt:lpwstr>
  </property>
</Properties>
</file>