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家纺项目可行性建设方案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7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_Toc14871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_Toc24923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_Toc26700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_Toc17821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_Toc28459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_Toc15744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_Toc31771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6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_Toc24626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_Toc21887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_Toc26460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_Toc23137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_Toc19887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_Toc31775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3" w:history="1">
        <w:r>
          <w:rPr>
            <w:rFonts w:ascii="仿宋" w:eastAsia="仿宋" w:hAnsi="仿宋" w:cs="仿宋" w:hint="eastAsia"/>
            <w:lang w:eastAsia="zh-CN"/>
          </w:rPr>
          <w:t>五、家纺项目概论</w:t>
        </w:r>
        <w:r>
          <w:tab/>
        </w:r>
        <w:r>
          <w:fldChar w:fldCharType="begin"/>
        </w:r>
        <w:r>
          <w:instrText xml:space="preserve"> PAGEREF _Toc4743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_Toc18258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_Toc20281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4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_Toc9054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_Toc9132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_Toc13132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_Toc21892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_Toc15268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7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_Toc24478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_Toc14139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8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_Toc12828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_Toc25246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_Toc4761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1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_Toc3921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_Toc16289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7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_Toc5627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_Toc3324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_Toc27134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9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_Toc15449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06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_Toc15060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5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_Toc32135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_Toc1721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_Toc21574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_Toc25107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_Toc6851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_Toc14875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_Toc18007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_Toc31488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7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_Toc23417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_Toc19168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_Toc26026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_Toc18427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_Toc17619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_Toc5980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3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_Toc11123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_Toc9804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_Toc16854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_Toc30372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1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_Toc32491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_Toc27498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2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_Toc15932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_Toc9060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_Toc17222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_Toc11622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_Toc18024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_Toc23552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_Toc17468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18" w:history="1">
        <w:r>
          <w:rPr>
            <w:rFonts w:ascii="仿宋" w:eastAsia="仿宋" w:hAnsi="仿宋" w:cs="仿宋" w:hint="eastAsia"/>
            <w:lang w:eastAsia="zh-CN"/>
          </w:rPr>
          <w:t>二十、创新驱动与持续发展</w:t>
        </w:r>
        <w:r>
          <w:tab/>
        </w:r>
        <w:r>
          <w:fldChar w:fldCharType="begin"/>
        </w:r>
        <w:r>
          <w:instrText xml:space="preserve"> PAGEREF _Toc31318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87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1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2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家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家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家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70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82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在家纺项目启动前，将进行一系列深入的地质调查，包括钻探和土壤取样，以深入了解项目区域的地层结构和土壤组成。特别是对于土壤的承载能力和地下水位的深度进行详细评估。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完成初始的地质风险评估后，家纺项目将安装长期地质监测设备，如倾斜仪、裂缝计和地下水位计，以持续监测地质条件的变化。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45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家纺项目将通过这些措施来适应和尊重特殊环境条件，确保项目的可持续发展，同时减少对环境的负面影响。这不仅有助于保护自然和文化遗产，还能提升项目在社会责任方面的表现和形象。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777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5744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771"/>
      <w:r>
        <w:rPr>
          <w:rFonts w:ascii="仿宋" w:eastAsia="仿宋" w:hAnsi="仿宋" w:cs="仿宋" w:hint="eastAsia"/>
          <w:sz w:val="28"/>
          <w:lang w:eastAsia="zh-CN"/>
        </w:rPr>
        <w:t>(二)、产业政策分析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现行政策环境分析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https://d.book118.com/826103100223010034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家纺项目可行性建设方案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7D13D5"/>
    <w:rsid w:val="277D13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26103100223010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2024-01-08T07:50:00Z</dcterms:created>
  <dcterms:modified xsi:type="dcterms:W3CDTF">2024-01-08T07:51:15Z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AEAF306A25244B21BE34DF3FAD9FF9A4_11</vt:lpwstr>
  </property>
  <property fmtid="{D5CDD505-2E9C-101B-9397-08002B2CF9AE}" pid="3" name="KSOProductBuildVer">
    <vt:lpwstr>2052-12.1.0.16120</vt:lpwstr>
  </property>
</Properties>
</file>