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8" w:line="219" w:lineRule="auto"/>
        <w:ind w:left="47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1136648</wp:posOffset>
            </wp:positionH>
            <wp:positionV relativeFrom="page">
              <wp:posOffset>2559017</wp:posOffset>
            </wp:positionV>
            <wp:extent cx="4654576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457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6"/>
          <w:sz w:val="19"/>
          <w:szCs w:val="19"/>
        </w:rPr>
        <w:t>ICS</w:t>
      </w:r>
      <w:r>
        <w:rPr>
          <w:rFonts w:ascii="SimSun" w:eastAsia="SimSun" w:hAnsi="SimSun" w:cs="SimSun"/>
          <w:spacing w:val="-6"/>
          <w:sz w:val="19"/>
          <w:szCs w:val="19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19"/>
          <w:szCs w:val="19"/>
        </w:rPr>
        <w:t>编号</w:t>
      </w:r>
    </w:p>
    <w:p>
      <w:pPr>
        <w:spacing w:before="57" w:line="219" w:lineRule="auto"/>
        <w:ind w:left="4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sz w:val="19"/>
          <w:szCs w:val="19"/>
        </w:rPr>
        <w:t>CCS</w:t>
      </w:r>
      <w:r>
        <w:rPr>
          <w:rFonts w:ascii="SimSun" w:eastAsia="SimSun" w:hAnsi="SimSun" w:cs="SimSun"/>
          <w:spacing w:val="4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sz w:val="19"/>
          <w:szCs w:val="19"/>
        </w:rPr>
        <w:t>编号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208" w:line="224" w:lineRule="auto"/>
        <w:ind w:left="1404"/>
        <w:outlineLvl w:val="0"/>
        <w:rPr>
          <w:rFonts w:ascii="SimHei" w:eastAsia="SimHei" w:hAnsi="SimHei" w:cs="SimHei"/>
          <w:sz w:val="64"/>
          <w:szCs w:val="64"/>
        </w:rPr>
      </w:pP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团</w:t>
      </w:r>
      <w:r>
        <w:rPr>
          <w:rFonts w:ascii="SimHei" w:eastAsia="SimHei" w:hAnsi="SimHei" w:cs="SimHei"/>
          <w:spacing w:val="-23"/>
          <w:sz w:val="64"/>
          <w:szCs w:val="64"/>
        </w:rPr>
        <w:t xml:space="preserve">  </w:t>
      </w: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体</w:t>
      </w:r>
      <w:r>
        <w:rPr>
          <w:rFonts w:ascii="SimHei" w:eastAsia="SimHei" w:hAnsi="SimHei" w:cs="SimHei"/>
          <w:spacing w:val="23"/>
          <w:sz w:val="64"/>
          <w:szCs w:val="64"/>
        </w:rPr>
        <w:t xml:space="preserve">  </w:t>
      </w: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标</w:t>
      </w:r>
      <w:r>
        <w:rPr>
          <w:rFonts w:ascii="SimHei" w:eastAsia="SimHei" w:hAnsi="SimHei" w:cs="SimHei"/>
          <w:spacing w:val="37"/>
          <w:sz w:val="64"/>
          <w:szCs w:val="64"/>
        </w:rPr>
        <w:t xml:space="preserve">  </w:t>
      </w: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准</w:t>
      </w:r>
    </w:p>
    <w:p>
      <w:pPr>
        <w:pStyle w:val="BodyText"/>
        <w:spacing w:before="167" w:line="188" w:lineRule="auto"/>
        <w:ind w:left="4725"/>
      </w:pPr>
      <w:r>
        <w:rPr>
          <w:b/>
          <w:bCs/>
          <w:spacing w:val="1"/>
        </w:rPr>
        <w:t>T/</w:t>
      </w:r>
      <w:r>
        <w:rPr>
          <w:b/>
          <w:bCs/>
        </w:rPr>
        <w:t>CHES</w:t>
      </w:r>
      <w:r>
        <w:rPr>
          <w:b/>
          <w:bCs/>
          <w:spacing w:val="1"/>
        </w:rPr>
        <w:t xml:space="preserve">  </w:t>
      </w:r>
      <w:r>
        <w:rPr>
          <w:b/>
          <w:bCs/>
        </w:rPr>
        <w:t>XXX</w:t>
      </w:r>
      <w:r>
        <w:rPr>
          <w:b/>
          <w:bCs/>
          <w:spacing w:val="1"/>
        </w:rPr>
        <w:t>—20</w:t>
      </w:r>
      <w:r>
        <w:rPr>
          <w:b/>
          <w:bCs/>
        </w:rPr>
        <w:t>XX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36" w:line="236" w:lineRule="auto"/>
        <w:ind w:left="2084" w:right="1220" w:hanging="1970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17"/>
          <w:sz w:val="42"/>
          <w:szCs w:val="42"/>
        </w:rPr>
        <w:t>有压输水系统水力过渡过程计算与水</w:t>
      </w:r>
      <w:r>
        <w:rPr>
          <w:rFonts w:ascii="SimHei" w:eastAsia="SimHei" w:hAnsi="SimHei" w:cs="SimHei"/>
          <w:spacing w:val="1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17"/>
          <w:sz w:val="42"/>
          <w:szCs w:val="42"/>
        </w:rPr>
        <w:t>锤防护技术导则</w:t>
      </w:r>
    </w:p>
    <w:p>
      <w:pPr>
        <w:spacing w:line="383" w:lineRule="auto"/>
        <w:rPr>
          <w:rFonts w:ascii="Arial"/>
          <w:sz w:val="21"/>
        </w:rPr>
      </w:pPr>
    </w:p>
    <w:p>
      <w:pPr>
        <w:pStyle w:val="BodyText"/>
        <w:spacing w:before="72" w:line="189" w:lineRule="auto"/>
        <w:ind w:left="124"/>
      </w:pPr>
      <w:r>
        <w:rPr>
          <w:b/>
          <w:bCs/>
          <w:spacing w:val="-1"/>
        </w:rPr>
        <w:t>Technical</w:t>
      </w:r>
      <w:r>
        <w:rPr>
          <w:b/>
          <w:bCs/>
          <w:spacing w:val="33"/>
          <w:w w:val="101"/>
        </w:rPr>
        <w:t xml:space="preserve"> </w:t>
      </w:r>
      <w:r>
        <w:rPr>
          <w:b/>
          <w:bCs/>
          <w:spacing w:val="-1"/>
        </w:rPr>
        <w:t>guide</w:t>
      </w:r>
      <w:r>
        <w:rPr>
          <w:b/>
          <w:bCs/>
          <w:spacing w:val="31"/>
        </w:rPr>
        <w:t xml:space="preserve"> </w:t>
      </w:r>
      <w:r>
        <w:rPr>
          <w:b/>
          <w:bCs/>
          <w:spacing w:val="-1"/>
        </w:rPr>
        <w:t>for</w:t>
      </w:r>
      <w:r>
        <w:rPr>
          <w:b/>
          <w:bCs/>
          <w:spacing w:val="32"/>
        </w:rPr>
        <w:t xml:space="preserve"> </w:t>
      </w:r>
      <w:r>
        <w:rPr>
          <w:b/>
          <w:bCs/>
          <w:spacing w:val="-1"/>
        </w:rPr>
        <w:t>hydraulic</w:t>
      </w:r>
      <w:r>
        <w:rPr>
          <w:b/>
          <w:bCs/>
          <w:spacing w:val="28"/>
        </w:rPr>
        <w:t xml:space="preserve"> </w:t>
      </w:r>
      <w:r>
        <w:rPr>
          <w:b/>
          <w:bCs/>
          <w:spacing w:val="-1"/>
        </w:rPr>
        <w:t>transient</w:t>
      </w:r>
      <w:r>
        <w:rPr>
          <w:b/>
          <w:bCs/>
          <w:spacing w:val="28"/>
          <w:w w:val="101"/>
        </w:rPr>
        <w:t xml:space="preserve"> </w:t>
      </w:r>
      <w:r>
        <w:rPr>
          <w:b/>
          <w:bCs/>
          <w:spacing w:val="-1"/>
        </w:rPr>
        <w:t>process</w:t>
      </w:r>
      <w:r>
        <w:rPr>
          <w:b/>
          <w:bCs/>
          <w:spacing w:val="33"/>
        </w:rPr>
        <w:t xml:space="preserve"> </w:t>
      </w:r>
      <w:r>
        <w:rPr>
          <w:b/>
          <w:bCs/>
          <w:spacing w:val="-1"/>
        </w:rPr>
        <w:t>cal</w:t>
      </w:r>
      <w:r>
        <w:rPr>
          <w:b/>
          <w:bCs/>
          <w:spacing w:val="-2"/>
        </w:rPr>
        <w:t>culations</w:t>
      </w:r>
      <w:r>
        <w:rPr>
          <w:b/>
          <w:bCs/>
          <w:spacing w:val="34"/>
          <w:w w:val="101"/>
        </w:rPr>
        <w:t xml:space="preserve"> </w:t>
      </w:r>
      <w:r>
        <w:rPr>
          <w:b/>
          <w:bCs/>
          <w:spacing w:val="-2"/>
        </w:rPr>
        <w:t>and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72" w:line="189" w:lineRule="auto"/>
        <w:ind w:left="275"/>
      </w:pPr>
      <w:r>
        <w:rPr>
          <w:b/>
          <w:bCs/>
        </w:rPr>
        <w:t>water</w:t>
      </w:r>
      <w:r>
        <w:rPr>
          <w:b/>
          <w:bCs/>
          <w:spacing w:val="37"/>
          <w:w w:val="101"/>
        </w:rPr>
        <w:t xml:space="preserve"> </w:t>
      </w:r>
      <w:r>
        <w:rPr>
          <w:b/>
          <w:bCs/>
        </w:rPr>
        <w:t>hammer</w:t>
      </w:r>
      <w:r>
        <w:rPr>
          <w:b/>
          <w:bCs/>
          <w:spacing w:val="34"/>
        </w:rPr>
        <w:t xml:space="preserve"> </w:t>
      </w:r>
      <w:r>
        <w:rPr>
          <w:b/>
          <w:bCs/>
        </w:rPr>
        <w:t>protections</w:t>
      </w:r>
      <w:r>
        <w:rPr>
          <w:b/>
          <w:bCs/>
          <w:spacing w:val="38"/>
        </w:rPr>
        <w:t xml:space="preserve"> </w:t>
      </w:r>
      <w:r>
        <w:rPr>
          <w:b/>
          <w:bCs/>
        </w:rPr>
        <w:t>of pressurized</w:t>
      </w:r>
      <w:r>
        <w:rPr>
          <w:b/>
          <w:bCs/>
          <w:spacing w:val="31"/>
        </w:rPr>
        <w:t xml:space="preserve"> </w:t>
      </w:r>
      <w:r>
        <w:rPr>
          <w:b/>
          <w:bCs/>
        </w:rPr>
        <w:t>water</w:t>
      </w:r>
      <w:r>
        <w:rPr>
          <w:b/>
          <w:bCs/>
          <w:spacing w:val="34"/>
        </w:rPr>
        <w:t xml:space="preserve"> </w:t>
      </w:r>
      <w:r>
        <w:rPr>
          <w:b/>
          <w:bCs/>
        </w:rPr>
        <w:t>trans</w:t>
      </w:r>
      <w:r>
        <w:rPr>
          <w:b/>
          <w:bCs/>
          <w:spacing w:val="-1"/>
        </w:rPr>
        <w:t>mission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72" w:line="177" w:lineRule="auto"/>
        <w:ind w:left="3185"/>
      </w:pPr>
      <w:r>
        <w:rPr>
          <w:b/>
          <w:bCs/>
          <w:spacing w:val="-2"/>
        </w:rPr>
        <w:t>systems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82" w:line="219" w:lineRule="auto"/>
        <w:ind w:left="3104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10"/>
          <w:sz w:val="25"/>
          <w:szCs w:val="25"/>
        </w:rPr>
        <w:t>(报批稿)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pgSz w:w="11900" w:h="16840"/>
          <w:pgMar w:top="1316" w:right="1785" w:bottom="0" w:left="1785" w:header="0" w:footer="0" w:gutter="0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82" w:line="225" w:lineRule="auto"/>
        <w:ind w:left="44"/>
        <w:rPr>
          <w:rFonts w:ascii="SimSun" w:eastAsia="SimSun" w:hAnsi="SimSun" w:cs="SimSun"/>
          <w:sz w:val="25"/>
          <w:szCs w:val="2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20467</wp:posOffset>
            </wp:positionH>
            <wp:positionV relativeFrom="paragraph">
              <wp:posOffset>202408</wp:posOffset>
            </wp:positionV>
            <wp:extent cx="4632049" cy="1324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2049" cy="13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4"/>
          <w:sz w:val="25"/>
          <w:szCs w:val="25"/>
        </w:rPr>
        <w:t>2023-</w:t>
      </w:r>
      <w:r>
        <w:rPr>
          <w:rFonts w:ascii="SimSun" w:eastAsia="SimSun" w:hAnsi="SimSun" w:cs="SimSun"/>
          <w:sz w:val="25"/>
          <w:szCs w:val="25"/>
        </w:rPr>
        <w:t>XX</w:t>
      </w:r>
      <w:r>
        <w:rPr>
          <w:rFonts w:ascii="SimSun" w:eastAsia="SimSun" w:hAnsi="SimSun" w:cs="SimSun"/>
          <w:spacing w:val="4"/>
          <w:sz w:val="25"/>
          <w:szCs w:val="25"/>
        </w:rPr>
        <w:t>-</w:t>
      </w:r>
      <w:r>
        <w:rPr>
          <w:rFonts w:ascii="SimSun" w:eastAsia="SimSun" w:hAnsi="SimSun" w:cs="SimSun"/>
          <w:sz w:val="25"/>
          <w:szCs w:val="25"/>
        </w:rPr>
        <w:t>XX</w:t>
      </w:r>
      <w:r>
        <w:rPr>
          <w:rFonts w:ascii="SimSun" w:eastAsia="SimSun" w:hAnsi="SimSun" w:cs="SimSun"/>
          <w:spacing w:val="4"/>
          <w:sz w:val="25"/>
          <w:szCs w:val="25"/>
        </w:rPr>
        <w:t>发布                   2 0 2 3</w:t>
      </w:r>
      <w:r>
        <w:rPr>
          <w:rFonts w:ascii="SimSun" w:eastAsia="SimSun" w:hAnsi="SimSun" w:cs="SimSun"/>
          <w:spacing w:val="-2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4"/>
          <w:sz w:val="25"/>
          <w:szCs w:val="25"/>
        </w:rPr>
        <w:t>-</w:t>
      </w:r>
      <w:r>
        <w:rPr>
          <w:rFonts w:ascii="SimSun" w:eastAsia="SimSun" w:hAnsi="SimSun" w:cs="SimSun"/>
          <w:spacing w:val="-19"/>
          <w:sz w:val="25"/>
          <w:szCs w:val="25"/>
        </w:rPr>
        <w:t xml:space="preserve"> </w:t>
      </w:r>
      <w:r>
        <w:rPr>
          <w:rFonts w:ascii="SimSun" w:eastAsia="SimSun" w:hAnsi="SimSun" w:cs="SimSun"/>
          <w:sz w:val="25"/>
          <w:szCs w:val="25"/>
        </w:rPr>
        <w:t>X</w:t>
      </w:r>
      <w:r>
        <w:rPr>
          <w:rFonts w:ascii="SimSun" w:eastAsia="SimSun" w:hAnsi="SimSun" w:cs="SimSun"/>
          <w:spacing w:val="-20"/>
          <w:sz w:val="25"/>
          <w:szCs w:val="25"/>
        </w:rPr>
        <w:t xml:space="preserve"> </w:t>
      </w:r>
      <w:r>
        <w:rPr>
          <w:rFonts w:ascii="SimSun" w:eastAsia="SimSun" w:hAnsi="SimSun" w:cs="SimSun"/>
          <w:sz w:val="25"/>
          <w:szCs w:val="25"/>
        </w:rPr>
        <w:t>X</w:t>
      </w:r>
      <w:r>
        <w:rPr>
          <w:rFonts w:ascii="SimSun" w:eastAsia="SimSun" w:hAnsi="SimSun" w:cs="SimSun"/>
          <w:spacing w:val="-19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4"/>
          <w:sz w:val="25"/>
          <w:szCs w:val="25"/>
        </w:rPr>
        <w:t>-</w:t>
      </w:r>
      <w:r>
        <w:rPr>
          <w:rFonts w:ascii="SimSun" w:eastAsia="SimSun" w:hAnsi="SimSun" w:cs="SimSun"/>
          <w:spacing w:val="-20"/>
          <w:sz w:val="25"/>
          <w:szCs w:val="25"/>
        </w:rPr>
        <w:t xml:space="preserve"> </w:t>
      </w:r>
      <w:r>
        <w:rPr>
          <w:rFonts w:ascii="SimSun" w:eastAsia="SimSun" w:hAnsi="SimSun" w:cs="SimSun"/>
          <w:sz w:val="25"/>
          <w:szCs w:val="25"/>
        </w:rPr>
        <w:t>X</w:t>
      </w:r>
      <w:r>
        <w:rPr>
          <w:rFonts w:ascii="SimSun" w:eastAsia="SimSun" w:hAnsi="SimSun" w:cs="SimSun"/>
          <w:spacing w:val="-19"/>
          <w:sz w:val="25"/>
          <w:szCs w:val="25"/>
        </w:rPr>
        <w:t xml:space="preserve"> </w:t>
      </w:r>
      <w:r>
        <w:rPr>
          <w:rFonts w:ascii="SimSun" w:eastAsia="SimSun" w:hAnsi="SimSun" w:cs="SimSun"/>
          <w:sz w:val="25"/>
          <w:szCs w:val="25"/>
        </w:rPr>
        <w:t>X</w:t>
      </w:r>
      <w:r>
        <w:rPr>
          <w:rFonts w:ascii="SimSun" w:eastAsia="SimSun" w:hAnsi="SimSun" w:cs="SimSun"/>
          <w:spacing w:val="4"/>
          <w:sz w:val="25"/>
          <w:szCs w:val="25"/>
        </w:rPr>
        <w:t xml:space="preserve"> 实</w:t>
      </w:r>
      <w:r>
        <w:rPr>
          <w:rFonts w:ascii="SimSun" w:eastAsia="SimSun" w:hAnsi="SimSun" w:cs="SimSun"/>
          <w:spacing w:val="-18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4"/>
          <w:sz w:val="25"/>
          <w:szCs w:val="25"/>
        </w:rPr>
        <w:t>施</w:t>
      </w:r>
    </w:p>
    <w:p>
      <w:pPr>
        <w:spacing w:before="289" w:line="221" w:lineRule="auto"/>
        <w:ind w:left="2298"/>
        <w:rPr>
          <w:rFonts w:ascii="SimHei" w:eastAsia="SimHei" w:hAnsi="SimHei" w:cs="SimHei"/>
          <w:sz w:val="25"/>
          <w:szCs w:val="25"/>
        </w:rPr>
      </w:pPr>
      <w:r>
        <w:rPr>
          <w:rFonts w:ascii="SimSun" w:eastAsia="SimSun" w:hAnsi="SimSun" w:cs="SimSun"/>
          <w:b/>
          <w:bCs/>
          <w:spacing w:val="22"/>
          <w:sz w:val="25"/>
          <w:szCs w:val="25"/>
        </w:rPr>
        <w:t>中国水利学会</w:t>
      </w:r>
      <w:r>
        <w:rPr>
          <w:rFonts w:ascii="SimSun" w:eastAsia="SimSun" w:hAnsi="SimSun" w:cs="SimSun"/>
          <w:spacing w:val="25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22"/>
          <w:sz w:val="25"/>
          <w:szCs w:val="25"/>
        </w:rPr>
        <w:t>发</w:t>
      </w:r>
      <w:r>
        <w:rPr>
          <w:rFonts w:ascii="SimHei" w:eastAsia="SimHei" w:hAnsi="SimHei" w:cs="SimHei"/>
          <w:spacing w:val="62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22"/>
          <w:sz w:val="25"/>
          <w:szCs w:val="25"/>
        </w:rPr>
        <w:t>布</w:t>
      </w:r>
    </w:p>
    <w:p>
      <w:pPr>
        <w:spacing w:line="221" w:lineRule="auto"/>
        <w:rPr>
          <w:rFonts w:ascii="SimHei" w:eastAsia="SimHei" w:hAnsi="SimHei" w:cs="SimHei"/>
          <w:sz w:val="25"/>
          <w:szCs w:val="25"/>
        </w:rPr>
        <w:sectPr>
          <w:type w:val="nextPage"/>
          <w:pgSz w:w="11900" w:h="16840"/>
          <w:pgMar w:top="1316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w:type="default" r:id="rId7"/>
          <w:footerReference w:type="default" r:id="rId8"/>
          <w:pgSz w:w="11900" w:h="16840"/>
          <w:pgMar w:top="1" w:right="0" w:bottom="1" w:left="0" w:header="0" w:footer="0" w:gutter="0"/>
          <w:pgNumType w:start="3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95" w:line="222" w:lineRule="auto"/>
        <w:ind w:left="3119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9"/>
          <w:sz w:val="29"/>
          <w:szCs w:val="29"/>
        </w:rPr>
        <w:t>前</w:t>
      </w:r>
      <w:r>
        <w:rPr>
          <w:rFonts w:ascii="SimHei" w:eastAsia="SimHei" w:hAnsi="SimHei" w:cs="SimHei"/>
          <w:sz w:val="29"/>
          <w:szCs w:val="29"/>
        </w:rPr>
        <w:t xml:space="preserve">    </w:t>
      </w:r>
      <w:r>
        <w:rPr>
          <w:rFonts w:ascii="SimHei" w:eastAsia="SimHei" w:hAnsi="SimHei" w:cs="SimHei"/>
          <w:b/>
          <w:bCs/>
          <w:spacing w:val="-9"/>
          <w:sz w:val="29"/>
          <w:szCs w:val="29"/>
        </w:rPr>
        <w:t>言</w: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61" w:line="219" w:lineRule="auto"/>
        <w:ind w:left="43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5"/>
          <w:sz w:val="19"/>
          <w:szCs w:val="19"/>
        </w:rPr>
        <w:t>本标准按照《工程建设标准编写规定》(建标〔2008〕182号)的规定起草。</w:t>
      </w:r>
    </w:p>
    <w:p>
      <w:pPr>
        <w:spacing w:before="53" w:line="255" w:lineRule="auto"/>
        <w:ind w:left="34" w:right="1008" w:firstLine="3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9"/>
          <w:sz w:val="19"/>
          <w:szCs w:val="19"/>
        </w:rPr>
        <w:t>本标准共分为7章和12个附录，主要技术内容包括总则、术语、基本规定、水力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"/>
          <w:sz w:val="19"/>
          <w:szCs w:val="19"/>
        </w:rPr>
        <w:t>过渡过程计算模型、水力过渡过程数值计算、水锤防护措</w:t>
      </w:r>
      <w:r>
        <w:rPr>
          <w:rFonts w:ascii="SimSun" w:eastAsia="SimSun" w:hAnsi="SimSun" w:cs="SimSun"/>
          <w:spacing w:val="1"/>
          <w:sz w:val="19"/>
          <w:szCs w:val="19"/>
        </w:rPr>
        <w:t>施的选择、计算成果与报告编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4"/>
          <w:sz w:val="19"/>
          <w:szCs w:val="19"/>
        </w:rPr>
        <w:t>制等。</w:t>
      </w:r>
    </w:p>
    <w:p>
      <w:pPr>
        <w:spacing w:before="73" w:line="256" w:lineRule="auto"/>
        <w:ind w:left="34" w:right="1012" w:firstLine="3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7"/>
          <w:sz w:val="19"/>
          <w:szCs w:val="19"/>
        </w:rPr>
        <w:t>请注意本标准的某些内容可能涉及专利。本标准</w:t>
      </w:r>
      <w:r>
        <w:rPr>
          <w:rFonts w:ascii="SimSun" w:eastAsia="SimSun" w:hAnsi="SimSun" w:cs="SimSun"/>
          <w:spacing w:val="6"/>
          <w:sz w:val="19"/>
          <w:szCs w:val="19"/>
        </w:rPr>
        <w:t>的发布机构不承担识别专利的责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9"/>
          <w:sz w:val="19"/>
          <w:szCs w:val="19"/>
        </w:rPr>
        <w:t>任。</w:t>
      </w:r>
    </w:p>
    <w:p>
      <w:pPr>
        <w:spacing w:before="43" w:line="248" w:lineRule="auto"/>
        <w:ind w:left="34" w:right="1017" w:firstLine="3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本标准由中国水利学会归口。执行过程中如有意见或建议，请寄送中国水利学会(地</w:t>
      </w:r>
      <w:r>
        <w:rPr>
          <w:rFonts w:ascii="SimSun" w:eastAsia="SimSun" w:hAnsi="SimSun" w:cs="SimSun"/>
          <w:spacing w:val="1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址：北京市西城区白广路二条16号，邮编100053),以便今后修订时</w:t>
      </w:r>
      <w:r>
        <w:rPr>
          <w:rFonts w:ascii="SimSun" w:eastAsia="SimSun" w:hAnsi="SimSun" w:cs="SimSun"/>
          <w:spacing w:val="7"/>
          <w:sz w:val="19"/>
          <w:szCs w:val="19"/>
        </w:rPr>
        <w:t>参考。</w:t>
      </w:r>
    </w:p>
    <w:p>
      <w:pPr>
        <w:spacing w:before="80" w:line="219" w:lineRule="auto"/>
        <w:ind w:left="43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本标准主编单位：中国农业大学</w:t>
      </w:r>
    </w:p>
    <w:p>
      <w:pPr>
        <w:spacing w:before="64" w:line="219" w:lineRule="auto"/>
        <w:ind w:left="43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本标准参编单位：中国水利水电科学研究院</w:t>
      </w:r>
    </w:p>
    <w:p>
      <w:pPr>
        <w:spacing w:before="57" w:line="220" w:lineRule="auto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"/>
          <w:sz w:val="19"/>
          <w:szCs w:val="19"/>
        </w:rPr>
        <w:t>武汉大学</w:t>
      </w:r>
    </w:p>
    <w:p>
      <w:pPr>
        <w:spacing w:before="53" w:line="220" w:lineRule="auto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太原理工大学</w:t>
      </w:r>
    </w:p>
    <w:p>
      <w:pPr>
        <w:spacing w:before="53" w:line="279" w:lineRule="exact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"/>
          <w:position w:val="6"/>
          <w:sz w:val="19"/>
          <w:szCs w:val="19"/>
        </w:rPr>
        <w:t>中国灌溉排水发展中心</w:t>
      </w:r>
    </w:p>
    <w:p>
      <w:pPr>
        <w:spacing w:before="1" w:line="218" w:lineRule="auto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浙江省水利学会</w:t>
      </w:r>
    </w:p>
    <w:p>
      <w:pPr>
        <w:spacing w:before="55" w:line="280" w:lineRule="exact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position w:val="6"/>
          <w:sz w:val="19"/>
          <w:szCs w:val="19"/>
        </w:rPr>
        <w:t>哈尔滨大电机研究所</w:t>
      </w:r>
    </w:p>
    <w:p>
      <w:pPr>
        <w:spacing w:before="1" w:line="219" w:lineRule="auto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"/>
          <w:sz w:val="19"/>
          <w:szCs w:val="19"/>
        </w:rPr>
        <w:t>长江设计集团有限公司</w:t>
      </w:r>
    </w:p>
    <w:p>
      <w:pPr>
        <w:spacing w:before="84" w:line="290" w:lineRule="exact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"/>
          <w:position w:val="7"/>
          <w:sz w:val="19"/>
          <w:szCs w:val="19"/>
        </w:rPr>
        <w:t>浙江省水利水电勘测设计院有限责任公司</w:t>
      </w:r>
    </w:p>
    <w:p>
      <w:pPr>
        <w:spacing w:line="218" w:lineRule="auto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中水北方勘测设计研究有限责任公司</w:t>
      </w:r>
    </w:p>
    <w:p>
      <w:pPr>
        <w:spacing w:before="65" w:line="219" w:lineRule="auto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陕西省水利电力勘测设计研究院</w:t>
      </w:r>
    </w:p>
    <w:p>
      <w:pPr>
        <w:spacing w:before="64" w:line="219" w:lineRule="auto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"/>
          <w:sz w:val="19"/>
          <w:szCs w:val="19"/>
        </w:rPr>
        <w:t>宁夏水利水电勘测设计研究院有限公司</w:t>
      </w:r>
    </w:p>
    <w:p>
      <w:pPr>
        <w:spacing w:before="66" w:line="219" w:lineRule="auto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株洲南方阀门股份有限公司</w:t>
      </w:r>
    </w:p>
    <w:p>
      <w:pPr>
        <w:spacing w:before="65" w:line="290" w:lineRule="exact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3"/>
          <w:position w:val="7"/>
          <w:sz w:val="19"/>
          <w:szCs w:val="19"/>
        </w:rPr>
        <w:t>上海凯泉泵业(集团)有限公司</w:t>
      </w:r>
    </w:p>
    <w:p>
      <w:pPr>
        <w:spacing w:line="219" w:lineRule="auto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利欧集团湖南泵业有限公司</w:t>
      </w:r>
    </w:p>
    <w:p>
      <w:pPr>
        <w:spacing w:before="64" w:line="290" w:lineRule="exact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position w:val="7"/>
          <w:sz w:val="19"/>
          <w:szCs w:val="19"/>
        </w:rPr>
        <w:t>江苏航天水力设备有限公司</w:t>
      </w:r>
    </w:p>
    <w:p>
      <w:pPr>
        <w:spacing w:line="218" w:lineRule="auto"/>
        <w:ind w:left="198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sz w:val="19"/>
          <w:szCs w:val="19"/>
        </w:rPr>
        <w:t>赛莱默(中国)有限公司</w:t>
      </w:r>
    </w:p>
    <w:p>
      <w:pPr>
        <w:spacing w:before="54" w:line="261" w:lineRule="auto"/>
        <w:ind w:left="2144" w:right="929" w:hanging="17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本标准主要起草人：王福军、李小芹、杨开林、蒋 劲、张士杰</w:t>
      </w:r>
      <w:r>
        <w:rPr>
          <w:rFonts w:ascii="SimSun" w:eastAsia="SimSun" w:hAnsi="SimSun" w:cs="SimSun"/>
          <w:sz w:val="19"/>
          <w:szCs w:val="19"/>
        </w:rPr>
        <w:t xml:space="preserve">、谢丽华、汪宝罗、 </w:t>
      </w:r>
      <w:r>
        <w:rPr>
          <w:rFonts w:ascii="SimSun" w:eastAsia="SimSun" w:hAnsi="SimSun" w:cs="SimSun"/>
          <w:spacing w:val="-3"/>
          <w:sz w:val="19"/>
          <w:szCs w:val="19"/>
        </w:rPr>
        <w:t>吴建华、戚兰英、唐学林、李端明、白绵绵、桂绍波、黄从兵、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sz w:val="19"/>
          <w:szCs w:val="19"/>
        </w:rPr>
        <w:t>苏胜利、王腾伟、胡海英、芦洪钟、吴喜东、牛茂升、徐秋红、</w:t>
      </w:r>
    </w:p>
    <w:p>
      <w:pPr>
        <w:spacing w:before="66" w:line="269" w:lineRule="exact"/>
        <w:ind w:left="214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position w:val="5"/>
          <w:sz w:val="19"/>
          <w:szCs w:val="19"/>
        </w:rPr>
        <w:t>李  娜、姚志峰、宋梦斌、李甲振。</w:t>
      </w:r>
    </w:p>
    <w:p>
      <w:pPr>
        <w:spacing w:before="1" w:line="218" w:lineRule="auto"/>
        <w:ind w:left="43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"/>
          <w:sz w:val="19"/>
          <w:szCs w:val="19"/>
        </w:rPr>
        <w:t>本标准主要审查人：乔世珊。</w:t>
      </w:r>
    </w:p>
    <w:p>
      <w:pPr>
        <w:spacing w:line="218" w:lineRule="auto"/>
        <w:rPr>
          <w:rFonts w:ascii="SimSun" w:eastAsia="SimSun" w:hAnsi="SimSun" w:cs="SimSun"/>
          <w:sz w:val="19"/>
          <w:szCs w:val="19"/>
        </w:rPr>
        <w:sectPr>
          <w:headerReference w:type="default" r:id="rId9"/>
          <w:footerReference w:type="default" r:id="rId10"/>
          <w:pgSz w:w="11900" w:h="16840"/>
          <w:pgMar w:top="400" w:right="1785" w:bottom="400" w:left="1785" w:header="0" w:footer="0" w:gutter="0"/>
          <w:pgNumType w:start="4"/>
          <w:cols w:space="708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https://d.book118.com/826123215241010035</w:t>
        </w:r>
      </w:hyperlink>
    </w:p>
    <w:p>
      <w:pPr>
        <w:spacing w:line="16827" w:lineRule="exact"/>
      </w:pPr>
    </w:p>
    <w:sectPr>
      <w:headerReference w:type="default" r:id="rId12"/>
      <w:footerReference w:type="default" r:id="rId13"/>
      <w:pgSz w:w="11900" w:h="16840"/>
      <w:pgMar w:top="1" w:right="0" w:bottom="1" w:left="0" w:header="0" w:footer="0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5"/>
      <w:szCs w:val="2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yperlink" Target="https://d.book118.com/826123215241010035" TargetMode="Externa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2024-01-18T17:27:59Z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2024-01-18T17:28:06Z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65a8ef19f23622001fad7ad0wl</vt:lpwstr>
  </property>
</Properties>
</file>