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氮肥项目创业投资方案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7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_Toc9171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50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_Toc29050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_Toc25584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_Toc25216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_Toc8362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21" w:history="1">
        <w:r>
          <w:rPr>
            <w:rFonts w:ascii="仿宋" w:eastAsia="仿宋" w:hAnsi="仿宋" w:cs="仿宋" w:hint="eastAsia"/>
            <w:lang w:eastAsia="zh-CN"/>
          </w:rPr>
          <w:t>二、氮肥项目概论</w:t>
        </w:r>
        <w:r>
          <w:tab/>
        </w:r>
        <w:r>
          <w:fldChar w:fldCharType="begin"/>
        </w:r>
        <w:r>
          <w:instrText xml:space="preserve"> PAGEREF _Toc22521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6" w:history="1">
        <w:r>
          <w:rPr>
            <w:rFonts w:ascii="仿宋" w:eastAsia="仿宋" w:hAnsi="仿宋" w:cs="仿宋" w:hint="eastAsia"/>
            <w:lang w:eastAsia="zh-CN"/>
          </w:rPr>
          <w:t>(一)、氮肥项目名称</w:t>
        </w:r>
        <w:r>
          <w:tab/>
        </w:r>
        <w:r>
          <w:fldChar w:fldCharType="begin"/>
        </w:r>
        <w:r>
          <w:instrText xml:space="preserve"> PAGEREF _Toc14616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1" w:history="1">
        <w:r>
          <w:rPr>
            <w:rFonts w:ascii="仿宋" w:eastAsia="仿宋" w:hAnsi="仿宋" w:cs="仿宋" w:hint="eastAsia"/>
            <w:lang w:eastAsia="zh-CN"/>
          </w:rPr>
          <w:t>(二)、氮肥项目选址</w:t>
        </w:r>
        <w:r>
          <w:tab/>
        </w:r>
        <w:r>
          <w:fldChar w:fldCharType="begin"/>
        </w:r>
        <w:r>
          <w:instrText xml:space="preserve"> PAGEREF _Toc11081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5" w:history="1">
        <w:r>
          <w:rPr>
            <w:rFonts w:ascii="仿宋" w:eastAsia="仿宋" w:hAnsi="仿宋" w:cs="仿宋" w:hint="eastAsia"/>
            <w:lang w:eastAsia="zh-CN"/>
          </w:rPr>
          <w:t>(三)、氮肥项目用地规模</w:t>
        </w:r>
        <w:r>
          <w:tab/>
        </w:r>
        <w:r>
          <w:fldChar w:fldCharType="begin"/>
        </w:r>
        <w:r>
          <w:instrText xml:space="preserve"> PAGEREF _Toc21495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9" w:history="1">
        <w:r>
          <w:rPr>
            <w:rFonts w:ascii="仿宋" w:eastAsia="仿宋" w:hAnsi="仿宋" w:cs="仿宋" w:hint="eastAsia"/>
            <w:lang w:eastAsia="zh-CN"/>
          </w:rPr>
          <w:t>(四)、氮肥项目用地控制指标</w:t>
        </w:r>
        <w:r>
          <w:tab/>
        </w:r>
        <w:r>
          <w:fldChar w:fldCharType="begin"/>
        </w:r>
        <w:r>
          <w:instrText xml:space="preserve"> PAGEREF _Toc23639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7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_Toc31597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3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_Toc30523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6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_Toc13196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1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_Toc32411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9" w:history="1">
        <w:r>
          <w:rPr>
            <w:rFonts w:ascii="仿宋" w:eastAsia="仿宋" w:hAnsi="仿宋" w:cs="仿宋" w:hint="eastAsia"/>
            <w:lang w:eastAsia="zh-CN"/>
          </w:rPr>
          <w:t>(九)、氮肥项目总投资及资本结构</w:t>
        </w:r>
        <w:r>
          <w:tab/>
        </w:r>
        <w:r>
          <w:fldChar w:fldCharType="begin"/>
        </w:r>
        <w:r>
          <w:instrText xml:space="preserve"> PAGEREF _Toc12249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8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_Toc28048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0" w:history="1">
        <w:r>
          <w:rPr>
            <w:rFonts w:ascii="仿宋" w:eastAsia="仿宋" w:hAnsi="仿宋" w:cs="仿宋" w:hint="eastAsia"/>
            <w:lang w:eastAsia="zh-CN"/>
          </w:rPr>
          <w:t>(十一)、氮肥项目预期经济效益规划目标</w:t>
        </w:r>
        <w:r>
          <w:tab/>
        </w:r>
        <w:r>
          <w:fldChar w:fldCharType="begin"/>
        </w:r>
        <w:r>
          <w:instrText xml:space="preserve"> PAGEREF _Toc26120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5" w:history="1">
        <w:r>
          <w:rPr>
            <w:rFonts w:ascii="仿宋" w:eastAsia="仿宋" w:hAnsi="仿宋" w:cs="仿宋" w:hint="eastAsia"/>
            <w:lang w:eastAsia="zh-CN"/>
          </w:rPr>
          <w:t>(十二)、氮肥项目进度计划</w:t>
        </w:r>
        <w:r>
          <w:tab/>
        </w:r>
        <w:r>
          <w:fldChar w:fldCharType="begin"/>
        </w:r>
        <w:r>
          <w:instrText xml:space="preserve"> PAGEREF _Toc13815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6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_Toc28566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eastAsia="zh-CN"/>
          </w:rPr>
          <w:t>(十四)、氮肥项目评价</w:t>
        </w:r>
        <w:r>
          <w:tab/>
        </w:r>
        <w:r>
          <w:fldChar w:fldCharType="begin"/>
        </w:r>
        <w:r>
          <w:instrText xml:space="preserve"> PAGEREF _Toc1573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三、组织架构与人力资源配置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3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_Toc14673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3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_Toc13763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5" w:history="1">
        <w:r>
          <w:rPr>
            <w:rFonts w:ascii="仿宋" w:eastAsia="仿宋" w:hAnsi="仿宋" w:cs="仿宋" w:hint="eastAsia"/>
            <w:lang w:eastAsia="zh-CN"/>
          </w:rPr>
          <w:t>四、运营模式分析</w:t>
        </w:r>
        <w:r>
          <w:tab/>
        </w:r>
        <w:r>
          <w:fldChar w:fldCharType="begin"/>
        </w:r>
        <w:r>
          <w:instrText xml:space="preserve"> PAGEREF _Toc12335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_Toc15765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_Toc31638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_Toc14951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7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_Toc20777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08" w:history="1">
        <w:r>
          <w:rPr>
            <w:rFonts w:ascii="仿宋" w:eastAsia="仿宋" w:hAnsi="仿宋" w:cs="仿宋" w:hint="eastAsia"/>
            <w:lang w:eastAsia="zh-CN"/>
          </w:rPr>
          <w:t>五、原辅材料供应</w:t>
        </w:r>
        <w:r>
          <w:tab/>
        </w:r>
        <w:r>
          <w:fldChar w:fldCharType="begin"/>
        </w:r>
        <w:r>
          <w:instrText xml:space="preserve"> PAGEREF _Toc6708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7" w:history="1">
        <w:r>
          <w:rPr>
            <w:rFonts w:ascii="仿宋" w:eastAsia="仿宋" w:hAnsi="仿宋" w:cs="仿宋" w:hint="eastAsia"/>
            <w:lang w:eastAsia="zh-CN"/>
          </w:rPr>
          <w:t>(一)、氮肥项目建设期原辅材料供应情况</w:t>
        </w:r>
        <w:r>
          <w:tab/>
        </w:r>
        <w:r>
          <w:fldChar w:fldCharType="begin"/>
        </w:r>
        <w:r>
          <w:instrText xml:space="preserve"> PAGEREF _Toc16977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5" w:history="1">
        <w:r>
          <w:rPr>
            <w:rFonts w:ascii="仿宋" w:eastAsia="仿宋" w:hAnsi="仿宋" w:cs="仿宋" w:hint="eastAsia"/>
            <w:lang w:eastAsia="zh-CN"/>
          </w:rPr>
          <w:t>(二)、氮肥项目运营期原辅材料供应及质量管理</w:t>
        </w:r>
        <w:r>
          <w:tab/>
        </w:r>
        <w:r>
          <w:fldChar w:fldCharType="begin"/>
        </w:r>
        <w:r>
          <w:instrText xml:space="preserve"> PAGEREF _Toc32435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05" w:history="1">
        <w:r>
          <w:rPr>
            <w:rFonts w:ascii="仿宋" w:eastAsia="仿宋" w:hAnsi="仿宋" w:cs="仿宋" w:hint="eastAsia"/>
            <w:lang w:eastAsia="zh-CN"/>
          </w:rPr>
          <w:t>六、员工福利与培训</w:t>
        </w:r>
        <w:r>
          <w:tab/>
        </w:r>
        <w:r>
          <w:fldChar w:fldCharType="begin"/>
        </w:r>
        <w:r>
          <w:instrText xml:space="preserve"> PAGEREF _Toc12305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8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_Toc6748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_Toc2684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5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_Toc28295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3" w:history="1">
        <w:r>
          <w:rPr>
            <w:rFonts w:ascii="仿宋" w:eastAsia="仿宋" w:hAnsi="仿宋" w:cs="仿宋" w:hint="eastAsia"/>
            <w:lang w:eastAsia="zh-CN"/>
          </w:rPr>
          <w:t>七、市场分析</w:t>
        </w:r>
        <w:r>
          <w:tab/>
        </w:r>
        <w:r>
          <w:fldChar w:fldCharType="begin"/>
        </w:r>
        <w:r>
          <w:instrText xml:space="preserve"> PAGEREF _Toc8403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1" w:history="1">
        <w:r>
          <w:rPr>
            <w:rFonts w:ascii="仿宋" w:eastAsia="仿宋" w:hAnsi="仿宋" w:cs="仿宋" w:hint="eastAsia"/>
            <w:lang w:eastAsia="zh-CN"/>
          </w:rPr>
          <w:t>(一)、氮肥行业发展前景</w:t>
        </w:r>
        <w:r>
          <w:tab/>
        </w:r>
        <w:r>
          <w:fldChar w:fldCharType="begin"/>
        </w:r>
        <w:r>
          <w:instrText xml:space="preserve"> PAGEREF _Toc15251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1" w:history="1">
        <w:r>
          <w:rPr>
            <w:rFonts w:ascii="仿宋" w:eastAsia="仿宋" w:hAnsi="仿宋" w:cs="仿宋" w:hint="eastAsia"/>
            <w:lang w:eastAsia="zh-CN"/>
          </w:rPr>
          <w:t>(二)、氮肥产业链分析</w:t>
        </w:r>
        <w:r>
          <w:tab/>
        </w:r>
        <w:r>
          <w:fldChar w:fldCharType="begin"/>
        </w:r>
        <w:r>
          <w:instrText xml:space="preserve"> PAGEREF _Toc12181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0" w:history="1">
        <w:r>
          <w:rPr>
            <w:rFonts w:ascii="仿宋" w:eastAsia="仿宋" w:hAnsi="仿宋" w:cs="仿宋" w:hint="eastAsia"/>
            <w:lang w:eastAsia="zh-CN"/>
          </w:rPr>
          <w:t>(三)、氮肥项目市场营销</w:t>
        </w:r>
        <w:r>
          <w:tab/>
        </w:r>
        <w:r>
          <w:fldChar w:fldCharType="begin"/>
        </w:r>
        <w:r>
          <w:instrText xml:space="preserve"> PAGEREF _Toc15160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" w:history="1">
        <w:r>
          <w:rPr>
            <w:rFonts w:ascii="仿宋" w:eastAsia="仿宋" w:hAnsi="仿宋" w:cs="仿宋" w:hint="eastAsia"/>
            <w:lang w:eastAsia="zh-CN"/>
          </w:rPr>
          <w:t>(四)、氮肥行业发展特点</w:t>
        </w:r>
        <w:r>
          <w:tab/>
        </w:r>
        <w:r>
          <w:fldChar w:fldCharType="begin"/>
        </w:r>
        <w:r>
          <w:instrText xml:space="preserve"> PAGEREF _Toc1030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981" w:history="1">
        <w:r>
          <w:rPr>
            <w:rFonts w:ascii="仿宋" w:eastAsia="仿宋" w:hAnsi="仿宋" w:cs="仿宋" w:hint="eastAsia"/>
            <w:lang w:eastAsia="zh-CN"/>
          </w:rPr>
          <w:t>八、实施计划</w:t>
        </w:r>
        <w:r>
          <w:tab/>
        </w:r>
        <w:r>
          <w:fldChar w:fldCharType="begin"/>
        </w:r>
        <w:r>
          <w:instrText xml:space="preserve"> PAGEREF _Toc15981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_Toc21393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_Toc28374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0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_Toc32430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2" w:history="1">
        <w:r>
          <w:rPr>
            <w:rFonts w:ascii="仿宋" w:eastAsia="仿宋" w:hAnsi="仿宋" w:cs="仿宋" w:hint="eastAsia"/>
            <w:lang w:eastAsia="zh-CN"/>
          </w:rPr>
          <w:t>(五)、氮肥项目实施保障</w:t>
        </w:r>
        <w:r>
          <w:tab/>
        </w:r>
        <w:r>
          <w:fldChar w:fldCharType="begin"/>
        </w:r>
        <w:r>
          <w:instrText xml:space="preserve"> PAGEREF _Toc29022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47" w:history="1">
        <w:r>
          <w:rPr>
            <w:rFonts w:ascii="仿宋" w:eastAsia="仿宋" w:hAnsi="仿宋" w:cs="仿宋" w:hint="eastAsia"/>
            <w:lang w:eastAsia="zh-CN"/>
          </w:rPr>
          <w:t>九、建设规划方案</w:t>
        </w:r>
        <w:r>
          <w:tab/>
        </w:r>
        <w:r>
          <w:fldChar w:fldCharType="begin"/>
        </w:r>
        <w:r>
          <w:instrText xml:space="preserve"> PAGEREF _Toc7447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_Toc3905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_Toc5807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59" w:history="1">
        <w:r>
          <w:rPr>
            <w:rFonts w:ascii="仿宋" w:eastAsia="仿宋" w:hAnsi="仿宋" w:cs="仿宋" w:hint="eastAsia"/>
            <w:lang w:eastAsia="zh-CN"/>
          </w:rPr>
          <w:t>十、氮肥行业行业机遇与挑战</w:t>
        </w:r>
        <w:r>
          <w:tab/>
        </w:r>
        <w:r>
          <w:fldChar w:fldCharType="begin"/>
        </w:r>
        <w:r>
          <w:instrText xml:space="preserve"> PAGEREF _Toc27859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7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_Toc21137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7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_Toc8327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95" w:history="1">
        <w:r>
          <w:rPr>
            <w:rFonts w:ascii="仿宋" w:eastAsia="仿宋" w:hAnsi="仿宋" w:cs="仿宋" w:hint="eastAsia"/>
            <w:lang w:eastAsia="zh-CN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_Toc20995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8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_Toc24748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8" w:history="1">
        <w:r>
          <w:rPr>
            <w:rFonts w:ascii="仿宋" w:eastAsia="仿宋" w:hAnsi="仿宋" w:cs="仿宋" w:hint="eastAsia"/>
            <w:lang w:eastAsia="zh-CN"/>
          </w:rPr>
          <w:t>(二)、知识产权</w:t>
        </w:r>
        <w:r>
          <w:tab/>
        </w:r>
        <w:r>
          <w:fldChar w:fldCharType="begin"/>
        </w:r>
        <w:r>
          <w:instrText xml:space="preserve"> PAGEREF _Toc11208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eastAsia="zh-CN"/>
          </w:rPr>
          <w:t>(三)、税务合规</w:t>
        </w:r>
        <w:r>
          <w:tab/>
        </w:r>
        <w:r>
          <w:fldChar w:fldCharType="begin"/>
        </w:r>
        <w:r>
          <w:instrText xml:space="preserve"> PAGEREF _Toc987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5" w:history="1">
        <w:r>
          <w:rPr>
            <w:rFonts w:ascii="仿宋" w:eastAsia="仿宋" w:hAnsi="仿宋" w:cs="仿宋" w:hint="eastAsia"/>
            <w:lang w:eastAsia="zh-CN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_Toc13145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eastAsia="zh-CN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_Toc4585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0" w:history="1">
        <w:r>
          <w:rPr>
            <w:rFonts w:ascii="仿宋" w:eastAsia="仿宋" w:hAnsi="仿宋" w:cs="仿宋" w:hint="eastAsia"/>
            <w:lang w:eastAsia="zh-CN"/>
          </w:rPr>
          <w:t>十二、氮肥项目规划进度</w:t>
        </w:r>
        <w:r>
          <w:tab/>
        </w:r>
        <w:r>
          <w:fldChar w:fldCharType="begin"/>
        </w:r>
        <w:r>
          <w:instrText xml:space="preserve"> PAGEREF _Toc12940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1" w:history="1">
        <w:r>
          <w:rPr>
            <w:rFonts w:ascii="仿宋" w:eastAsia="仿宋" w:hAnsi="仿宋" w:cs="仿宋" w:hint="eastAsia"/>
            <w:lang w:eastAsia="zh-CN"/>
          </w:rPr>
          <w:t>(一)、氮肥项目进度安排</w:t>
        </w:r>
        <w:r>
          <w:tab/>
        </w:r>
        <w:r>
          <w:fldChar w:fldCharType="begin"/>
        </w:r>
        <w:r>
          <w:instrText xml:space="preserve"> PAGEREF _Toc20831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6" w:history="1">
        <w:r>
          <w:rPr>
            <w:rFonts w:ascii="仿宋" w:eastAsia="仿宋" w:hAnsi="仿宋" w:cs="仿宋" w:hint="eastAsia"/>
            <w:lang w:eastAsia="zh-CN"/>
          </w:rPr>
          <w:t>(二)、氮肥项目实施保障措施</w:t>
        </w:r>
        <w:r>
          <w:tab/>
        </w:r>
        <w:r>
          <w:fldChar w:fldCharType="begin"/>
        </w:r>
        <w:r>
          <w:instrText xml:space="preserve"> PAGEREF _Toc4516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7" w:history="1">
        <w:r>
          <w:rPr>
            <w:rFonts w:ascii="仿宋" w:eastAsia="仿宋" w:hAnsi="仿宋" w:cs="仿宋" w:hint="eastAsia"/>
            <w:lang w:eastAsia="zh-CN"/>
          </w:rPr>
          <w:t>十三、劳动安全生产分析</w:t>
        </w:r>
        <w:r>
          <w:tab/>
        </w:r>
        <w:r>
          <w:fldChar w:fldCharType="begin"/>
        </w:r>
        <w:r>
          <w:instrText xml:space="preserve"> PAGEREF _Toc24007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_Toc26871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1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_Toc30031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8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_Toc4218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21" w:history="1">
        <w:r>
          <w:rPr>
            <w:rFonts w:ascii="仿宋" w:eastAsia="仿宋" w:hAnsi="仿宋" w:cs="仿宋" w:hint="eastAsia"/>
            <w:lang w:eastAsia="zh-CN"/>
          </w:rPr>
          <w:t>十四、信息安全与数据管理方案</w:t>
        </w:r>
        <w:r>
          <w:tab/>
        </w:r>
        <w:r>
          <w:fldChar w:fldCharType="begin"/>
        </w:r>
        <w:r>
          <w:instrText xml:space="preserve"> PAGEREF _Toc24721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2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_Toc9462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4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_Toc11644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0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_Toc30650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1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_Toc32441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8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_Toc17668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85" w:history="1">
        <w:r>
          <w:rPr>
            <w:rFonts w:ascii="仿宋" w:eastAsia="仿宋" w:hAnsi="仿宋" w:cs="仿宋" w:hint="eastAsia"/>
            <w:lang w:eastAsia="zh-CN"/>
          </w:rPr>
          <w:t>十五、氮肥行业背景分析</w:t>
        </w:r>
        <w:r>
          <w:tab/>
        </w:r>
        <w:r>
          <w:fldChar w:fldCharType="begin"/>
        </w:r>
        <w:r>
          <w:instrText xml:space="preserve"> PAGEREF _Toc31485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0" w:history="1">
        <w:r>
          <w:rPr>
            <w:rFonts w:ascii="仿宋" w:eastAsia="仿宋" w:hAnsi="仿宋" w:cs="仿宋" w:hint="eastAsia"/>
            <w:lang w:eastAsia="zh-CN"/>
          </w:rPr>
          <w:t>(一)、氮肥行业创新驱动</w:t>
        </w:r>
        <w:r>
          <w:tab/>
        </w:r>
        <w:r>
          <w:fldChar w:fldCharType="begin"/>
        </w:r>
        <w:r>
          <w:instrText xml:space="preserve"> PAGEREF _Toc11890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" w:history="1">
        <w:r>
          <w:rPr>
            <w:rFonts w:ascii="仿宋" w:eastAsia="仿宋" w:hAnsi="仿宋" w:cs="仿宋" w:hint="eastAsia"/>
            <w:lang w:eastAsia="zh-CN"/>
          </w:rPr>
          <w:t>(二)、氮肥行业发展形势</w:t>
        </w:r>
        <w:r>
          <w:tab/>
        </w:r>
        <w:r>
          <w:fldChar w:fldCharType="begin"/>
        </w:r>
        <w:r>
          <w:instrText xml:space="preserve"> PAGEREF _Toc1063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1" w:history="1">
        <w:r>
          <w:rPr>
            <w:rFonts w:ascii="仿宋" w:eastAsia="仿宋" w:hAnsi="仿宋" w:cs="仿宋" w:hint="eastAsia"/>
            <w:lang w:eastAsia="zh-CN"/>
          </w:rPr>
          <w:t>(三)、氮肥行业特征</w:t>
        </w:r>
        <w:r>
          <w:tab/>
        </w:r>
        <w:r>
          <w:fldChar w:fldCharType="begin"/>
        </w:r>
        <w:r>
          <w:instrText xml:space="preserve"> PAGEREF _Toc8761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5" w:history="1">
        <w:r>
          <w:rPr>
            <w:rFonts w:ascii="仿宋" w:eastAsia="仿宋" w:hAnsi="仿宋" w:cs="仿宋" w:hint="eastAsia"/>
            <w:lang w:eastAsia="zh-CN"/>
          </w:rPr>
          <w:t>(四)、氮肥行业前景</w:t>
        </w:r>
        <w:r>
          <w:tab/>
        </w:r>
        <w:r>
          <w:fldChar w:fldCharType="begin"/>
        </w:r>
        <w:r>
          <w:instrText xml:space="preserve"> PAGEREF _Toc23585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08" w:history="1">
        <w:r>
          <w:rPr>
            <w:rFonts w:ascii="仿宋" w:eastAsia="仿宋" w:hAnsi="仿宋" w:cs="仿宋" w:hint="eastAsia"/>
            <w:lang w:eastAsia="zh-CN"/>
          </w:rPr>
          <w:t>十六、氮肥项目工程方案分析</w:t>
        </w:r>
        <w:r>
          <w:tab/>
        </w:r>
        <w:r>
          <w:fldChar w:fldCharType="begin"/>
        </w:r>
        <w:r>
          <w:instrText xml:space="preserve"> PAGEREF _Toc23808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_Toc19921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_Toc25476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十七、法律合规与安全管理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1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_Toc31351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4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_Toc12684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5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_Toc5685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2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_Toc31282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756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_Toc18756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7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_Toc6177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22" w:history="1">
        <w:r>
          <w:rPr>
            <w:rFonts w:ascii="仿宋" w:eastAsia="仿宋" w:hAnsi="仿宋" w:cs="仿宋" w:hint="eastAsia"/>
            <w:lang w:eastAsia="zh-CN"/>
          </w:rPr>
          <w:t>十八、风险与危机管理</w:t>
        </w:r>
        <w:r>
          <w:tab/>
        </w:r>
        <w:r>
          <w:fldChar w:fldCharType="begin"/>
        </w:r>
        <w:r>
          <w:instrText xml:space="preserve"> PAGEREF _Toc12222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_Toc29431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_Toc1809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4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_Toc32164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8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_Toc23738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01" w:history="1">
        <w:r>
          <w:rPr>
            <w:rFonts w:ascii="仿宋" w:eastAsia="仿宋" w:hAnsi="仿宋" w:cs="仿宋" w:hint="eastAsia"/>
            <w:lang w:eastAsia="zh-CN"/>
          </w:rPr>
          <w:t>十九、职业健康与员工福祉</w:t>
        </w:r>
        <w:r>
          <w:tab/>
        </w:r>
        <w:r>
          <w:fldChar w:fldCharType="begin"/>
        </w:r>
        <w:r>
          <w:instrText xml:space="preserve"> PAGEREF _Toc9401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_Toc21481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7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_Toc19457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6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_Toc16686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3" w:history="1">
        <w:r>
          <w:rPr>
            <w:rFonts w:ascii="仿宋" w:eastAsia="仿宋" w:hAnsi="仿宋" w:cs="仿宋" w:hint="eastAsia"/>
            <w:lang w:eastAsia="zh-CN"/>
          </w:rPr>
          <w:t>二十、社会影响与可持续性报告</w:t>
        </w:r>
        <w:r>
          <w:tab/>
        </w:r>
        <w:r>
          <w:fldChar w:fldCharType="begin"/>
        </w:r>
        <w:r>
          <w:instrText xml:space="preserve"> PAGEREF _Toc15863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7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_Toc5277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8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_Toc17368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9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_Toc3599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4" w:history="1">
        <w:r>
          <w:rPr>
            <w:rFonts w:ascii="仿宋" w:eastAsia="仿宋" w:hAnsi="仿宋" w:cs="仿宋" w:hint="eastAsia"/>
            <w:lang w:eastAsia="zh-CN"/>
          </w:rPr>
          <w:t>二十一、氮肥项目执行与监控</w:t>
        </w:r>
        <w:r>
          <w:tab/>
        </w:r>
        <w:r>
          <w:fldChar w:fldCharType="begin"/>
        </w:r>
        <w:r>
          <w:instrText xml:space="preserve"> PAGEREF _Toc4964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7" w:history="1">
        <w:r>
          <w:rPr>
            <w:rFonts w:ascii="仿宋" w:eastAsia="仿宋" w:hAnsi="仿宋" w:cs="仿宋" w:hint="eastAsia"/>
            <w:lang w:eastAsia="zh-CN"/>
          </w:rPr>
          <w:t>(一)、氮肥项目执行计划</w:t>
        </w:r>
        <w:r>
          <w:tab/>
        </w:r>
        <w:r>
          <w:fldChar w:fldCharType="begin"/>
        </w:r>
        <w:r>
          <w:instrText xml:space="preserve"> PAGEREF _Toc21607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7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_Toc26507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1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_Toc4101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9" w:history="1">
        <w:r>
          <w:rPr>
            <w:rFonts w:ascii="仿宋" w:eastAsia="仿宋" w:hAnsi="仿宋" w:cs="仿宋" w:hint="eastAsia"/>
            <w:lang w:eastAsia="zh-CN"/>
          </w:rPr>
          <w:t>二十二招聘与人才发展</w:t>
        </w:r>
        <w:r>
          <w:tab/>
        </w:r>
        <w:r>
          <w:fldChar w:fldCharType="begin"/>
        </w:r>
        <w:r>
          <w:instrText xml:space="preserve"> PAGEREF _Toc919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6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_Toc27086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7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_Toc7317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3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_Toc7023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6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_Toc17156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9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_Toc25289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17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050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584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https://d.book118.com/826232024133010055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氮肥项目创业投资方案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氮肥项目创业投资方案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氮肥项目创业投资方案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氮肥项目创业投资方案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氮肥项目创业投资方案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0B1998"/>
    <w:rsid w:val="410B199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2623202413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2024-02-23T18:45:00Z</dcterms:created>
  <dcterms:modified xsi:type="dcterms:W3CDTF">2024-02-23T18:46:05Z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052DFF5292134DD2894E12A2ADC8D22B_11</vt:lpwstr>
  </property>
  <property fmtid="{D5CDD505-2E9C-101B-9397-08002B2CF9AE}" pid="3" name="KSOProductBuildVer">
    <vt:lpwstr>2052-12.1.0.16250</vt:lpwstr>
  </property>
</Properties>
</file>