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64"/>
        <w:ind w:left="1130"/>
        <w:rPr>
          <w:rFonts w:ascii="黑体"/>
        </w:rPr>
      </w:pPr>
      <w:r>
        <w:rPr>
          <w:rFonts w:ascii="Times New Roman"/>
          <w:position w:val="2"/>
        </w:rPr>
        <w:t xml:space="preserve">ICS </w:t>
      </w:r>
      <w:r>
        <w:rPr>
          <w:rFonts w:ascii="黑体"/>
        </w:rPr>
        <w:t>11.020</w:t>
      </w:r>
    </w:p>
    <w:p>
      <w:pPr>
        <w:pStyle w:val="BodyText"/>
        <w:spacing w:before="37"/>
        <w:ind w:left="1130"/>
        <w:rPr>
          <w:rFonts w:ascii="黑体"/>
        </w:rPr>
      </w:pPr>
      <w:r>
        <w:rPr>
          <w:rFonts w:ascii="Times New Roman"/>
          <w:position w:val="2"/>
        </w:rPr>
        <w:t xml:space="preserve">CCS </w:t>
      </w:r>
      <w:r>
        <w:rPr>
          <w:rFonts w:ascii="黑体"/>
        </w:rPr>
        <w:t>C51</w:t>
      </w:r>
    </w:p>
    <w:p>
      <w:pPr>
        <w:pStyle w:val="Title"/>
      </w:pPr>
      <w:r>
        <w:drawing>
          <wp:anchor distT="0" distB="0" distL="0" distR="0" simplePos="0" relativeHeight="251658240" behindDoc="0" locked="0" layoutInCell="1" allowOverlap="1">
            <wp:simplePos x="0" y="0"/>
            <wp:positionH relativeFrom="page">
              <wp:posOffset>4078223</wp:posOffset>
            </wp:positionH>
            <wp:positionV relativeFrom="paragraph">
              <wp:posOffset>170478</wp:posOffset>
            </wp:positionV>
            <wp:extent cx="797051" cy="39776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97051" cy="397764"/>
                    </a:xfrm>
                    <a:prstGeom prst="rect">
                      <a:avLst/>
                    </a:prstGeom>
                  </pic:spPr>
                </pic:pic>
              </a:graphicData>
            </a:graphic>
          </wp:anchor>
        </w:drawing>
      </w:r>
      <w:r>
        <w:rPr>
          <w:w w:val="130"/>
        </w:rPr>
        <w:t>4401</w:t>
      </w:r>
    </w:p>
    <w:p>
      <w:pPr>
        <w:pStyle w:val="BodyText"/>
        <w:spacing w:before="2"/>
        <w:rPr>
          <w:rFonts w:ascii="Times New Roman"/>
          <w:b/>
          <w:sz w:val="13"/>
        </w:rPr>
      </w:pPr>
    </w:p>
    <w:p>
      <w:pPr>
        <w:tabs>
          <w:tab w:val="left" w:pos="2589"/>
          <w:tab w:val="left" w:pos="4115"/>
          <w:tab w:val="left" w:pos="5642"/>
          <w:tab w:val="left" w:pos="7168"/>
          <w:tab w:val="left" w:pos="8695"/>
          <w:tab w:val="left" w:pos="10221"/>
        </w:tabs>
        <w:spacing w:before="32"/>
        <w:ind w:left="1063" w:right="0" w:firstLine="0"/>
        <w:jc w:val="left"/>
        <w:rPr>
          <w:rFonts w:ascii="黑体" w:eastAsia="黑体" w:hint="eastAsia"/>
          <w:sz w:val="48"/>
        </w:rPr>
      </w:pPr>
      <w:r>
        <w:rPr>
          <w:rFonts w:ascii="黑体" w:eastAsia="黑体" w:hint="eastAsia"/>
          <w:sz w:val="48"/>
        </w:rPr>
        <w:t>广</w:t>
        <w:tab/>
        <w:t>州</w:t>
        <w:tab/>
        <w:t>市</w:t>
        <w:tab/>
        <w:t>地</w:t>
        <w:tab/>
        <w:t>方</w:t>
        <w:tab/>
        <w:t>标</w:t>
        <w:tab/>
        <w:t>准</w:t>
      </w:r>
    </w:p>
    <w:p>
      <w:pPr>
        <w:spacing w:before="173"/>
        <w:ind w:left="0" w:right="869" w:firstLine="0"/>
        <w:jc w:val="right"/>
        <w:rPr>
          <w:rFonts w:ascii="黑体" w:hAnsi="黑体"/>
          <w:sz w:val="28"/>
        </w:rPr>
      </w:pPr>
      <w:r>
        <w:rPr>
          <w:rFonts w:ascii="黑体" w:hAnsi="黑体"/>
          <w:sz w:val="28"/>
        </w:rPr>
        <w:t>DB4401/T</w:t>
      </w:r>
      <w:r>
        <w:rPr>
          <w:rFonts w:ascii="黑体" w:hAnsi="黑体"/>
          <w:spacing w:val="-5"/>
          <w:sz w:val="28"/>
        </w:rPr>
        <w:t xml:space="preserve"> </w:t>
      </w:r>
      <w:r>
        <w:rPr>
          <w:rFonts w:ascii="黑体" w:hAnsi="黑体"/>
          <w:sz w:val="28"/>
        </w:rPr>
        <w:t>145—2022</w:t>
      </w:r>
    </w:p>
    <w:p>
      <w:pPr>
        <w:pStyle w:val="BodyText"/>
        <w:rPr>
          <w:rFonts w:ascii="黑体"/>
          <w:sz w:val="20"/>
        </w:rPr>
      </w:pPr>
    </w:p>
    <w:p>
      <w:pPr>
        <w:pStyle w:val="BodyText"/>
        <w:spacing w:before="6"/>
        <w:rPr>
          <w:rFonts w:ascii="黑体"/>
          <w:sz w:val="28"/>
        </w:rPr>
      </w:pPr>
      <w:r>
        <w:pict>
          <v:rect id="_x0000_s1025" style="width:481.9pt;height:0.75pt;margin-top:20.19pt;margin-left:70.9pt;mso-position-horizontal-relative:page;mso-wrap-distance-left:0;mso-wrap-distance-right:0;position:absolute;z-index:-251656192" filled="t" fillcolor="black" stroked="f">
            <v:fill type="solid"/>
            <w10:wrap type="topAndBottom"/>
          </v:rect>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3"/>
        <w:rPr>
          <w:rFonts w:ascii="黑体"/>
          <w:sz w:val="28"/>
        </w:rPr>
      </w:pPr>
    </w:p>
    <w:p>
      <w:pPr>
        <w:spacing w:before="1" w:line="252" w:lineRule="auto"/>
        <w:ind w:left="3655" w:right="726" w:hanging="2340"/>
        <w:jc w:val="left"/>
        <w:rPr>
          <w:rFonts w:ascii="黑体" w:eastAsia="黑体" w:hint="eastAsia"/>
          <w:sz w:val="52"/>
        </w:rPr>
      </w:pPr>
      <w:r>
        <w:pict>
          <v:group id="_x0000_s1026" style="width:560pt;height:384pt;margin-top:90.66pt;margin-left:17pt;mso-position-horizontal-relative:page;position:absolute;z-index:251659264" coordorigin="340,1813" coordsize="11200,7680">
            <v:rect id="_x0000_s1027" style="width:9638;height:15;left:1417;position:absolute;top:8119" filled="t" fillcolor="black" stroked="f">
              <v:fill type="solid"/>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11200;height:7680;left:340;position:absolute;top:1813" stroked="f">
              <v:imagedata r:id="rId5" o:title=""/>
            </v:shape>
          </v:group>
        </w:pict>
      </w:r>
      <w:r>
        <w:rPr>
          <w:rFonts w:ascii="黑体" w:eastAsia="黑体" w:hint="eastAsia"/>
          <w:sz w:val="52"/>
        </w:rPr>
        <w:t>医疗机构新冠肺炎放射诊断检查感染控制和放射防护技术规范</w:t>
      </w:r>
    </w:p>
    <w:p>
      <w:pPr>
        <w:pStyle w:val="BodyText"/>
        <w:spacing w:before="10"/>
        <w:rPr>
          <w:rFonts w:ascii="黑体"/>
          <w:sz w:val="25"/>
        </w:rPr>
      </w:pPr>
      <w:r>
        <w:pict>
          <v:group id="_x0000_s1029" style="width:484.5pt;height:373.55pt;margin-top:18.51pt;margin-left:70.8pt;mso-position-horizontal-relative:page;mso-wrap-distance-left:0;mso-wrap-distance-right:0;position:absolute;z-index:-251655168" coordorigin="1416,370" coordsize="9690,7471">
            <v:shapetype id="_x0000_t202" coordsize="21600,21600" o:spt="202" path="m,l,21600r21600,l21600,xe">
              <v:stroke joinstyle="miter"/>
              <v:path gradientshapeok="t" o:connecttype="rect"/>
            </v:shapetype>
            <v:shape id="_x0000_s1030" type="#_x0000_t202" style="width:9298;height:672;left:1612;position:absolute;top:370" filled="f" stroked="f">
              <v:textbox inset="0,0,0,0">
                <w:txbxContent>
                  <w:p>
                    <w:pPr>
                      <w:spacing w:before="0" w:line="311" w:lineRule="exact"/>
                      <w:ind w:left="74" w:right="0" w:firstLine="0"/>
                      <w:jc w:val="left"/>
                      <w:rPr>
                        <w:rFonts w:ascii="Times New Roman"/>
                        <w:sz w:val="28"/>
                      </w:rPr>
                    </w:pPr>
                    <w:r>
                      <w:rPr>
                        <w:rFonts w:ascii="Times New Roman"/>
                        <w:sz w:val="28"/>
                      </w:rPr>
                      <w:t>Technical specifications for infection control and radiological protection of novel</w:t>
                    </w:r>
                  </w:p>
                  <w:p>
                    <w:pPr>
                      <w:spacing w:before="38"/>
                      <w:ind w:left="0" w:right="0" w:firstLine="0"/>
                      <w:jc w:val="left"/>
                      <w:rPr>
                        <w:rFonts w:ascii="Times New Roman"/>
                        <w:sz w:val="28"/>
                      </w:rPr>
                    </w:pPr>
                    <w:r>
                      <w:rPr>
                        <w:rFonts w:ascii="Times New Roman"/>
                        <w:sz w:val="28"/>
                      </w:rPr>
                      <w:t>coronavirus pneumonia radiological diagnostic examination in medical institutions</w:t>
                    </w:r>
                  </w:p>
                </w:txbxContent>
              </v:textbox>
            </v:shape>
            <v:shape id="_x0000_s1031" type="#_x0000_t202" style="width:2053;height:281;left:1416;position:absolute;top:6372"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2022-01-21</w:t>
                    </w:r>
                    <w:r>
                      <w:rPr>
                        <w:rFonts w:ascii="黑体" w:eastAsia="黑体" w:hint="eastAsia"/>
                        <w:spacing w:val="-25"/>
                        <w:sz w:val="28"/>
                      </w:rPr>
                      <w:t xml:space="preserve"> 发布</w:t>
                    </w:r>
                  </w:p>
                </w:txbxContent>
              </v:textbox>
            </v:shape>
            <v:shape id="_x0000_s1032" type="#_x0000_t202" style="width:2053;height:281;left:9052;position:absolute;top:6372"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2022-03-01</w:t>
                    </w:r>
                    <w:r>
                      <w:rPr>
                        <w:rFonts w:ascii="黑体" w:eastAsia="黑体" w:hint="eastAsia"/>
                        <w:spacing w:val="-25"/>
                        <w:sz w:val="28"/>
                      </w:rPr>
                      <w:t xml:space="preserve"> 实施</w:t>
                    </w:r>
                  </w:p>
                </w:txbxContent>
              </v:textbox>
            </v:shape>
            <v:shape id="_x0000_s1033" type="#_x0000_t202" style="width:2821;height:281;left:4048;position:absolute;top:7560"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广州市市场监督管理局</w:t>
                    </w:r>
                  </w:p>
                </w:txbxContent>
              </v:textbox>
            </v:shape>
            <v:shape id="_x0000_s1034" type="#_x0000_t202" style="width:753;height:281;left:7408;position:absolute;top:7560"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发 布</w:t>
                    </w:r>
                  </w:p>
                </w:txbxContent>
              </v:textbox>
            </v:shape>
            <w10:wrap type="topAndBottom"/>
          </v:group>
        </w:pict>
      </w:r>
    </w:p>
    <w:p>
      <w:pPr>
        <w:spacing w:after="0"/>
        <w:rPr>
          <w:rFonts w:ascii="黑体"/>
          <w:sz w:val="25"/>
        </w:rPr>
        <w:sectPr>
          <w:type w:val="continuous"/>
          <w:pgSz w:w="11910" w:h="16840"/>
          <w:pgMar w:top="480" w:right="260" w:bottom="280" w:left="240" w:header="708" w:footer="708"/>
          <w:cols w:space="708"/>
        </w:sect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0"/>
        <w:rPr>
          <w:rFonts w:ascii="黑体"/>
          <w:sz w:val="27"/>
        </w:rPr>
      </w:pPr>
    </w:p>
    <w:p>
      <w:pPr>
        <w:pStyle w:val="BodyText"/>
        <w:ind w:left="2860"/>
        <w:rPr>
          <w:rFonts w:ascii="黑体"/>
          <w:sz w:val="20"/>
        </w:rPr>
      </w:pPr>
      <w:r>
        <w:rPr>
          <w:rFonts w:ascii="黑体"/>
          <w:sz w:val="20"/>
        </w:rPr>
        <w:drawing>
          <wp:inline distT="0" distB="0" distL="0" distR="0">
            <wp:extent cx="4028503" cy="2533650"/>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rFonts w:ascii="黑体"/>
          <w:sz w:val="20"/>
        </w:rPr>
        <w:sectPr>
          <w:pgSz w:w="11910" w:h="16840"/>
          <w:pgMar w:top="1580" w:right="260" w:bottom="280" w:left="240" w:header="708" w:footer="708"/>
          <w:pgNumType w:start="2"/>
          <w:cols w:space="708"/>
        </w:sectPr>
      </w:pPr>
    </w:p>
    <w:p>
      <w:pPr>
        <w:pStyle w:val="BodyText"/>
        <w:spacing w:before="40"/>
        <w:ind w:right="871"/>
        <w:jc w:val="right"/>
        <w:rPr>
          <w:rFonts w:ascii="黑体"/>
        </w:rPr>
      </w:pPr>
      <w:r>
        <w:rPr>
          <w:rFonts w:ascii="黑体"/>
        </w:rPr>
        <w:t>DB4401/T 145-2022</w:t>
      </w:r>
    </w:p>
    <w:p>
      <w:pPr>
        <w:pStyle w:val="BodyText"/>
        <w:rPr>
          <w:rFonts w:ascii="黑体"/>
          <w:sz w:val="20"/>
        </w:rPr>
      </w:pPr>
    </w:p>
    <w:p>
      <w:pPr>
        <w:pStyle w:val="BodyText"/>
        <w:rPr>
          <w:rFonts w:ascii="黑体"/>
          <w:sz w:val="20"/>
        </w:rPr>
      </w:pPr>
    </w:p>
    <w:p>
      <w:pPr>
        <w:pStyle w:val="BodyText"/>
        <w:spacing w:before="7"/>
        <w:rPr>
          <w:rFonts w:ascii="黑体"/>
          <w:sz w:val="20"/>
        </w:rPr>
      </w:pPr>
    </w:p>
    <w:p>
      <w:pPr>
        <w:pStyle w:val="Heading1"/>
        <w:tabs>
          <w:tab w:val="left" w:pos="1263"/>
        </w:tabs>
        <w:spacing w:before="55"/>
        <w:ind w:left="303"/>
      </w:pPr>
      <w:r>
        <w:t>目</w:t>
        <w:tab/>
        <w:t>次</w:t>
      </w:r>
    </w:p>
    <w:p>
      <w:pPr>
        <w:pStyle w:val="BodyText"/>
        <w:tabs>
          <w:tab w:val="left" w:pos="2027"/>
          <w:tab w:val="right" w:leader="dot" w:pos="10522"/>
        </w:tabs>
        <w:spacing w:before="684"/>
        <w:ind w:left="1178"/>
      </w:pPr>
      <w:r>
        <w:t>前</w:t>
        <w:tab/>
        <w:t>言</w:t>
      </w:r>
      <w:r>
        <w:rPr>
          <w:rFonts w:ascii="Times New Roman" w:eastAsia="Times New Roman"/>
        </w:rPr>
        <w:tab/>
      </w:r>
      <w:r>
        <w:t>II</w:t>
      </w:r>
    </w:p>
    <w:p>
      <w:pPr>
        <w:pStyle w:val="ListParagraph"/>
        <w:numPr>
          <w:ilvl w:val="0"/>
          <w:numId w:val="16"/>
        </w:numPr>
        <w:tabs>
          <w:tab w:val="left" w:pos="1388"/>
          <w:tab w:val="right" w:leader="dot" w:pos="10520"/>
        </w:tabs>
        <w:spacing w:before="131" w:after="0" w:line="240" w:lineRule="auto"/>
        <w:ind w:left="1387" w:right="0" w:hanging="210"/>
        <w:jc w:val="left"/>
        <w:rPr>
          <w:sz w:val="21"/>
        </w:rPr>
      </w:pPr>
      <w:r>
        <w:rPr>
          <w:sz w:val="21"/>
        </w:rPr>
        <w:t>范围</w:t>
      </w:r>
      <w:r>
        <w:rPr>
          <w:rFonts w:ascii="Times New Roman" w:eastAsia="Times New Roman"/>
          <w:sz w:val="21"/>
        </w:rPr>
        <w:tab/>
      </w:r>
      <w:r>
        <w:rPr>
          <w:sz w:val="21"/>
        </w:rPr>
        <w:t>1</w:t>
      </w:r>
    </w:p>
    <w:p>
      <w:pPr>
        <w:pStyle w:val="ListParagraph"/>
        <w:numPr>
          <w:ilvl w:val="0"/>
          <w:numId w:val="16"/>
        </w:numPr>
        <w:tabs>
          <w:tab w:val="left" w:pos="1388"/>
          <w:tab w:val="right" w:leader="dot" w:pos="10520"/>
        </w:tabs>
        <w:spacing w:before="130" w:after="0" w:line="240" w:lineRule="auto"/>
        <w:ind w:left="1387" w:right="0" w:hanging="210"/>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16"/>
        </w:numPr>
        <w:tabs>
          <w:tab w:val="left" w:pos="1388"/>
          <w:tab w:val="right" w:leader="dot" w:pos="10520"/>
        </w:tabs>
        <w:spacing w:before="132" w:after="0" w:line="240" w:lineRule="auto"/>
        <w:ind w:left="1387" w:right="0" w:hanging="210"/>
        <w:jc w:val="left"/>
        <w:rPr>
          <w:sz w:val="21"/>
        </w:rPr>
      </w:pPr>
      <w:r>
        <w:rPr>
          <w:sz w:val="21"/>
        </w:rPr>
        <w:t>术语和定义</w:t>
      </w:r>
      <w:r>
        <w:rPr>
          <w:rFonts w:ascii="Times New Roman" w:eastAsia="Times New Roman"/>
          <w:sz w:val="21"/>
        </w:rPr>
        <w:tab/>
      </w:r>
      <w:r>
        <w:rPr>
          <w:sz w:val="21"/>
        </w:rPr>
        <w:t>1</w:t>
      </w:r>
    </w:p>
    <w:p>
      <w:pPr>
        <w:pStyle w:val="ListParagraph"/>
        <w:numPr>
          <w:ilvl w:val="0"/>
          <w:numId w:val="16"/>
        </w:numPr>
        <w:tabs>
          <w:tab w:val="left" w:pos="1388"/>
          <w:tab w:val="right" w:leader="dot" w:pos="10520"/>
        </w:tabs>
        <w:spacing w:before="131" w:after="0" w:line="240" w:lineRule="auto"/>
        <w:ind w:left="1387" w:right="0" w:hanging="210"/>
        <w:jc w:val="left"/>
        <w:rPr>
          <w:sz w:val="21"/>
        </w:rPr>
      </w:pPr>
      <w:r>
        <w:rPr>
          <w:sz w:val="21"/>
        </w:rPr>
        <w:t>总则</w:t>
      </w:r>
      <w:r>
        <w:rPr>
          <w:rFonts w:ascii="Times New Roman" w:eastAsia="Times New Roman"/>
          <w:sz w:val="21"/>
        </w:rPr>
        <w:tab/>
      </w:r>
      <w:r>
        <w:rPr>
          <w:sz w:val="21"/>
        </w:rPr>
        <w:t>2</w:t>
      </w:r>
    </w:p>
    <w:p>
      <w:pPr>
        <w:pStyle w:val="ListParagraph"/>
        <w:numPr>
          <w:ilvl w:val="0"/>
          <w:numId w:val="16"/>
        </w:numPr>
        <w:tabs>
          <w:tab w:val="left" w:pos="1388"/>
          <w:tab w:val="right" w:leader="dot" w:pos="10520"/>
        </w:tabs>
        <w:spacing w:before="130" w:after="0" w:line="240" w:lineRule="auto"/>
        <w:ind w:left="1387" w:right="0" w:hanging="210"/>
        <w:jc w:val="left"/>
        <w:rPr>
          <w:sz w:val="21"/>
        </w:rPr>
      </w:pPr>
      <w:r>
        <w:rPr>
          <w:sz w:val="21"/>
        </w:rPr>
        <w:t>放射诊断场所布局与流程防控</w:t>
      </w:r>
      <w:r>
        <w:rPr>
          <w:rFonts w:ascii="Times New Roman" w:eastAsia="Times New Roman"/>
          <w:sz w:val="21"/>
        </w:rPr>
        <w:tab/>
      </w:r>
      <w:r>
        <w:rPr>
          <w:sz w:val="21"/>
        </w:rPr>
        <w:t>3</w:t>
      </w:r>
    </w:p>
    <w:p>
      <w:pPr>
        <w:pStyle w:val="ListParagraph"/>
        <w:numPr>
          <w:ilvl w:val="0"/>
          <w:numId w:val="16"/>
        </w:numPr>
        <w:tabs>
          <w:tab w:val="left" w:pos="1388"/>
          <w:tab w:val="right" w:leader="dot" w:pos="10520"/>
        </w:tabs>
        <w:spacing w:before="131" w:after="0" w:line="240" w:lineRule="auto"/>
        <w:ind w:left="1387" w:right="0" w:hanging="210"/>
        <w:jc w:val="left"/>
        <w:rPr>
          <w:sz w:val="21"/>
        </w:rPr>
      </w:pPr>
      <w:r>
        <w:rPr>
          <w:sz w:val="21"/>
        </w:rPr>
        <w:t>放射工作人员的院感防控要求</w:t>
      </w:r>
      <w:r>
        <w:rPr>
          <w:rFonts w:ascii="Times New Roman" w:eastAsia="Times New Roman"/>
          <w:sz w:val="21"/>
        </w:rPr>
        <w:tab/>
      </w:r>
      <w:r>
        <w:rPr>
          <w:sz w:val="21"/>
        </w:rPr>
        <w:t>4</w:t>
      </w:r>
    </w:p>
    <w:p>
      <w:pPr>
        <w:pStyle w:val="ListParagraph"/>
        <w:numPr>
          <w:ilvl w:val="0"/>
          <w:numId w:val="16"/>
        </w:numPr>
        <w:tabs>
          <w:tab w:val="left" w:pos="1388"/>
          <w:tab w:val="right" w:leader="dot" w:pos="10520"/>
        </w:tabs>
        <w:spacing w:before="132" w:after="0" w:line="240" w:lineRule="auto"/>
        <w:ind w:left="1387" w:right="0" w:hanging="210"/>
        <w:jc w:val="left"/>
        <w:rPr>
          <w:sz w:val="21"/>
        </w:rPr>
      </w:pPr>
      <w:r>
        <w:rPr>
          <w:sz w:val="21"/>
        </w:rPr>
        <w:t>放射诊断检查场所的消毒</w:t>
      </w:r>
      <w:r>
        <w:rPr>
          <w:rFonts w:ascii="Times New Roman" w:eastAsia="Times New Roman"/>
          <w:sz w:val="21"/>
        </w:rPr>
        <w:tab/>
      </w:r>
      <w:r>
        <w:rPr>
          <w:sz w:val="21"/>
        </w:rPr>
        <w:t>5</w:t>
      </w:r>
    </w:p>
    <w:p>
      <w:pPr>
        <w:pStyle w:val="ListParagraph"/>
        <w:numPr>
          <w:ilvl w:val="0"/>
          <w:numId w:val="16"/>
        </w:numPr>
        <w:tabs>
          <w:tab w:val="left" w:pos="1388"/>
          <w:tab w:val="right" w:leader="dot" w:pos="10520"/>
        </w:tabs>
        <w:spacing w:before="129" w:after="0" w:line="240" w:lineRule="auto"/>
        <w:ind w:left="1387" w:right="0" w:hanging="210"/>
        <w:jc w:val="left"/>
        <w:rPr>
          <w:sz w:val="21"/>
        </w:rPr>
      </w:pPr>
      <w:r>
        <w:rPr>
          <w:sz w:val="21"/>
        </w:rPr>
        <w:t>医疗废物收集处置</w:t>
      </w:r>
      <w:r>
        <w:rPr>
          <w:rFonts w:ascii="Times New Roman" w:eastAsia="Times New Roman"/>
          <w:sz w:val="21"/>
        </w:rPr>
        <w:tab/>
      </w:r>
      <w:r>
        <w:rPr>
          <w:sz w:val="21"/>
        </w:rPr>
        <w:t>6</w:t>
      </w:r>
    </w:p>
    <w:p>
      <w:pPr>
        <w:pStyle w:val="ListParagraph"/>
        <w:numPr>
          <w:ilvl w:val="0"/>
          <w:numId w:val="16"/>
        </w:numPr>
        <w:tabs>
          <w:tab w:val="left" w:pos="1388"/>
          <w:tab w:val="right" w:leader="dot" w:pos="10520"/>
        </w:tabs>
        <w:spacing w:before="132" w:after="0" w:line="240" w:lineRule="auto"/>
        <w:ind w:left="1387" w:right="0" w:hanging="210"/>
        <w:jc w:val="left"/>
        <w:rPr>
          <w:sz w:val="21"/>
        </w:rPr>
      </w:pPr>
      <w:r>
        <w:rPr>
          <w:sz w:val="21"/>
        </w:rPr>
        <w:t>放射诊断中的卫生防护</w:t>
      </w:r>
      <w:r>
        <w:rPr>
          <w:rFonts w:ascii="Times New Roman" w:eastAsia="Times New Roman"/>
          <w:sz w:val="21"/>
        </w:rPr>
        <w:tab/>
      </w:r>
      <w:r>
        <w:rPr>
          <w:sz w:val="21"/>
        </w:rPr>
        <w:t>6</w:t>
      </w:r>
    </w:p>
    <w:p>
      <w:pPr>
        <w:pStyle w:val="ListParagraph"/>
        <w:numPr>
          <w:ilvl w:val="0"/>
          <w:numId w:val="16"/>
        </w:numPr>
        <w:tabs>
          <w:tab w:val="left" w:pos="1493"/>
          <w:tab w:val="right" w:leader="dot" w:pos="10520"/>
        </w:tabs>
        <w:spacing w:before="132" w:after="0" w:line="240" w:lineRule="auto"/>
        <w:ind w:left="1492" w:right="0" w:hanging="315"/>
        <w:jc w:val="left"/>
        <w:rPr>
          <w:sz w:val="21"/>
        </w:rPr>
      </w:pPr>
      <w:r>
        <w:rPr>
          <w:sz w:val="21"/>
        </w:rPr>
        <w:t>放射诊断检查要求</w:t>
      </w:r>
      <w:r>
        <w:rPr>
          <w:rFonts w:ascii="Times New Roman" w:eastAsia="Times New Roman"/>
          <w:sz w:val="21"/>
        </w:rPr>
        <w:tab/>
      </w:r>
      <w:r>
        <w:rPr>
          <w:sz w:val="21"/>
        </w:rPr>
        <w:t>7</w:t>
      </w:r>
    </w:p>
    <w:p>
      <w:pPr>
        <w:pStyle w:val="ListParagraph"/>
        <w:numPr>
          <w:ilvl w:val="0"/>
          <w:numId w:val="16"/>
        </w:numPr>
        <w:tabs>
          <w:tab w:val="left" w:pos="1493"/>
          <w:tab w:val="right" w:leader="dot" w:pos="10520"/>
        </w:tabs>
        <w:spacing w:before="129" w:after="0" w:line="240" w:lineRule="auto"/>
        <w:ind w:left="1492" w:right="0" w:hanging="315"/>
        <w:jc w:val="left"/>
        <w:rPr>
          <w:sz w:val="21"/>
        </w:rPr>
      </w:pPr>
      <w:r>
        <w:drawing>
          <wp:anchor distT="0" distB="0" distL="0" distR="0" simplePos="0" relativeHeight="251662336" behindDoc="0" locked="0" layoutInCell="1" allowOverlap="1">
            <wp:simplePos x="0" y="0"/>
            <wp:positionH relativeFrom="page">
              <wp:posOffset>215900</wp:posOffset>
            </wp:positionH>
            <wp:positionV relativeFrom="paragraph">
              <wp:posOffset>238760</wp:posOffset>
            </wp:positionV>
            <wp:extent cx="7112000" cy="48768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21"/>
        </w:rPr>
        <w:t>放射诊断检查质量控制要求</w:t>
      </w:r>
      <w:r>
        <w:rPr>
          <w:rFonts w:ascii="Times New Roman" w:eastAsia="Times New Roman"/>
          <w:sz w:val="21"/>
        </w:rPr>
        <w:tab/>
      </w:r>
      <w:r>
        <w:rPr>
          <w:sz w:val="21"/>
        </w:rPr>
        <w:t>9</w:t>
      </w:r>
    </w:p>
    <w:p>
      <w:pPr>
        <w:pStyle w:val="BodyText"/>
        <w:rPr>
          <w:sz w:val="8"/>
        </w:rPr>
      </w:pPr>
      <w:r>
        <w:pict>
          <v:group id="_x0000_s1035" style="width:468.25pt;height:362.8pt;margin-top:7.08pt;margin-left:70.92pt;mso-position-horizontal-relative:page;mso-wrap-distance-left:0;mso-wrap-distance-right:0;position:absolute;z-index:-251653120" coordorigin="1418,142" coordsize="9365,7256">
            <v:shape id="_x0000_s1036" type="#_x0000_t202" style="width:9365;height:1432;left:1418;position:absolute;top:141" filled="f" stroked="f">
              <v:textbox inset="0,0,0,0">
                <w:txbxContent>
                  <w:p>
                    <w:pPr>
                      <w:tabs>
                        <w:tab w:val="right" w:leader="dot" w:pos="9344"/>
                      </w:tabs>
                      <w:spacing w:before="0" w:line="260" w:lineRule="exact"/>
                      <w:ind w:left="0" w:right="0" w:firstLine="0"/>
                      <w:jc w:val="left"/>
                      <w:rPr>
                        <w:sz w:val="21"/>
                      </w:rPr>
                    </w:pPr>
                    <w:r>
                      <w:rPr>
                        <w:sz w:val="21"/>
                      </w:rPr>
                      <w:t>附录</w:t>
                    </w:r>
                    <w:r>
                      <w:rPr>
                        <w:spacing w:val="-54"/>
                        <w:sz w:val="21"/>
                      </w:rPr>
                      <w:t xml:space="preserve"> </w:t>
                    </w:r>
                    <w:r>
                      <w:rPr>
                        <w:sz w:val="21"/>
                      </w:rPr>
                      <w:t>A（规范性）CT</w:t>
                    </w:r>
                    <w:r>
                      <w:rPr>
                        <w:spacing w:val="-54"/>
                        <w:sz w:val="21"/>
                      </w:rPr>
                      <w:t xml:space="preserve"> </w:t>
                    </w:r>
                    <w:r>
                      <w:rPr>
                        <w:sz w:val="21"/>
                      </w:rPr>
                      <w:t>扫描方案</w:t>
                    </w:r>
                    <w:r>
                      <w:rPr>
                        <w:rFonts w:ascii="Times New Roman" w:eastAsia="Times New Roman"/>
                        <w:sz w:val="21"/>
                      </w:rPr>
                      <w:tab/>
                    </w:r>
                    <w:r>
                      <w:rPr>
                        <w:sz w:val="21"/>
                      </w:rPr>
                      <w:t>11</w:t>
                    </w:r>
                  </w:p>
                  <w:p>
                    <w:pPr>
                      <w:tabs>
                        <w:tab w:val="right" w:leader="dot" w:pos="9344"/>
                      </w:tabs>
                      <w:spacing w:before="131"/>
                      <w:ind w:left="0" w:right="0" w:firstLine="0"/>
                      <w:jc w:val="left"/>
                      <w:rPr>
                        <w:sz w:val="21"/>
                      </w:rPr>
                    </w:pPr>
                    <w:r>
                      <w:rPr>
                        <w:sz w:val="21"/>
                      </w:rPr>
                      <w:t>附录</w:t>
                    </w:r>
                    <w:r>
                      <w:rPr>
                        <w:spacing w:val="-54"/>
                        <w:sz w:val="21"/>
                      </w:rPr>
                      <w:t xml:space="preserve"> </w:t>
                    </w:r>
                    <w:r>
                      <w:rPr>
                        <w:sz w:val="21"/>
                      </w:rPr>
                      <w:t>B（规范性）数字</w:t>
                    </w:r>
                    <w:r>
                      <w:rPr>
                        <w:spacing w:val="-50"/>
                        <w:sz w:val="21"/>
                      </w:rPr>
                      <w:t xml:space="preserve"> </w:t>
                    </w:r>
                    <w:r>
                      <w:rPr>
                        <w:sz w:val="21"/>
                      </w:rPr>
                      <w:t>X</w:t>
                    </w:r>
                    <w:r>
                      <w:rPr>
                        <w:spacing w:val="-54"/>
                        <w:sz w:val="21"/>
                      </w:rPr>
                      <w:t xml:space="preserve"> </w:t>
                    </w:r>
                    <w:r>
                      <w:rPr>
                        <w:sz w:val="21"/>
                      </w:rPr>
                      <w:t>射线摄影（DR）检查方案</w:t>
                    </w:r>
                    <w:r>
                      <w:rPr>
                        <w:rFonts w:ascii="Times New Roman" w:eastAsia="Times New Roman"/>
                        <w:sz w:val="21"/>
                      </w:rPr>
                      <w:tab/>
                    </w:r>
                    <w:r>
                      <w:rPr>
                        <w:sz w:val="21"/>
                      </w:rPr>
                      <w:t>13</w:t>
                    </w:r>
                  </w:p>
                  <w:p>
                    <w:pPr>
                      <w:tabs>
                        <w:tab w:val="right" w:leader="dot" w:pos="9344"/>
                      </w:tabs>
                      <w:spacing w:before="130"/>
                      <w:ind w:left="0" w:right="0" w:firstLine="0"/>
                      <w:jc w:val="left"/>
                      <w:rPr>
                        <w:sz w:val="21"/>
                      </w:rPr>
                    </w:pPr>
                    <w:r>
                      <w:rPr>
                        <w:sz w:val="21"/>
                      </w:rPr>
                      <w:t>附录</w:t>
                    </w:r>
                    <w:r>
                      <w:rPr>
                        <w:spacing w:val="-54"/>
                        <w:sz w:val="21"/>
                      </w:rPr>
                      <w:t xml:space="preserve"> </w:t>
                    </w:r>
                    <w:r>
                      <w:rPr>
                        <w:sz w:val="21"/>
                      </w:rPr>
                      <w:t>C（规范性）移动床旁</w:t>
                    </w:r>
                    <w:r>
                      <w:rPr>
                        <w:spacing w:val="-50"/>
                        <w:sz w:val="21"/>
                      </w:rPr>
                      <w:t xml:space="preserve"> </w:t>
                    </w:r>
                    <w:r>
                      <w:rPr>
                        <w:sz w:val="21"/>
                      </w:rPr>
                      <w:t>X</w:t>
                    </w:r>
                    <w:r>
                      <w:rPr>
                        <w:spacing w:val="-54"/>
                        <w:sz w:val="21"/>
                      </w:rPr>
                      <w:t xml:space="preserve"> </w:t>
                    </w:r>
                    <w:r>
                      <w:rPr>
                        <w:sz w:val="21"/>
                      </w:rPr>
                      <w:t>射线摄影检查方案</w:t>
                    </w:r>
                    <w:r>
                      <w:rPr>
                        <w:rFonts w:ascii="Times New Roman" w:eastAsia="Times New Roman"/>
                        <w:sz w:val="21"/>
                      </w:rPr>
                      <w:tab/>
                    </w:r>
                    <w:r>
                      <w:rPr>
                        <w:sz w:val="21"/>
                      </w:rPr>
                      <w:t>14</w:t>
                    </w:r>
                  </w:p>
                  <w:p>
                    <w:pPr>
                      <w:tabs>
                        <w:tab w:val="right" w:leader="dot" w:pos="9344"/>
                      </w:tabs>
                      <w:spacing w:before="132" w:line="241" w:lineRule="exact"/>
                      <w:ind w:left="0" w:right="0" w:firstLine="0"/>
                      <w:jc w:val="left"/>
                      <w:rPr>
                        <w:sz w:val="21"/>
                      </w:rPr>
                    </w:pPr>
                    <w:r>
                      <w:rPr>
                        <w:sz w:val="21"/>
                      </w:rPr>
                      <w:t>参考文献</w:t>
                    </w:r>
                    <w:r>
                      <w:rPr>
                        <w:rFonts w:ascii="Times New Roman" w:eastAsia="Times New Roman"/>
                        <w:sz w:val="21"/>
                      </w:rPr>
                      <w:tab/>
                    </w:r>
                    <w:r>
                      <w:rPr>
                        <w:sz w:val="21"/>
                      </w:rPr>
                      <w:t>15</w:t>
                    </w:r>
                  </w:p>
                </w:txbxContent>
              </v:textbox>
            </v:shape>
            <v:shape id="_x0000_s1037" type="#_x0000_t202" style="width:110;height:180;left:10454;position:absolute;top:7217" filled="f" stroked="f">
              <v:textbox inset="0,0,0,0">
                <w:txbxContent>
                  <w:p>
                    <w:pPr>
                      <w:spacing w:before="0" w:line="180" w:lineRule="exact"/>
                      <w:ind w:left="0" w:right="0" w:firstLine="0"/>
                      <w:jc w:val="left"/>
                      <w:rPr>
                        <w:sz w:val="18"/>
                      </w:rPr>
                    </w:pPr>
                    <w:r>
                      <w:rPr>
                        <w:sz w:val="18"/>
                      </w:rPr>
                      <w:t>I</w:t>
                    </w:r>
                  </w:p>
                </w:txbxContent>
              </v:textbox>
            </v:shape>
            <w10:wrap type="topAndBottom"/>
          </v:group>
        </w:pict>
      </w:r>
    </w:p>
    <w:p>
      <w:pPr>
        <w:spacing w:after="0"/>
        <w:rPr>
          <w:sz w:val="8"/>
        </w:rPr>
        <w:sectPr>
          <w:pgSz w:w="11910" w:h="16840"/>
          <w:pgMar w:top="1360" w:right="260" w:bottom="280" w:left="240" w:header="708" w:footer="708"/>
          <w:pgNumType w:start="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bookmarkStart w:id="0" w:name="空白页面"/>
      <w:bookmarkEnd w:id="0"/>
      <w:r>
        <w:rPr>
          <w:sz w:val="20"/>
        </w:rPr>
        <w:drawing>
          <wp:inline distT="0" distB="0" distL="0" distR="0">
            <wp:extent cx="4028503" cy="2533650"/>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4"/>
          <w:cols w:space="708"/>
        </w:sectPr>
      </w:pPr>
    </w:p>
    <w:p>
      <w:pPr>
        <w:pStyle w:val="BodyText"/>
        <w:spacing w:before="50"/>
        <w:ind w:left="892"/>
        <w:rPr>
          <w:rFonts w:ascii="黑体"/>
        </w:rPr>
      </w:pPr>
      <w:r>
        <w:drawing>
          <wp:anchor distT="0" distB="0" distL="0" distR="0" simplePos="0" relativeHeight="251664384"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rPr>
        <w:t>DB4401/T 145-2022</w:t>
      </w:r>
    </w:p>
    <w:p>
      <w:pPr>
        <w:pStyle w:val="BodyText"/>
        <w:rPr>
          <w:rFonts w:ascii="黑体"/>
          <w:sz w:val="20"/>
        </w:rPr>
      </w:pPr>
    </w:p>
    <w:p>
      <w:pPr>
        <w:pStyle w:val="BodyText"/>
        <w:rPr>
          <w:rFonts w:ascii="黑体"/>
          <w:sz w:val="20"/>
        </w:rPr>
      </w:pPr>
    </w:p>
    <w:p>
      <w:pPr>
        <w:pStyle w:val="Heading1"/>
        <w:tabs>
          <w:tab w:val="left" w:pos="1114"/>
        </w:tabs>
        <w:spacing w:before="208"/>
      </w:pPr>
      <w:bookmarkStart w:id="1" w:name="前言"/>
      <w:bookmarkEnd w:id="1"/>
      <w:r>
        <w:t>前</w:t>
        <w:tab/>
        <w:t>言</w:t>
      </w:r>
    </w:p>
    <w:p>
      <w:pPr>
        <w:pStyle w:val="BodyText"/>
        <w:spacing w:before="6"/>
        <w:rPr>
          <w:rFonts w:ascii="黑体"/>
          <w:sz w:val="46"/>
        </w:rPr>
      </w:pPr>
    </w:p>
    <w:p>
      <w:pPr>
        <w:pStyle w:val="BodyText"/>
        <w:spacing w:line="278" w:lineRule="auto"/>
        <w:ind w:left="892" w:right="1158" w:firstLine="420"/>
      </w:pPr>
      <w:r>
        <w:t>本文件按照GB/T 1.1—2020《标准化工作导则 第1部分：标准化文件的结构和起草规则》的规定起草。</w:t>
      </w:r>
    </w:p>
    <w:p>
      <w:pPr>
        <w:pStyle w:val="BodyText"/>
        <w:spacing w:line="269" w:lineRule="exact"/>
        <w:ind w:left="1312"/>
      </w:pPr>
      <w:r>
        <w:t>本文件由广州市卫生健康委员会提出并归口。</w:t>
      </w:r>
    </w:p>
    <w:p>
      <w:pPr>
        <w:pStyle w:val="BodyText"/>
        <w:spacing w:before="43" w:line="278" w:lineRule="auto"/>
        <w:ind w:left="892" w:right="1158" w:firstLine="420"/>
      </w:pPr>
      <w:r>
        <w:rPr>
          <w:spacing w:val="-8"/>
          <w:w w:val="95"/>
        </w:rPr>
        <w:t xml:space="preserve">本文件起草单位：广州市卫生监督所、中山大学附属第三医院、中山大学孙逸仙纪念医院、广州医   </w:t>
      </w:r>
      <w:r>
        <w:rPr>
          <w:spacing w:val="-8"/>
        </w:rPr>
        <w:t>科大学附属市八医院。</w:t>
      </w:r>
    </w:p>
    <w:p>
      <w:pPr>
        <w:pStyle w:val="BodyText"/>
        <w:spacing w:line="278" w:lineRule="auto"/>
        <w:ind w:left="892" w:right="1062" w:firstLine="420"/>
      </w:pPr>
      <w:r>
        <w:rPr>
          <w:spacing w:val="-10"/>
        </w:rPr>
        <w:t>本文件主要起草人：何磅礴、戴蒙、王劲、沈君、陈华丽、陈莎莉、方建国、詹忠、林初茂、张建</w:t>
      </w:r>
      <w:r>
        <w:rPr>
          <w:spacing w:val="-10"/>
          <w:w w:val="95"/>
        </w:rPr>
        <w:t xml:space="preserve">生、陈菲菲、何达秋、王慧、史文琦、覃杰、胡辉军、邓虹、李勇、段小慧、曾伟科、黄秋燕、刘君、   </w:t>
      </w:r>
      <w:r>
        <w:rPr>
          <w:spacing w:val="-10"/>
        </w:rPr>
        <w:t>刘晋新、张烈光、甘清鑫、周惠珍。</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6"/>
        </w:rPr>
      </w:pPr>
      <w:r>
        <w:pict>
          <v:shape id="_x0000_s1038" type="#_x0000_t202" style="width:10.1pt;height:9pt;margin-top:12.61pt;margin-left:515.4pt;mso-position-horizontal-relative:page;mso-wrap-distance-left:0;mso-wrap-distance-right:0;position:absolute;z-index:-251651072" filled="f" stroked="f">
            <v:textbox inset="0,0,0,0">
              <w:txbxContent>
                <w:p>
                  <w:pPr>
                    <w:spacing w:before="0" w:line="180" w:lineRule="exact"/>
                    <w:ind w:left="0" w:right="0" w:firstLine="0"/>
                    <w:jc w:val="left"/>
                    <w:rPr>
                      <w:sz w:val="18"/>
                    </w:rPr>
                  </w:pPr>
                  <w:r>
                    <w:rPr>
                      <w:sz w:val="18"/>
                    </w:rPr>
                    <w:t>II</w:t>
                  </w:r>
                </w:p>
              </w:txbxContent>
            </v:textbox>
            <w10:wrap type="topAndBottom"/>
          </v:shape>
        </w:pict>
      </w:r>
    </w:p>
    <w:p>
      <w:pPr>
        <w:spacing w:after="0"/>
        <w:rPr>
          <w:sz w:val="16"/>
        </w:rPr>
        <w:sectPr>
          <w:pgSz w:w="11910" w:h="16840"/>
          <w:pgMar w:top="1460" w:right="260" w:bottom="280" w:left="240" w:header="708" w:footer="708"/>
          <w:pgNumType w:start="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6"/>
          <w:cols w:space="708"/>
        </w:sectPr>
      </w:pPr>
    </w:p>
    <w:p>
      <w:pPr>
        <w:pStyle w:val="BodyText"/>
        <w:spacing w:before="40"/>
        <w:ind w:right="871"/>
        <w:jc w:val="right"/>
        <w:rPr>
          <w:rFonts w:ascii="黑体"/>
        </w:rPr>
      </w:pPr>
      <w:r>
        <w:rPr>
          <w:rFonts w:ascii="黑体"/>
        </w:rPr>
        <w:t>DB4401/T 145-2022</w:t>
      </w:r>
    </w:p>
    <w:p>
      <w:pPr>
        <w:pStyle w:val="BodyText"/>
        <w:rPr>
          <w:rFonts w:ascii="黑体"/>
          <w:sz w:val="20"/>
        </w:rPr>
      </w:pPr>
    </w:p>
    <w:p>
      <w:pPr>
        <w:pStyle w:val="BodyText"/>
        <w:rPr>
          <w:rFonts w:ascii="黑体"/>
          <w:sz w:val="20"/>
        </w:rPr>
      </w:pPr>
    </w:p>
    <w:p>
      <w:pPr>
        <w:pStyle w:val="BodyText"/>
        <w:spacing w:before="7"/>
        <w:rPr>
          <w:rFonts w:ascii="黑体"/>
          <w:sz w:val="15"/>
        </w:rPr>
      </w:pPr>
    </w:p>
    <w:p>
      <w:pPr>
        <w:pStyle w:val="Heading1"/>
        <w:ind w:left="1535"/>
        <w:jc w:val="left"/>
      </w:pPr>
      <w:r>
        <w:t>医疗机构新冠肺炎放射诊断检查感染控制和放射防护技术规范</w:t>
      </w:r>
    </w:p>
    <w:p>
      <w:pPr>
        <w:pStyle w:val="BodyText"/>
        <w:rPr>
          <w:rFonts w:ascii="黑体"/>
          <w:sz w:val="32"/>
        </w:rPr>
      </w:pPr>
    </w:p>
    <w:p>
      <w:pPr>
        <w:pStyle w:val="ListParagraph"/>
        <w:numPr>
          <w:ilvl w:val="0"/>
          <w:numId w:val="15"/>
        </w:numPr>
        <w:tabs>
          <w:tab w:val="left" w:pos="1493"/>
        </w:tabs>
        <w:spacing w:before="286" w:after="0" w:line="240" w:lineRule="auto"/>
        <w:ind w:left="1492" w:right="0" w:hanging="315"/>
        <w:jc w:val="left"/>
        <w:rPr>
          <w:rFonts w:ascii="黑体" w:eastAsia="黑体" w:hint="eastAsia"/>
          <w:sz w:val="21"/>
        </w:rPr>
      </w:pPr>
      <w:bookmarkStart w:id="2" w:name="1　范围"/>
      <w:bookmarkEnd w:id="2"/>
      <w:r>
        <w:rPr>
          <w:rFonts w:ascii="黑体" w:eastAsia="黑体" w:hint="eastAsia"/>
          <w:sz w:val="21"/>
        </w:rPr>
        <w:t>范围</w:t>
      </w:r>
    </w:p>
    <w:p>
      <w:pPr>
        <w:pStyle w:val="BodyText"/>
        <w:spacing w:before="9"/>
        <w:rPr>
          <w:rFonts w:ascii="黑体"/>
          <w:sz w:val="27"/>
        </w:rPr>
      </w:pPr>
    </w:p>
    <w:p>
      <w:pPr>
        <w:pStyle w:val="BodyText"/>
        <w:spacing w:line="278" w:lineRule="auto"/>
        <w:ind w:left="1178" w:right="766" w:firstLine="420"/>
        <w:jc w:val="both"/>
      </w:pPr>
      <w:r>
        <w:rPr>
          <w:spacing w:val="-3"/>
          <w:w w:val="95"/>
        </w:rPr>
        <w:t>本文件规定了医疗机构新型冠状病毒肺炎</w:t>
      </w:r>
      <w:r>
        <w:rPr>
          <w:w w:val="95"/>
        </w:rPr>
        <w:t>（</w:t>
      </w:r>
      <w:r>
        <w:rPr>
          <w:spacing w:val="-13"/>
          <w:w w:val="95"/>
        </w:rPr>
        <w:t>以下简称“新冠肺炎”</w:t>
      </w:r>
      <w:r>
        <w:rPr>
          <w:spacing w:val="-50"/>
          <w:w w:val="95"/>
        </w:rPr>
        <w:t>）</w:t>
      </w:r>
      <w:r>
        <w:rPr>
          <w:w w:val="95"/>
        </w:rPr>
        <w:t xml:space="preserve">放射诊断场所布局与流程防控、   </w:t>
      </w:r>
      <w:r>
        <w:rPr>
          <w:spacing w:val="-10"/>
          <w:w w:val="95"/>
        </w:rPr>
        <w:t xml:space="preserve">放射工作人员的院感防控要求、放射诊断检查场所的消毒、医疗废物收集处置、放射诊断中的卫生防护、   </w:t>
      </w:r>
      <w:r>
        <w:rPr>
          <w:spacing w:val="-10"/>
        </w:rPr>
        <w:t>放射诊断检查要求和放射诊断检查质量控制要求。</w:t>
      </w:r>
    </w:p>
    <w:p>
      <w:pPr>
        <w:pStyle w:val="BodyText"/>
        <w:spacing w:line="278" w:lineRule="auto"/>
        <w:ind w:left="1178" w:right="872" w:firstLine="420"/>
      </w:pPr>
      <w:r>
        <w:rPr>
          <w:spacing w:val="-3"/>
          <w:w w:val="95"/>
        </w:rPr>
        <w:t xml:space="preserve">本文件适用于广州市新冠肺炎定点收治医疗机构的新冠肺炎放射诊断感染控制和放射防护工作，以   </w:t>
      </w:r>
      <w:r>
        <w:rPr>
          <w:spacing w:val="-3"/>
        </w:rPr>
        <w:t>及医疗机构设置的发热门诊用于新冠肺炎放射诊断筛查工作。</w:t>
      </w:r>
    </w:p>
    <w:p>
      <w:pPr>
        <w:pStyle w:val="BodyText"/>
        <w:spacing w:before="4"/>
        <w:rPr>
          <w:sz w:val="24"/>
        </w:rPr>
      </w:pPr>
    </w:p>
    <w:p>
      <w:pPr>
        <w:pStyle w:val="ListParagraph"/>
        <w:numPr>
          <w:ilvl w:val="0"/>
          <w:numId w:val="15"/>
        </w:numPr>
        <w:tabs>
          <w:tab w:val="left" w:pos="1493"/>
        </w:tabs>
        <w:spacing w:before="0" w:after="0" w:line="240" w:lineRule="auto"/>
        <w:ind w:left="1492" w:right="0" w:hanging="315"/>
        <w:jc w:val="left"/>
        <w:rPr>
          <w:rFonts w:ascii="黑体" w:eastAsia="黑体" w:hint="eastAsia"/>
          <w:sz w:val="21"/>
        </w:rPr>
      </w:pPr>
      <w:bookmarkStart w:id="3" w:name="2　规范性引用文件"/>
      <w:bookmarkEnd w:id="3"/>
      <w:r>
        <w:rPr>
          <w:rFonts w:ascii="黑体" w:eastAsia="黑体" w:hint="eastAsia"/>
          <w:sz w:val="21"/>
        </w:rPr>
        <w:t>规范性引用文件</w:t>
      </w:r>
    </w:p>
    <w:p>
      <w:pPr>
        <w:pStyle w:val="BodyText"/>
        <w:spacing w:before="9"/>
        <w:rPr>
          <w:rFonts w:ascii="黑体"/>
          <w:sz w:val="27"/>
        </w:rPr>
      </w:pPr>
    </w:p>
    <w:p>
      <w:pPr>
        <w:pStyle w:val="BodyText"/>
        <w:spacing w:line="278" w:lineRule="auto"/>
        <w:ind w:left="1178" w:right="767" w:firstLine="420"/>
      </w:pPr>
      <w:r>
        <w:rPr>
          <w:spacing w:val="-7"/>
          <w:w w:val="95"/>
        </w:rPr>
        <w:t xml:space="preserve">下列文件中的内容通过文中的规范性引用而构成本文件必不可少的条款。其中，注日期的引用文件，   </w:t>
      </w:r>
      <w:r>
        <w:rPr>
          <w:spacing w:val="-10"/>
        </w:rPr>
        <w:t>仅该日期对应的版本适用于本文件；不注日期的引用文件，其最新版本</w:t>
      </w:r>
      <w:r>
        <w:t>（包括所有的修改单</w:t>
      </w:r>
      <w:r>
        <w:rPr>
          <w:spacing w:val="-25"/>
        </w:rPr>
        <w:t>）</w:t>
      </w:r>
      <w:r>
        <w:t>适用于本文件。</w:t>
      </w:r>
    </w:p>
    <w:p>
      <w:pPr>
        <w:pStyle w:val="BodyText"/>
        <w:spacing w:line="269" w:lineRule="exact"/>
        <w:ind w:left="1598"/>
      </w:pPr>
      <w:r>
        <w:t>GB 19193-2015 疫源地消毒总则</w:t>
      </w:r>
    </w:p>
    <w:p>
      <w:pPr>
        <w:pStyle w:val="BodyText"/>
        <w:spacing w:before="43"/>
        <w:ind w:left="1598"/>
      </w:pPr>
      <w:r>
        <w:pict>
          <v:group id="_x0000_s1039" style="width:457.3pt;height:370.4pt;margin-top:19.27pt;margin-left:70.92pt;mso-position-horizontal-relative:page;mso-wrap-distance-left:0;mso-wrap-distance-right:0;position:absolute;z-index:-251649024" coordorigin="1418,385" coordsize="9146,7408">
            <v:shape id="_x0000_s1040" type="#_x0000_t202" style="width:7998;height:1145;left:1838;position:absolute;top:385" filled="f" stroked="f">
              <v:textbox inset="0,0,0,0">
                <w:txbxContent>
                  <w:p>
                    <w:pPr>
                      <w:spacing w:before="0" w:line="239" w:lineRule="exact"/>
                      <w:ind w:left="0" w:right="0" w:firstLine="0"/>
                      <w:jc w:val="left"/>
                      <w:rPr>
                        <w:sz w:val="21"/>
                      </w:rPr>
                    </w:pPr>
                    <w:r>
                      <w:rPr>
                        <w:sz w:val="21"/>
                      </w:rPr>
                      <w:t>WS/T 313-2019 医务人员手卫生规范</w:t>
                    </w:r>
                  </w:p>
                  <w:p>
                    <w:pPr>
                      <w:spacing w:before="43" w:line="278" w:lineRule="auto"/>
                      <w:ind w:left="0" w:right="18" w:firstLine="0"/>
                      <w:jc w:val="left"/>
                      <w:rPr>
                        <w:sz w:val="21"/>
                      </w:rPr>
                    </w:pPr>
                    <w:r>
                      <w:rPr>
                        <w:w w:val="95"/>
                        <w:sz w:val="21"/>
                      </w:rPr>
                      <w:t xml:space="preserve">新型冠状病毒肺炎诊疗方案（国务院应对新型冠状病毒肺炎疫情联防联控机制综合组）  </w:t>
                    </w:r>
                    <w:r>
                      <w:rPr>
                        <w:sz w:val="21"/>
                      </w:rPr>
                      <w:t>新型冠状病毒肺炎防控方案（国家卫生健康委员会）</w:t>
                    </w:r>
                  </w:p>
                  <w:p>
                    <w:pPr>
                      <w:spacing w:before="0" w:line="239" w:lineRule="exact"/>
                      <w:ind w:left="0" w:right="0" w:firstLine="0"/>
                      <w:jc w:val="left"/>
                      <w:rPr>
                        <w:sz w:val="21"/>
                      </w:rPr>
                    </w:pPr>
                    <w:r>
                      <w:rPr>
                        <w:sz w:val="21"/>
                      </w:rPr>
                      <w:t>放射诊疗管理规定（国家卫生和计划生育委员会令第8号修订）</w:t>
                    </w:r>
                  </w:p>
                </w:txbxContent>
              </v:textbox>
            </v:shape>
            <v:shape id="_x0000_s1041" type="#_x0000_t202" style="width:1384;height:209;left:1418;position:absolute;top:1945" filled="f" stroked="f">
              <v:textbox inset="0,0,0,0">
                <w:txbxContent>
                  <w:p>
                    <w:pPr>
                      <w:spacing w:before="0" w:line="209" w:lineRule="exact"/>
                      <w:ind w:left="0" w:right="0" w:firstLine="0"/>
                      <w:jc w:val="left"/>
                      <w:rPr>
                        <w:rFonts w:ascii="黑体" w:eastAsia="黑体" w:hint="eastAsia"/>
                        <w:sz w:val="21"/>
                      </w:rPr>
                    </w:pPr>
                    <w:r>
                      <w:rPr>
                        <w:rFonts w:ascii="黑体" w:eastAsia="黑体" w:hint="eastAsia"/>
                        <w:sz w:val="21"/>
                      </w:rPr>
                      <w:t>3 术语和定义</w:t>
                    </w:r>
                  </w:p>
                </w:txbxContent>
              </v:textbox>
            </v:shape>
            <v:shape id="_x0000_s1042" type="#_x0000_t202" style="width:2958;height:209;left:1838;position:absolute;top:2569" filled="f" stroked="f">
              <v:textbox inset="0,0,0,0">
                <w:txbxContent>
                  <w:p>
                    <w:pPr>
                      <w:spacing w:before="0" w:line="209" w:lineRule="exact"/>
                      <w:ind w:left="0" w:right="0" w:firstLine="0"/>
                      <w:jc w:val="left"/>
                      <w:rPr>
                        <w:sz w:val="21"/>
                      </w:rPr>
                    </w:pPr>
                    <w:r>
                      <w:rPr>
                        <w:sz w:val="21"/>
                      </w:rPr>
                      <w:t>下列术语和定义适用于本文件。</w:t>
                    </w:r>
                  </w:p>
                </w:txbxContent>
              </v:textbox>
            </v:shape>
            <v:shape id="_x0000_s1043" type="#_x0000_t202" style="width:336;height:209;left:1418;position:absolute;top:2881" filled="f" stroked="f">
              <v:textbox inset="0,0,0,0">
                <w:txbxContent>
                  <w:p>
                    <w:pPr>
                      <w:spacing w:before="0" w:line="209" w:lineRule="exact"/>
                      <w:ind w:left="0" w:right="0" w:firstLine="0"/>
                      <w:jc w:val="left"/>
                      <w:rPr>
                        <w:rFonts w:ascii="黑体"/>
                        <w:sz w:val="21"/>
                      </w:rPr>
                    </w:pPr>
                    <w:r>
                      <w:rPr>
                        <w:rFonts w:ascii="黑体"/>
                        <w:sz w:val="21"/>
                      </w:rPr>
                      <w:t>3.1</w:t>
                    </w:r>
                  </w:p>
                </w:txbxContent>
              </v:textbox>
            </v:shape>
            <v:shape id="_x0000_s1044" type="#_x0000_t202" style="width:7895;height:521;left:1838;position:absolute;top:3193" filled="f" stroked="f">
              <v:textbox inset="0,0,0,0">
                <w:txbxContent>
                  <w:p>
                    <w:pPr>
                      <w:spacing w:before="0" w:line="239" w:lineRule="exact"/>
                      <w:ind w:left="0" w:right="0" w:firstLine="0"/>
                      <w:jc w:val="left"/>
                      <w:rPr>
                        <w:rFonts w:ascii="黑体" w:eastAsia="黑体" w:hint="eastAsia"/>
                        <w:sz w:val="21"/>
                      </w:rPr>
                    </w:pPr>
                    <w:r>
                      <w:rPr>
                        <w:rFonts w:ascii="黑体" w:eastAsia="黑体" w:hint="eastAsia"/>
                        <w:sz w:val="21"/>
                      </w:rPr>
                      <w:t>新型冠状病毒肺炎（novel coronavirus pneumonia）</w:t>
                    </w:r>
                  </w:p>
                  <w:p>
                    <w:pPr>
                      <w:spacing w:before="43" w:line="239" w:lineRule="exact"/>
                      <w:ind w:left="0" w:right="0" w:firstLine="0"/>
                      <w:jc w:val="left"/>
                      <w:rPr>
                        <w:sz w:val="21"/>
                      </w:rPr>
                    </w:pPr>
                    <w:r>
                      <w:rPr>
                        <w:sz w:val="21"/>
                      </w:rPr>
                      <w:t>2019新型冠状病毒（2019-nCoV）感染导致的肺炎,简称“新冠肺炎”，英文简称NCP。</w:t>
                    </w:r>
                  </w:p>
                </w:txbxContent>
              </v:textbox>
            </v:shape>
            <v:shape id="_x0000_s1045" type="#_x0000_t202" style="width:336;height:209;left:1418;position:absolute;top:3817" filled="f" stroked="f">
              <v:textbox inset="0,0,0,0">
                <w:txbxContent>
                  <w:p>
                    <w:pPr>
                      <w:spacing w:before="0" w:line="209" w:lineRule="exact"/>
                      <w:ind w:left="0" w:right="0" w:firstLine="0"/>
                      <w:jc w:val="left"/>
                      <w:rPr>
                        <w:rFonts w:ascii="黑体"/>
                        <w:sz w:val="21"/>
                      </w:rPr>
                    </w:pPr>
                    <w:r>
                      <w:rPr>
                        <w:rFonts w:ascii="黑体"/>
                        <w:sz w:val="21"/>
                      </w:rPr>
                      <w:t>3.2</w:t>
                    </w:r>
                  </w:p>
                </w:txbxContent>
              </v:textbox>
            </v:shape>
            <v:shape id="_x0000_s1046" type="#_x0000_t202" style="width:6949;height:521;left:1838;position:absolute;top:4129" filled="f" stroked="f">
              <v:textbox inset="0,0,0,0">
                <w:txbxContent>
                  <w:p>
                    <w:pPr>
                      <w:spacing w:before="0" w:line="239" w:lineRule="exact"/>
                      <w:ind w:left="0" w:right="0" w:firstLine="0"/>
                      <w:jc w:val="left"/>
                      <w:rPr>
                        <w:rFonts w:ascii="黑体" w:eastAsia="黑体" w:hint="eastAsia"/>
                        <w:sz w:val="21"/>
                      </w:rPr>
                    </w:pPr>
                    <w:r>
                      <w:rPr>
                        <w:rFonts w:ascii="黑体" w:eastAsia="黑体" w:hint="eastAsia"/>
                        <w:sz w:val="21"/>
                      </w:rPr>
                      <w:t>定点收治医疗机构（designated medical institution）</w:t>
                    </w:r>
                  </w:p>
                  <w:p>
                    <w:pPr>
                      <w:spacing w:before="43" w:line="239" w:lineRule="exact"/>
                      <w:ind w:left="0" w:right="0" w:firstLine="0"/>
                      <w:jc w:val="left"/>
                      <w:rPr>
                        <w:sz w:val="21"/>
                      </w:rPr>
                    </w:pPr>
                    <w:r>
                      <w:rPr>
                        <w:sz w:val="21"/>
                      </w:rPr>
                      <w:t>由国家或当地人民政府指定的定点收治新型冠状病毒感染病例的医疗机构。</w:t>
                    </w:r>
                  </w:p>
                </w:txbxContent>
              </v:textbox>
            </v:shape>
            <v:shape id="_x0000_s1047" type="#_x0000_t202" style="width:336;height:209;left:1418;position:absolute;top:4753" filled="f" stroked="f">
              <v:textbox inset="0,0,0,0">
                <w:txbxContent>
                  <w:p>
                    <w:pPr>
                      <w:spacing w:before="0" w:line="209" w:lineRule="exact"/>
                      <w:ind w:left="0" w:right="0" w:firstLine="0"/>
                      <w:jc w:val="left"/>
                      <w:rPr>
                        <w:rFonts w:ascii="黑体"/>
                        <w:sz w:val="21"/>
                      </w:rPr>
                    </w:pPr>
                    <w:r>
                      <w:rPr>
                        <w:rFonts w:ascii="黑体"/>
                        <w:sz w:val="21"/>
                      </w:rPr>
                      <w:t>3.3</w:t>
                    </w:r>
                  </w:p>
                </w:txbxContent>
              </v:textbox>
            </v:shape>
            <v:shape id="_x0000_s1048" type="#_x0000_t202" style="width:4218;height:521;left:1838;position:absolute;top:5065" filled="f" stroked="f">
              <v:textbox inset="0,0,0,0">
                <w:txbxContent>
                  <w:p>
                    <w:pPr>
                      <w:spacing w:before="0" w:line="239" w:lineRule="exact"/>
                      <w:ind w:left="0" w:right="0" w:firstLine="0"/>
                      <w:jc w:val="left"/>
                      <w:rPr>
                        <w:rFonts w:ascii="黑体" w:eastAsia="黑体" w:hint="eastAsia"/>
                        <w:sz w:val="21"/>
                      </w:rPr>
                    </w:pPr>
                    <w:r>
                      <w:rPr>
                        <w:rFonts w:ascii="黑体" w:eastAsia="黑体" w:hint="eastAsia"/>
                        <w:spacing w:val="-18"/>
                        <w:sz w:val="21"/>
                      </w:rPr>
                      <w:t xml:space="preserve">专用 </w:t>
                    </w:r>
                    <w:r>
                      <w:rPr>
                        <w:rFonts w:ascii="黑体" w:eastAsia="黑体" w:hint="eastAsia"/>
                        <w:sz w:val="21"/>
                      </w:rPr>
                      <w:t>CT</w:t>
                    </w:r>
                    <w:r>
                      <w:rPr>
                        <w:rFonts w:ascii="黑体" w:eastAsia="黑体" w:hint="eastAsia"/>
                        <w:spacing w:val="-18"/>
                        <w:sz w:val="21"/>
                      </w:rPr>
                      <w:t xml:space="preserve"> 机房</w:t>
                    </w:r>
                    <w:r>
                      <w:rPr>
                        <w:rFonts w:ascii="黑体" w:eastAsia="黑体" w:hint="eastAsia"/>
                        <w:sz w:val="21"/>
                      </w:rPr>
                      <w:t>（dedicated</w:t>
                    </w:r>
                    <w:r>
                      <w:rPr>
                        <w:rFonts w:ascii="黑体" w:eastAsia="黑体" w:hint="eastAsia"/>
                        <w:spacing w:val="-2"/>
                        <w:sz w:val="21"/>
                      </w:rPr>
                      <w:t xml:space="preserve"> </w:t>
                    </w:r>
                    <w:r>
                      <w:rPr>
                        <w:rFonts w:ascii="黑体" w:eastAsia="黑体" w:hint="eastAsia"/>
                        <w:sz w:val="21"/>
                      </w:rPr>
                      <w:t>CT</w:t>
                    </w:r>
                    <w:r>
                      <w:rPr>
                        <w:rFonts w:ascii="黑体" w:eastAsia="黑体" w:hint="eastAsia"/>
                        <w:spacing w:val="-3"/>
                        <w:sz w:val="21"/>
                      </w:rPr>
                      <w:t xml:space="preserve"> </w:t>
                    </w:r>
                    <w:r>
                      <w:rPr>
                        <w:rFonts w:ascii="黑体" w:eastAsia="黑体" w:hint="eastAsia"/>
                        <w:sz w:val="21"/>
                      </w:rPr>
                      <w:t>machine</w:t>
                    </w:r>
                    <w:r>
                      <w:rPr>
                        <w:rFonts w:ascii="黑体" w:eastAsia="黑体" w:hint="eastAsia"/>
                        <w:spacing w:val="-3"/>
                        <w:sz w:val="21"/>
                      </w:rPr>
                      <w:t xml:space="preserve"> </w:t>
                    </w:r>
                    <w:r>
                      <w:rPr>
                        <w:rFonts w:ascii="黑体" w:eastAsia="黑体" w:hint="eastAsia"/>
                        <w:sz w:val="21"/>
                      </w:rPr>
                      <w:t>room）</w:t>
                    </w:r>
                  </w:p>
                  <w:p>
                    <w:pPr>
                      <w:spacing w:before="43" w:line="239" w:lineRule="exact"/>
                      <w:ind w:left="0" w:right="0" w:firstLine="0"/>
                      <w:jc w:val="left"/>
                      <w:rPr>
                        <w:sz w:val="21"/>
                      </w:rPr>
                    </w:pPr>
                    <w:r>
                      <w:rPr>
                        <w:w w:val="95"/>
                        <w:sz w:val="21"/>
                      </w:rPr>
                      <w:t>专用于检查新型冠状病毒感染病例的CT机房。</w:t>
                    </w:r>
                  </w:p>
                </w:txbxContent>
              </v:textbox>
            </v:shape>
            <v:shape id="_x0000_s1049" type="#_x0000_t202" style="width:336;height:209;left:1418;position:absolute;top:5689" filled="f" stroked="f">
              <v:textbox inset="0,0,0,0">
                <w:txbxContent>
                  <w:p>
                    <w:pPr>
                      <w:spacing w:before="0" w:line="209" w:lineRule="exact"/>
                      <w:ind w:left="0" w:right="0" w:firstLine="0"/>
                      <w:jc w:val="left"/>
                      <w:rPr>
                        <w:rFonts w:ascii="黑体"/>
                        <w:sz w:val="21"/>
                      </w:rPr>
                    </w:pPr>
                    <w:r>
                      <w:rPr>
                        <w:rFonts w:ascii="黑体"/>
                        <w:sz w:val="21"/>
                      </w:rPr>
                      <w:t>3.4</w:t>
                    </w:r>
                  </w:p>
                </w:txbxContent>
              </v:textbox>
            </v:shape>
            <v:shape id="_x0000_s1050" type="#_x0000_t202" style="width:6949;height:521;left:1838;position:absolute;top:6001" filled="f" stroked="f">
              <v:textbox inset="0,0,0,0">
                <w:txbxContent>
                  <w:p>
                    <w:pPr>
                      <w:spacing w:before="0" w:line="239" w:lineRule="exact"/>
                      <w:ind w:left="0" w:right="0" w:firstLine="0"/>
                      <w:jc w:val="left"/>
                      <w:rPr>
                        <w:rFonts w:ascii="黑体" w:eastAsia="黑体" w:hint="eastAsia"/>
                        <w:sz w:val="21"/>
                      </w:rPr>
                    </w:pPr>
                    <w:r>
                      <w:rPr>
                        <w:rFonts w:ascii="黑体" w:eastAsia="黑体" w:hint="eastAsia"/>
                        <w:sz w:val="21"/>
                      </w:rPr>
                      <w:t>方舱 CT（fangcang shelter CT）</w:t>
                    </w:r>
                  </w:p>
                  <w:p>
                    <w:pPr>
                      <w:spacing w:before="43" w:line="239" w:lineRule="exact"/>
                      <w:ind w:left="0" w:right="0" w:firstLine="0"/>
                      <w:jc w:val="left"/>
                      <w:rPr>
                        <w:sz w:val="21"/>
                      </w:rPr>
                    </w:pPr>
                    <w:r>
                      <w:rPr>
                        <w:sz w:val="21"/>
                      </w:rPr>
                      <w:t>在医学应急或其他紧急情况下，安装在临时屏蔽设施中的医用CT扫描装置。</w:t>
                    </w:r>
                  </w:p>
                </w:txbxContent>
              </v:textbox>
            </v:shape>
            <v:shape id="_x0000_s1051" type="#_x0000_t202" style="width:336;height:209;left:1418;position:absolute;top:6625" filled="f" stroked="f">
              <v:textbox inset="0,0,0,0">
                <w:txbxContent>
                  <w:p>
                    <w:pPr>
                      <w:spacing w:before="0" w:line="209" w:lineRule="exact"/>
                      <w:ind w:left="0" w:right="0" w:firstLine="0"/>
                      <w:jc w:val="left"/>
                      <w:rPr>
                        <w:rFonts w:ascii="黑体"/>
                        <w:sz w:val="21"/>
                      </w:rPr>
                    </w:pPr>
                    <w:r>
                      <w:rPr>
                        <w:rFonts w:ascii="黑体"/>
                        <w:sz w:val="21"/>
                      </w:rPr>
                      <w:t>3.5</w:t>
                    </w:r>
                  </w:p>
                </w:txbxContent>
              </v:textbox>
            </v:shape>
            <v:shape id="_x0000_s1052" type="#_x0000_t202" style="width:2959;height:521;left:1838;position:absolute;top:6937" filled="f" stroked="f">
              <v:textbox inset="0,0,0,0">
                <w:txbxContent>
                  <w:p>
                    <w:pPr>
                      <w:spacing w:before="0" w:line="239" w:lineRule="exact"/>
                      <w:ind w:left="0" w:right="0" w:firstLine="0"/>
                      <w:jc w:val="left"/>
                      <w:rPr>
                        <w:rFonts w:ascii="黑体" w:eastAsia="黑体" w:hint="eastAsia"/>
                        <w:sz w:val="21"/>
                      </w:rPr>
                    </w:pPr>
                    <w:r>
                      <w:rPr>
                        <w:rFonts w:ascii="黑体" w:eastAsia="黑体" w:hint="eastAsia"/>
                        <w:sz w:val="21"/>
                      </w:rPr>
                      <w:t>发热患者(patient with fever)</w:t>
                    </w:r>
                  </w:p>
                  <w:p>
                    <w:pPr>
                      <w:spacing w:before="43" w:line="239" w:lineRule="exact"/>
                      <w:ind w:left="0" w:right="0" w:firstLine="0"/>
                      <w:jc w:val="left"/>
                      <w:rPr>
                        <w:sz w:val="21"/>
                      </w:rPr>
                    </w:pPr>
                    <w:r>
                      <w:rPr>
                        <w:sz w:val="21"/>
                      </w:rPr>
                      <w:t>体温≥37.3℃的患者。</w:t>
                    </w:r>
                  </w:p>
                </w:txbxContent>
              </v:textbox>
            </v:shape>
            <v:shape id="_x0000_s1053" type="#_x0000_t202" style="width:110;height:180;left:10454;position:absolute;top:7612" filled="f" stroked="f">
              <v:textbox inset="0,0,0,0">
                <w:txbxContent>
                  <w:p>
                    <w:pPr>
                      <w:spacing w:before="0" w:line="180" w:lineRule="exact"/>
                      <w:ind w:left="0" w:right="0" w:firstLine="0"/>
                      <w:jc w:val="left"/>
                      <w:rPr>
                        <w:sz w:val="18"/>
                      </w:rPr>
                    </w:pPr>
                    <w:r>
                      <w:rPr>
                        <w:sz w:val="18"/>
                      </w:rPr>
                      <w:t>1</w:t>
                    </w:r>
                  </w:p>
                </w:txbxContent>
              </v:textbox>
            </v:shape>
            <w10:wrap type="topAndBottom"/>
          </v:group>
        </w:pict>
      </w:r>
      <w:r>
        <w:drawing>
          <wp:anchor distT="0" distB="0" distL="0" distR="0" simplePos="0" relativeHeight="251666432" behindDoc="0" locked="0" layoutInCell="1" allowOverlap="1">
            <wp:simplePos x="0" y="0"/>
            <wp:positionH relativeFrom="page">
              <wp:posOffset>215900</wp:posOffset>
            </wp:positionH>
            <wp:positionV relativeFrom="paragraph">
              <wp:posOffset>237489</wp:posOffset>
            </wp:positionV>
            <wp:extent cx="7112000" cy="487680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GBZ 130（所有部分） 放射诊断放射防护要求</w:t>
      </w:r>
    </w:p>
    <w:p>
      <w:pPr>
        <w:spacing w:after="0"/>
        <w:sectPr>
          <w:pgSz w:w="11910" w:h="16840"/>
          <w:pgMar w:top="1360" w:right="260" w:bottom="280" w:left="240" w:header="708" w:footer="708"/>
          <w:pgNumType w:start="7"/>
          <w:cols w:space="708"/>
        </w:sectPr>
      </w:pPr>
    </w:p>
    <w:p>
      <w:pPr>
        <w:pStyle w:val="BodyText"/>
        <w:spacing w:before="50"/>
        <w:ind w:left="892"/>
        <w:rPr>
          <w:rFonts w:ascii="黑体"/>
        </w:rPr>
      </w:pPr>
      <w:r>
        <w:rPr>
          <w:rFonts w:ascii="黑体"/>
        </w:rPr>
        <w:t>DB4401/T 145-2022</w:t>
      </w:r>
    </w:p>
    <w:p>
      <w:pPr>
        <w:pStyle w:val="BodyText"/>
        <w:rPr>
          <w:rFonts w:ascii="黑体"/>
          <w:sz w:val="20"/>
        </w:rPr>
      </w:pPr>
    </w:p>
    <w:p>
      <w:pPr>
        <w:pStyle w:val="BodyText"/>
        <w:rPr>
          <w:rFonts w:ascii="黑体"/>
          <w:sz w:val="24"/>
        </w:rPr>
      </w:pPr>
    </w:p>
    <w:p>
      <w:pPr>
        <w:pStyle w:val="BodyText"/>
        <w:spacing w:before="70"/>
        <w:ind w:left="892"/>
        <w:rPr>
          <w:rFonts w:ascii="黑体"/>
        </w:rPr>
      </w:pPr>
      <w:r>
        <w:rPr>
          <w:rFonts w:ascii="黑体"/>
        </w:rPr>
        <w:t>3.6</w:t>
      </w:r>
    </w:p>
    <w:p>
      <w:pPr>
        <w:pStyle w:val="BodyText"/>
        <w:spacing w:before="43"/>
        <w:ind w:left="1312"/>
        <w:rPr>
          <w:rFonts w:ascii="黑体" w:eastAsia="黑体" w:hint="eastAsia"/>
        </w:rPr>
      </w:pPr>
      <w:r>
        <w:rPr>
          <w:rFonts w:ascii="黑体" w:eastAsia="黑体" w:hint="eastAsia"/>
        </w:rPr>
        <w:t>疑似病例(suspected case)</w:t>
      </w:r>
    </w:p>
    <w:p>
      <w:pPr>
        <w:pStyle w:val="BodyText"/>
        <w:spacing w:before="43"/>
        <w:ind w:left="1312"/>
      </w:pPr>
      <w:r>
        <w:t>流行病学史和临床表现符合《新型冠状病毒肺炎诊疗方案》疑似病例诊断标准的患者。</w:t>
      </w:r>
    </w:p>
    <w:p>
      <w:pPr>
        <w:pStyle w:val="BodyText"/>
        <w:spacing w:before="43"/>
        <w:ind w:left="892"/>
        <w:rPr>
          <w:rFonts w:ascii="黑体"/>
        </w:rPr>
      </w:pPr>
      <w:r>
        <w:rPr>
          <w:rFonts w:ascii="黑体"/>
        </w:rPr>
        <w:t>3.7</w:t>
      </w:r>
    </w:p>
    <w:p>
      <w:pPr>
        <w:pStyle w:val="BodyText"/>
        <w:spacing w:before="43"/>
        <w:ind w:left="1312"/>
        <w:rPr>
          <w:rFonts w:ascii="黑体" w:eastAsia="黑体" w:hint="eastAsia"/>
        </w:rPr>
      </w:pPr>
      <w:r>
        <w:rPr>
          <w:rFonts w:ascii="黑体" w:eastAsia="黑体" w:hint="eastAsia"/>
        </w:rPr>
        <w:t>确诊病例(confirmed case)</w:t>
      </w:r>
    </w:p>
    <w:p>
      <w:pPr>
        <w:pStyle w:val="BodyText"/>
        <w:spacing w:before="43"/>
        <w:ind w:left="1312"/>
      </w:pPr>
      <w:r>
        <w:t>流行病学史、临床表现、实验室检查结果符合《新型冠状病毒肺炎诊疗方案》确诊病例诊断标准的</w:t>
      </w:r>
    </w:p>
    <w:p>
      <w:pPr>
        <w:pStyle w:val="BodyText"/>
        <w:spacing w:before="43"/>
        <w:ind w:left="892"/>
      </w:pPr>
      <w:r>
        <w:t>患者。</w:t>
      </w:r>
    </w:p>
    <w:p>
      <w:pPr>
        <w:pStyle w:val="BodyText"/>
        <w:spacing w:before="42"/>
        <w:ind w:left="892"/>
        <w:rPr>
          <w:rFonts w:ascii="黑体"/>
        </w:rPr>
      </w:pPr>
      <w:r>
        <w:rPr>
          <w:rFonts w:ascii="黑体"/>
        </w:rPr>
        <w:t>3.8</w:t>
      </w:r>
    </w:p>
    <w:p>
      <w:pPr>
        <w:pStyle w:val="BodyText"/>
        <w:spacing w:before="43"/>
        <w:ind w:left="1312"/>
        <w:rPr>
          <w:rFonts w:ascii="黑体" w:eastAsia="黑体" w:hint="eastAsia"/>
        </w:rPr>
      </w:pPr>
      <w:r>
        <w:rPr>
          <w:rFonts w:ascii="黑体" w:eastAsia="黑体" w:hint="eastAsia"/>
        </w:rPr>
        <w:t>污染区(contaminated area)</w:t>
      </w:r>
    </w:p>
    <w:p>
      <w:pPr>
        <w:pStyle w:val="BodyText"/>
        <w:spacing w:before="43" w:line="278" w:lineRule="auto"/>
        <w:ind w:left="892" w:right="1158" w:firstLine="420"/>
      </w:pPr>
      <w:r>
        <w:t>新型冠状病毒感染者发病前2天或无症状感染者采样前2天至被隔离前的活动区域及被隔离期间的隔离场所及专用检查区域。</w:t>
      </w:r>
    </w:p>
    <w:p>
      <w:pPr>
        <w:pStyle w:val="BodyText"/>
        <w:spacing w:line="269" w:lineRule="exact"/>
        <w:ind w:left="892"/>
        <w:rPr>
          <w:rFonts w:ascii="黑体"/>
        </w:rPr>
      </w:pPr>
      <w:r>
        <w:rPr>
          <w:rFonts w:ascii="黑体"/>
        </w:rPr>
        <w:t>3.9</w:t>
      </w:r>
    </w:p>
    <w:p>
      <w:pPr>
        <w:pStyle w:val="BodyText"/>
        <w:spacing w:before="43"/>
        <w:ind w:left="1312"/>
        <w:rPr>
          <w:rFonts w:ascii="黑体" w:eastAsia="黑体" w:hint="eastAsia"/>
        </w:rPr>
      </w:pPr>
      <w:r>
        <w:rPr>
          <w:rFonts w:ascii="黑体" w:eastAsia="黑体" w:hint="eastAsia"/>
        </w:rPr>
        <w:t>半污染区(semi-contaminated area)</w:t>
      </w:r>
    </w:p>
    <w:p>
      <w:pPr>
        <w:pStyle w:val="BodyText"/>
        <w:spacing w:before="43"/>
        <w:ind w:left="1312"/>
      </w:pPr>
      <w:r>
        <w:t>工作人员由清洁区进出到污染区而设定的必经缓冲通道或区域。</w:t>
      </w:r>
    </w:p>
    <w:p>
      <w:pPr>
        <w:pStyle w:val="BodyText"/>
        <w:spacing w:before="43"/>
        <w:ind w:left="892"/>
        <w:rPr>
          <w:rFonts w:ascii="黑体"/>
        </w:rPr>
      </w:pPr>
      <w:r>
        <w:rPr>
          <w:rFonts w:ascii="黑体"/>
        </w:rPr>
        <w:t>3.10</w:t>
      </w:r>
    </w:p>
    <w:p>
      <w:pPr>
        <w:pStyle w:val="BodyText"/>
        <w:spacing w:before="43"/>
        <w:ind w:left="1312"/>
        <w:rPr>
          <w:rFonts w:ascii="黑体" w:eastAsia="黑体" w:hint="eastAsia"/>
        </w:rPr>
      </w:pPr>
      <w:r>
        <w:rPr>
          <w:rFonts w:ascii="黑体" w:eastAsia="黑体" w:hint="eastAsia"/>
        </w:rPr>
        <w:t>清洁区(uncontaminated area)</w:t>
      </w:r>
    </w:p>
    <w:p>
      <w:pPr>
        <w:pStyle w:val="BodyText"/>
        <w:spacing w:before="43"/>
        <w:ind w:left="1312"/>
      </w:pPr>
      <w:r>
        <w:t>未与新型冠状病毒感染者发生过接触的清洁区域。</w:t>
      </w:r>
    </w:p>
    <w:p>
      <w:pPr>
        <w:pStyle w:val="BodyText"/>
        <w:spacing w:before="43"/>
        <w:ind w:left="892"/>
        <w:rPr>
          <w:rFonts w:ascii="黑体"/>
        </w:rPr>
      </w:pPr>
      <w:r>
        <w:rPr>
          <w:rFonts w:ascii="黑体"/>
        </w:rPr>
        <w:t>3.11</w:t>
      </w:r>
    </w:p>
    <w:p>
      <w:pPr>
        <w:pStyle w:val="BodyText"/>
        <w:spacing w:before="43"/>
        <w:ind w:left="1312"/>
        <w:rPr>
          <w:rFonts w:ascii="黑体" w:eastAsia="黑体" w:hint="eastAsia"/>
        </w:rPr>
      </w:pPr>
      <w:r>
        <w:pict>
          <v:group id="_x0000_s1054" style="width:468.8pt;height:364.4pt;margin-top:18.52pt;margin-left:56.64pt;mso-position-horizontal-relative:page;mso-wrap-distance-left:0;mso-wrap-distance-right:0;position:absolute;z-index:-251646976" coordorigin="1133,370" coordsize="9376,7288">
            <v:shape id="_x0000_s1055" type="#_x0000_t202" style="width:9049;height:4577;left:1132;position:absolute;top:370" filled="f" stroked="f">
              <v:textbox inset="0,0,0,0">
                <w:txbxContent>
                  <w:p>
                    <w:pPr>
                      <w:spacing w:before="0" w:line="239" w:lineRule="exact"/>
                      <w:ind w:left="420" w:right="0" w:firstLine="0"/>
                      <w:jc w:val="left"/>
                      <w:rPr>
                        <w:sz w:val="21"/>
                      </w:rPr>
                    </w:pPr>
                    <w:r>
                      <w:rPr>
                        <w:sz w:val="21"/>
                      </w:rPr>
                      <w:t>操作影像检查设备的医学影像技术人员。</w:t>
                    </w:r>
                  </w:p>
                  <w:p>
                    <w:pPr>
                      <w:spacing w:before="43"/>
                      <w:ind w:left="0" w:right="0" w:firstLine="0"/>
                      <w:jc w:val="left"/>
                      <w:rPr>
                        <w:rFonts w:ascii="黑体"/>
                        <w:sz w:val="21"/>
                      </w:rPr>
                    </w:pPr>
                    <w:r>
                      <w:rPr>
                        <w:rFonts w:ascii="黑体"/>
                        <w:sz w:val="21"/>
                      </w:rPr>
                      <w:t>3.12</w:t>
                    </w:r>
                  </w:p>
                  <w:p>
                    <w:pPr>
                      <w:spacing w:before="43"/>
                      <w:ind w:left="420" w:right="0" w:firstLine="0"/>
                      <w:jc w:val="left"/>
                      <w:rPr>
                        <w:rFonts w:ascii="黑体" w:eastAsia="黑体" w:hint="eastAsia"/>
                        <w:sz w:val="21"/>
                      </w:rPr>
                    </w:pPr>
                    <w:r>
                      <w:rPr>
                        <w:rFonts w:ascii="黑体" w:eastAsia="黑体" w:hint="eastAsia"/>
                        <w:sz w:val="21"/>
                      </w:rPr>
                      <w:t>摆位技师(set-up technician)</w:t>
                    </w:r>
                  </w:p>
                  <w:p>
                    <w:pPr>
                      <w:spacing w:before="43"/>
                      <w:ind w:left="420" w:right="0" w:firstLine="0"/>
                      <w:jc w:val="left"/>
                      <w:rPr>
                        <w:sz w:val="21"/>
                      </w:rPr>
                    </w:pPr>
                    <w:r>
                      <w:rPr>
                        <w:sz w:val="21"/>
                      </w:rPr>
                      <w:t>在扫描机房内操作检查设备并从事医学影像检查时协助受检者体位摆放的医学影像技术人员。</w:t>
                    </w:r>
                  </w:p>
                  <w:p>
                    <w:pPr>
                      <w:spacing w:before="42"/>
                      <w:ind w:left="0" w:right="0" w:firstLine="0"/>
                      <w:jc w:val="left"/>
                      <w:rPr>
                        <w:rFonts w:ascii="黑体"/>
                        <w:sz w:val="21"/>
                      </w:rPr>
                    </w:pPr>
                    <w:r>
                      <w:rPr>
                        <w:rFonts w:ascii="黑体"/>
                        <w:sz w:val="21"/>
                      </w:rPr>
                      <w:t>3.13</w:t>
                    </w:r>
                  </w:p>
                  <w:p>
                    <w:pPr>
                      <w:spacing w:before="43"/>
                      <w:ind w:left="420" w:right="0" w:firstLine="0"/>
                      <w:jc w:val="left"/>
                      <w:rPr>
                        <w:rFonts w:ascii="黑体" w:eastAsia="黑体" w:hint="eastAsia"/>
                        <w:sz w:val="21"/>
                      </w:rPr>
                    </w:pPr>
                    <w:r>
                      <w:rPr>
                        <w:rFonts w:ascii="黑体" w:eastAsia="黑体" w:hint="eastAsia"/>
                        <w:sz w:val="21"/>
                      </w:rPr>
                      <w:t>手卫生(hand hygiene)</w:t>
                    </w:r>
                  </w:p>
                  <w:p>
                    <w:pPr>
                      <w:spacing w:before="43" w:line="278" w:lineRule="auto"/>
                      <w:ind w:left="420" w:right="1489" w:firstLine="0"/>
                      <w:jc w:val="left"/>
                      <w:rPr>
                        <w:sz w:val="21"/>
                      </w:rPr>
                    </w:pPr>
                    <w:r>
                      <w:rPr>
                        <w:w w:val="95"/>
                        <w:sz w:val="21"/>
                      </w:rPr>
                      <w:t xml:space="preserve">为医务人员在从事职业活动过程中的洗手、卫生手消毒和外科手消毒的总称。   </w:t>
                    </w:r>
                    <w:r>
                      <w:rPr>
                        <w:sz w:val="21"/>
                      </w:rPr>
                      <w:t>[来源：WS/T</w:t>
                    </w:r>
                    <w:r>
                      <w:rPr>
                        <w:spacing w:val="-2"/>
                        <w:sz w:val="21"/>
                      </w:rPr>
                      <w:t xml:space="preserve"> </w:t>
                    </w:r>
                    <w:r>
                      <w:rPr>
                        <w:sz w:val="21"/>
                      </w:rPr>
                      <w:t>313-2019，3.1]</w:t>
                    </w:r>
                  </w:p>
                  <w:p>
                    <w:pPr>
                      <w:spacing w:before="0" w:line="269" w:lineRule="exact"/>
                      <w:ind w:left="0" w:right="0" w:firstLine="0"/>
                      <w:jc w:val="left"/>
                      <w:rPr>
                        <w:rFonts w:ascii="黑体"/>
                        <w:sz w:val="21"/>
                      </w:rPr>
                    </w:pPr>
                    <w:r>
                      <w:rPr>
                        <w:rFonts w:ascii="黑体"/>
                        <w:sz w:val="21"/>
                      </w:rPr>
                      <w:t>3.14</w:t>
                    </w:r>
                  </w:p>
                  <w:p>
                    <w:pPr>
                      <w:spacing w:before="43"/>
                      <w:ind w:left="420" w:right="0" w:firstLine="0"/>
                      <w:jc w:val="left"/>
                      <w:rPr>
                        <w:rFonts w:ascii="黑体" w:eastAsia="黑体" w:hint="eastAsia"/>
                        <w:sz w:val="21"/>
                      </w:rPr>
                    </w:pPr>
                    <w:r>
                      <w:rPr>
                        <w:rFonts w:ascii="黑体" w:eastAsia="黑体" w:hint="eastAsia"/>
                        <w:sz w:val="21"/>
                      </w:rPr>
                      <w:t>空气消毒(air sterilization)</w:t>
                    </w:r>
                  </w:p>
                  <w:p>
                    <w:pPr>
                      <w:spacing w:before="43"/>
                      <w:ind w:left="420" w:right="0" w:firstLine="0"/>
                      <w:jc w:val="left"/>
                      <w:rPr>
                        <w:sz w:val="21"/>
                      </w:rPr>
                    </w:pPr>
                    <w:r>
                      <w:rPr>
                        <w:sz w:val="21"/>
                      </w:rPr>
                      <w:t>采用物理或化学的方法，杀灭或清除特定环境空气中病原微生物，使其达到无害化要求。</w:t>
                    </w:r>
                  </w:p>
                  <w:p>
                    <w:pPr>
                      <w:spacing w:before="43"/>
                      <w:ind w:left="0" w:right="0" w:firstLine="0"/>
                      <w:jc w:val="left"/>
                      <w:rPr>
                        <w:rFonts w:ascii="黑体"/>
                        <w:sz w:val="21"/>
                      </w:rPr>
                    </w:pPr>
                    <w:r>
                      <w:rPr>
                        <w:rFonts w:ascii="黑体"/>
                        <w:sz w:val="21"/>
                      </w:rPr>
                      <w:t>3.15</w:t>
                    </w:r>
                  </w:p>
                  <w:p>
                    <w:pPr>
                      <w:spacing w:before="43"/>
                      <w:ind w:left="420" w:right="0" w:firstLine="0"/>
                      <w:jc w:val="left"/>
                      <w:rPr>
                        <w:rFonts w:ascii="黑体" w:eastAsia="黑体" w:hint="eastAsia"/>
                        <w:sz w:val="21"/>
                      </w:rPr>
                    </w:pPr>
                    <w:r>
                      <w:rPr>
                        <w:rFonts w:ascii="黑体" w:eastAsia="黑体" w:hint="eastAsia"/>
                        <w:sz w:val="21"/>
                      </w:rPr>
                      <w:t>终末消毒(terminal sterilization)</w:t>
                    </w:r>
                  </w:p>
                  <w:p>
                    <w:pPr>
                      <w:spacing w:before="0" w:line="310" w:lineRule="atLeast"/>
                      <w:ind w:left="420" w:right="3589" w:firstLine="0"/>
                      <w:jc w:val="left"/>
                      <w:rPr>
                        <w:sz w:val="21"/>
                      </w:rPr>
                    </w:pPr>
                    <w:r>
                      <w:rPr>
                        <w:w w:val="95"/>
                        <w:sz w:val="21"/>
                      </w:rPr>
                      <w:t xml:space="preserve">传染源离开疫源地后，对疫源地进行的一次彻底消毒。  </w:t>
                    </w:r>
                    <w:r>
                      <w:rPr>
                        <w:sz w:val="21"/>
                      </w:rPr>
                      <w:t>[来源：GB19193-2015，3.4]</w:t>
                    </w:r>
                  </w:p>
                </w:txbxContent>
              </v:textbox>
            </v:shape>
            <v:shape id="_x0000_s1056" type="#_x0000_t202" style="width:755;height:209;left:1132;position:absolute;top:5362" filled="f" stroked="f">
              <v:textbox inset="0,0,0,0">
                <w:txbxContent>
                  <w:p>
                    <w:pPr>
                      <w:spacing w:before="0" w:line="209" w:lineRule="exact"/>
                      <w:ind w:left="0" w:right="0" w:firstLine="0"/>
                      <w:jc w:val="left"/>
                      <w:rPr>
                        <w:rFonts w:ascii="黑体" w:eastAsia="黑体" w:hint="eastAsia"/>
                        <w:sz w:val="21"/>
                      </w:rPr>
                    </w:pPr>
                    <w:r>
                      <w:rPr>
                        <w:rFonts w:ascii="黑体" w:eastAsia="黑体" w:hint="eastAsia"/>
                        <w:sz w:val="21"/>
                      </w:rPr>
                      <w:t>4 总 则</w:t>
                    </w:r>
                  </w:p>
                </w:txbxContent>
              </v:textbox>
            </v:shape>
            <v:shape id="_x0000_s1057" type="#_x0000_t202" style="width:9376;height:1672;left:1132;position:absolute;top:5986" filled="f" stroked="f">
              <v:textbox inset="0,0,0,0">
                <w:txbxContent>
                  <w:p>
                    <w:pPr>
                      <w:numPr>
                        <w:ilvl w:val="1"/>
                        <w:numId w:val="14"/>
                      </w:numPr>
                      <w:tabs>
                        <w:tab w:val="left" w:pos="526"/>
                      </w:tabs>
                      <w:spacing w:before="0" w:line="239" w:lineRule="exact"/>
                      <w:ind w:left="525" w:right="0" w:hanging="526"/>
                      <w:jc w:val="both"/>
                      <w:rPr>
                        <w:rFonts w:ascii="黑体" w:eastAsia="黑体" w:hint="eastAsia"/>
                        <w:sz w:val="21"/>
                      </w:rPr>
                    </w:pPr>
                    <w:bookmarkStart w:id="4" w:name="4.1　感染防控要求"/>
                    <w:bookmarkEnd w:id="4"/>
                    <w:r>
                      <w:rPr>
                        <w:rFonts w:ascii="黑体" w:eastAsia="黑体" w:hint="eastAsia"/>
                        <w:sz w:val="21"/>
                      </w:rPr>
                      <w:t>感染防控要求</w:t>
                    </w:r>
                  </w:p>
                  <w:p>
                    <w:pPr>
                      <w:spacing w:before="6" w:line="240" w:lineRule="auto"/>
                      <w:rPr>
                        <w:rFonts w:ascii="黑体"/>
                        <w:sz w:val="15"/>
                      </w:rPr>
                    </w:pPr>
                  </w:p>
                  <w:p>
                    <w:pPr>
                      <w:numPr>
                        <w:ilvl w:val="2"/>
                        <w:numId w:val="14"/>
                      </w:numPr>
                      <w:tabs>
                        <w:tab w:val="left" w:pos="737"/>
                      </w:tabs>
                      <w:spacing w:before="0" w:line="278" w:lineRule="auto"/>
                      <w:ind w:left="0" w:right="18" w:firstLine="0"/>
                      <w:jc w:val="both"/>
                      <w:rPr>
                        <w:sz w:val="21"/>
                      </w:rPr>
                    </w:pPr>
                    <w:r>
                      <w:rPr>
                        <w:sz w:val="21"/>
                      </w:rPr>
                      <w:t>新冠肺炎定点收治医疗机构和设置发热门诊医疗机构的放射诊断场所是新冠肺炎感染防控的重</w:t>
                    </w:r>
                    <w:r>
                      <w:rPr>
                        <w:spacing w:val="-8"/>
                        <w:w w:val="95"/>
                        <w:sz w:val="21"/>
                      </w:rPr>
                      <w:t xml:space="preserve">点场所，其功能分区和流线组织应符合院内感染控制的要求，做到建筑布局合理、区域划分明确、标示   </w:t>
                    </w:r>
                    <w:r>
                      <w:rPr>
                        <w:spacing w:val="-8"/>
                        <w:sz w:val="21"/>
                      </w:rPr>
                      <w:t>清楚。</w:t>
                    </w:r>
                  </w:p>
                  <w:p>
                    <w:pPr>
                      <w:spacing w:before="92" w:line="205" w:lineRule="exact"/>
                      <w:ind w:left="0" w:right="19" w:firstLine="0"/>
                      <w:jc w:val="right"/>
                      <w:rPr>
                        <w:sz w:val="18"/>
                      </w:rPr>
                    </w:pPr>
                    <w:r>
                      <w:rPr>
                        <w:sz w:val="18"/>
                      </w:rPr>
                      <w:t>2</w:t>
                    </w:r>
                  </w:p>
                </w:txbxContent>
              </v:textbox>
            </v:shape>
            <w10:wrap type="topAndBottom"/>
          </v:group>
        </w:pict>
      </w:r>
      <w:r>
        <w:drawing>
          <wp:anchor distT="0" distB="0" distL="0" distR="0" simplePos="0" relativeHeight="251668480" behindDoc="0" locked="0" layoutInCell="1" allowOverlap="1">
            <wp:simplePos x="0" y="0"/>
            <wp:positionH relativeFrom="page">
              <wp:posOffset>215900</wp:posOffset>
            </wp:positionH>
            <wp:positionV relativeFrom="paragraph">
              <wp:posOffset>161289</wp:posOffset>
            </wp:positionV>
            <wp:extent cx="7112000" cy="487680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rPr>
        <w:t>操作技师(operation technician)</w:t>
      </w:r>
    </w:p>
    <w:p>
      <w:pPr>
        <w:spacing w:after="0"/>
        <w:rPr>
          <w:rFonts w:ascii="黑体" w:eastAsia="黑体" w:hint="eastAsia"/>
        </w:rPr>
        <w:sectPr>
          <w:pgSz w:w="11910" w:h="16840"/>
          <w:pgMar w:top="1460" w:right="260" w:bottom="280" w:left="240" w:header="708" w:footer="708"/>
          <w:pgNumType w:start="8"/>
          <w:cols w:space="708"/>
        </w:sectPr>
      </w:pPr>
    </w:p>
    <w:p>
      <w:pPr>
        <w:pStyle w:val="BodyText"/>
        <w:spacing w:before="40"/>
        <w:ind w:right="871"/>
        <w:jc w:val="right"/>
        <w:rPr>
          <w:rFonts w:ascii="黑体"/>
        </w:rPr>
      </w:pPr>
      <w:r>
        <w:rPr>
          <w:rFonts w:ascii="黑体"/>
        </w:rPr>
        <w:t>DB4401/T 145-2022</w:t>
      </w:r>
    </w:p>
    <w:p>
      <w:pPr>
        <w:pStyle w:val="BodyText"/>
        <w:rPr>
          <w:rFonts w:ascii="黑体"/>
          <w:sz w:val="20"/>
        </w:rPr>
      </w:pPr>
    </w:p>
    <w:p>
      <w:pPr>
        <w:pStyle w:val="BodyText"/>
        <w:rPr>
          <w:rFonts w:ascii="黑体"/>
          <w:sz w:val="20"/>
        </w:rPr>
      </w:pPr>
    </w:p>
    <w:p>
      <w:pPr>
        <w:pStyle w:val="BodyText"/>
        <w:rPr>
          <w:rFonts w:ascii="黑体"/>
          <w:sz w:val="18"/>
        </w:rPr>
      </w:pPr>
    </w:p>
    <w:p>
      <w:pPr>
        <w:pStyle w:val="ListParagraph"/>
        <w:numPr>
          <w:ilvl w:val="2"/>
          <w:numId w:val="17"/>
        </w:numPr>
        <w:tabs>
          <w:tab w:val="left" w:pos="1913"/>
        </w:tabs>
        <w:spacing w:before="1" w:after="0" w:line="278" w:lineRule="auto"/>
        <w:ind w:left="1178" w:right="663" w:firstLine="0"/>
        <w:jc w:val="left"/>
        <w:rPr>
          <w:sz w:val="21"/>
        </w:rPr>
      </w:pPr>
      <w:r>
        <w:rPr>
          <w:sz w:val="21"/>
        </w:rPr>
        <w:t xml:space="preserve">医疗机构应根据国家有关法律法规和标准规范，建立职责明确的医院感染防控管理组织架构， </w:t>
      </w:r>
      <w:r>
        <w:rPr>
          <w:spacing w:val="-4"/>
          <w:w w:val="95"/>
          <w:sz w:val="21"/>
        </w:rPr>
        <w:t xml:space="preserve">结合本医疗机构放射诊断场所新冠肺炎感染防控工作特点和实际情况，制定相应的管理制度并组织实施，   </w:t>
      </w:r>
      <w:r>
        <w:rPr>
          <w:spacing w:val="-4"/>
          <w:sz w:val="21"/>
        </w:rPr>
        <w:t>定期开展检查与督导，发现问题及时改进。</w:t>
      </w:r>
    </w:p>
    <w:p>
      <w:pPr>
        <w:pStyle w:val="ListParagraph"/>
        <w:numPr>
          <w:ilvl w:val="2"/>
          <w:numId w:val="17"/>
        </w:numPr>
        <w:tabs>
          <w:tab w:val="left" w:pos="1913"/>
        </w:tabs>
        <w:spacing w:before="0" w:after="0" w:line="278" w:lineRule="auto"/>
        <w:ind w:left="1178" w:right="872" w:firstLine="0"/>
        <w:jc w:val="left"/>
        <w:rPr>
          <w:sz w:val="21"/>
        </w:rPr>
      </w:pPr>
      <w:r>
        <w:rPr>
          <w:sz w:val="21"/>
        </w:rPr>
        <w:t>应加强对放射工作人员院感防控知识培训，使其掌握感染控制要点，善于识别各个环节的院感风险。</w:t>
      </w:r>
    </w:p>
    <w:p>
      <w:pPr>
        <w:pStyle w:val="ListParagraph"/>
        <w:numPr>
          <w:ilvl w:val="2"/>
          <w:numId w:val="17"/>
        </w:numPr>
        <w:tabs>
          <w:tab w:val="left" w:pos="1913"/>
        </w:tabs>
        <w:spacing w:before="0" w:after="0" w:line="278" w:lineRule="auto"/>
        <w:ind w:left="1178" w:right="872" w:firstLine="0"/>
        <w:jc w:val="left"/>
        <w:rPr>
          <w:sz w:val="21"/>
        </w:rPr>
      </w:pPr>
      <w:r>
        <w:rPr>
          <w:sz w:val="21"/>
        </w:rPr>
        <w:t>放射工作人员应熟练掌握防护用品穿脱技术及手卫生要求，并掌握室内空气、物体表面消毒等要点及消毒方法。</w:t>
      </w:r>
    </w:p>
    <w:p>
      <w:pPr>
        <w:pStyle w:val="ListParagraph"/>
        <w:numPr>
          <w:ilvl w:val="1"/>
          <w:numId w:val="12"/>
        </w:numPr>
        <w:tabs>
          <w:tab w:val="left" w:pos="1704"/>
        </w:tabs>
        <w:spacing w:before="155" w:after="0" w:line="240" w:lineRule="auto"/>
        <w:ind w:left="1704" w:right="0" w:hanging="526"/>
        <w:jc w:val="left"/>
        <w:rPr>
          <w:rFonts w:ascii="黑体" w:eastAsia="黑体" w:hint="eastAsia"/>
          <w:sz w:val="21"/>
        </w:rPr>
      </w:pPr>
      <w:bookmarkStart w:id="5" w:name="4.2　医疗照射辐射防护基本原则"/>
      <w:bookmarkEnd w:id="5"/>
      <w:r>
        <w:rPr>
          <w:rFonts w:ascii="黑体" w:eastAsia="黑体" w:hint="eastAsia"/>
          <w:sz w:val="21"/>
        </w:rPr>
        <w:t>医疗照射辐射防护基本原则</w:t>
      </w:r>
    </w:p>
    <w:p>
      <w:pPr>
        <w:pStyle w:val="BodyText"/>
        <w:spacing w:before="6"/>
        <w:rPr>
          <w:rFonts w:ascii="黑体"/>
          <w:sz w:val="15"/>
        </w:rPr>
      </w:pPr>
    </w:p>
    <w:p>
      <w:pPr>
        <w:pStyle w:val="ListParagraph"/>
        <w:numPr>
          <w:ilvl w:val="2"/>
          <w:numId w:val="12"/>
        </w:numPr>
        <w:tabs>
          <w:tab w:val="left" w:pos="1913"/>
        </w:tabs>
        <w:spacing w:before="0" w:after="0" w:line="278" w:lineRule="auto"/>
        <w:ind w:left="1178" w:right="872" w:firstLine="0"/>
        <w:jc w:val="left"/>
        <w:rPr>
          <w:sz w:val="21"/>
        </w:rPr>
      </w:pPr>
      <w:r>
        <w:rPr>
          <w:sz w:val="21"/>
        </w:rPr>
        <w:t>在新冠肺炎放射诊断中，应遵守医疗照射辐射防护基本原则，即放射实践的正当性，辐射防护的最优化和个人剂量限制，充分做好患者和放射工作人员的辐射防护工作。</w:t>
      </w:r>
    </w:p>
    <w:p>
      <w:pPr>
        <w:pStyle w:val="ListParagraph"/>
        <w:numPr>
          <w:ilvl w:val="2"/>
          <w:numId w:val="12"/>
        </w:numPr>
        <w:tabs>
          <w:tab w:val="left" w:pos="1913"/>
        </w:tabs>
        <w:spacing w:before="0" w:after="0" w:line="278" w:lineRule="auto"/>
        <w:ind w:left="1178" w:right="872" w:firstLine="0"/>
        <w:jc w:val="left"/>
        <w:rPr>
          <w:sz w:val="21"/>
        </w:rPr>
      </w:pPr>
      <w:r>
        <w:rPr>
          <w:sz w:val="21"/>
        </w:rPr>
        <w:t>临床医师应根据患者的流行病接触史和体征，合理地判断患者是否应当进行放射诊断检查。不</w:t>
      </w:r>
      <w:r>
        <w:rPr>
          <w:spacing w:val="-18"/>
          <w:sz w:val="21"/>
        </w:rPr>
        <w:t xml:space="preserve">宜将 </w:t>
      </w:r>
      <w:r>
        <w:rPr>
          <w:sz w:val="21"/>
        </w:rPr>
        <w:t>CT</w:t>
      </w:r>
      <w:r>
        <w:rPr>
          <w:spacing w:val="-8"/>
          <w:sz w:val="21"/>
        </w:rPr>
        <w:t xml:space="preserve"> 检查作为普通患者住院筛查的必要条件。</w:t>
      </w:r>
    </w:p>
    <w:p>
      <w:pPr>
        <w:pStyle w:val="ListParagraph"/>
        <w:numPr>
          <w:ilvl w:val="2"/>
          <w:numId w:val="12"/>
        </w:numPr>
        <w:tabs>
          <w:tab w:val="left" w:pos="1913"/>
        </w:tabs>
        <w:spacing w:before="0" w:after="0" w:line="278" w:lineRule="auto"/>
        <w:ind w:left="1178" w:right="867" w:firstLine="0"/>
        <w:jc w:val="left"/>
        <w:rPr>
          <w:sz w:val="21"/>
        </w:rPr>
      </w:pPr>
      <w:r>
        <w:rPr>
          <w:spacing w:val="-5"/>
          <w:sz w:val="21"/>
        </w:rPr>
        <w:t xml:space="preserve">在进行放射诊断检查特别是 </w:t>
      </w:r>
      <w:r>
        <w:rPr>
          <w:sz w:val="21"/>
        </w:rPr>
        <w:t>CT</w:t>
      </w:r>
      <w:r>
        <w:rPr>
          <w:spacing w:val="-14"/>
          <w:sz w:val="21"/>
        </w:rPr>
        <w:t xml:space="preserve"> 扫描时，需依据《放射诊疗管理规定》和 </w:t>
      </w:r>
      <w:r>
        <w:rPr>
          <w:sz w:val="21"/>
        </w:rPr>
        <w:t>GBZ</w:t>
      </w:r>
      <w:r>
        <w:rPr>
          <w:spacing w:val="-58"/>
          <w:sz w:val="21"/>
        </w:rPr>
        <w:t xml:space="preserve"> </w:t>
      </w:r>
      <w:r>
        <w:rPr>
          <w:sz w:val="21"/>
        </w:rPr>
        <w:t>130</w:t>
      </w:r>
      <w:r>
        <w:rPr>
          <w:spacing w:val="-9"/>
          <w:sz w:val="21"/>
        </w:rPr>
        <w:t xml:space="preserve"> 等有关法规和标准，做好患者特别是儿童、孕妇和可能怀孕妇女等敏感人群的辐射防护。</w:t>
      </w:r>
    </w:p>
    <w:p>
      <w:pPr>
        <w:pStyle w:val="ListParagraph"/>
        <w:numPr>
          <w:ilvl w:val="2"/>
          <w:numId w:val="12"/>
        </w:numPr>
        <w:tabs>
          <w:tab w:val="left" w:pos="1913"/>
        </w:tabs>
        <w:spacing w:before="0" w:after="0" w:line="269" w:lineRule="exact"/>
        <w:ind w:left="1912" w:right="0" w:hanging="735"/>
        <w:jc w:val="left"/>
        <w:rPr>
          <w:sz w:val="21"/>
        </w:rPr>
      </w:pPr>
      <w:r>
        <w:rPr>
          <w:sz w:val="21"/>
        </w:rPr>
        <w:t>在保证影像质量并确保能达到预期诊断目标时，需优化成像参数，降低受检者的照射剂量。</w:t>
      </w:r>
    </w:p>
    <w:p>
      <w:pPr>
        <w:pStyle w:val="ListParagraph"/>
        <w:numPr>
          <w:ilvl w:val="2"/>
          <w:numId w:val="12"/>
        </w:numPr>
        <w:tabs>
          <w:tab w:val="left" w:pos="1913"/>
        </w:tabs>
        <w:spacing w:before="43" w:after="0" w:line="278" w:lineRule="auto"/>
        <w:ind w:left="1178" w:right="872" w:firstLine="0"/>
        <w:jc w:val="left"/>
        <w:rPr>
          <w:sz w:val="21"/>
        </w:rPr>
      </w:pPr>
      <w:r>
        <w:rPr>
          <w:spacing w:val="-8"/>
          <w:sz w:val="21"/>
        </w:rPr>
        <w:t xml:space="preserve">对于短期内多次接受放射检查，尤其是 </w:t>
      </w:r>
      <w:r>
        <w:rPr>
          <w:sz w:val="21"/>
        </w:rPr>
        <w:t>CT</w:t>
      </w:r>
      <w:r>
        <w:rPr>
          <w:spacing w:val="-11"/>
          <w:sz w:val="21"/>
        </w:rPr>
        <w:t xml:space="preserve"> 扫描的患者应进行累积剂量记录，进一步评估放射检查的正当性。</w:t>
      </w:r>
    </w:p>
    <w:p>
      <w:pPr>
        <w:pStyle w:val="ListParagraph"/>
        <w:numPr>
          <w:ilvl w:val="2"/>
          <w:numId w:val="12"/>
        </w:numPr>
        <w:tabs>
          <w:tab w:val="left" w:pos="1913"/>
        </w:tabs>
        <w:spacing w:before="0" w:after="0" w:line="269" w:lineRule="exact"/>
        <w:ind w:left="1912" w:right="0" w:hanging="735"/>
        <w:jc w:val="left"/>
        <w:rPr>
          <w:sz w:val="21"/>
        </w:rPr>
      </w:pPr>
      <w:r>
        <w:drawing>
          <wp:anchor distT="0" distB="0" distL="0" distR="0" simplePos="0" relativeHeight="251670528" behindDoc="0" locked="0" layoutInCell="1" allowOverlap="1">
            <wp:simplePos x="0" y="0"/>
            <wp:positionH relativeFrom="page">
              <wp:posOffset>215900</wp:posOffset>
            </wp:positionH>
            <wp:positionV relativeFrom="paragraph">
              <wp:posOffset>133842</wp:posOffset>
            </wp:positionV>
            <wp:extent cx="7112000" cy="487680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21"/>
        </w:rPr>
        <w:t>放射工作人员应接受辐射防护培训后方可上岗，按照要求配戴外照射监测个人剂量计。</w:t>
      </w:r>
    </w:p>
    <w:p>
      <w:pPr>
        <w:pStyle w:val="BodyText"/>
        <w:spacing w:before="9"/>
        <w:rPr>
          <w:sz w:val="27"/>
        </w:rPr>
      </w:pPr>
    </w:p>
    <w:p>
      <w:pPr>
        <w:pStyle w:val="ListParagraph"/>
        <w:numPr>
          <w:ilvl w:val="0"/>
          <w:numId w:val="11"/>
        </w:numPr>
        <w:tabs>
          <w:tab w:val="left" w:pos="1493"/>
        </w:tabs>
        <w:spacing w:before="0" w:after="0" w:line="240" w:lineRule="auto"/>
        <w:ind w:left="1492" w:right="0" w:hanging="315"/>
        <w:jc w:val="left"/>
        <w:rPr>
          <w:rFonts w:ascii="黑体" w:eastAsia="黑体" w:hint="eastAsia"/>
          <w:sz w:val="21"/>
        </w:rPr>
      </w:pPr>
      <w:bookmarkStart w:id="6" w:name="5　放射诊断场所布局与流程防控"/>
      <w:bookmarkEnd w:id="6"/>
      <w:r>
        <w:rPr>
          <w:rFonts w:ascii="黑体" w:eastAsia="黑体" w:hint="eastAsia"/>
          <w:sz w:val="21"/>
        </w:rPr>
        <w:t>放射诊断场所布局与流程防控</w:t>
      </w:r>
    </w:p>
    <w:p>
      <w:pPr>
        <w:pStyle w:val="BodyText"/>
        <w:spacing w:before="9"/>
        <w:rPr>
          <w:rFonts w:ascii="黑体"/>
          <w:sz w:val="27"/>
        </w:rPr>
      </w:pPr>
    </w:p>
    <w:p>
      <w:pPr>
        <w:pStyle w:val="ListParagraph"/>
        <w:numPr>
          <w:ilvl w:val="1"/>
          <w:numId w:val="11"/>
        </w:numPr>
        <w:tabs>
          <w:tab w:val="left" w:pos="1704"/>
        </w:tabs>
        <w:spacing w:before="0" w:after="0" w:line="240" w:lineRule="auto"/>
        <w:ind w:left="1704" w:right="0" w:hanging="526"/>
        <w:jc w:val="left"/>
        <w:rPr>
          <w:rFonts w:ascii="黑体" w:eastAsia="黑体" w:hint="eastAsia"/>
          <w:sz w:val="21"/>
        </w:rPr>
      </w:pPr>
      <w:bookmarkStart w:id="7" w:name="5.1　放射诊断场所布局"/>
      <w:bookmarkEnd w:id="7"/>
      <w:r>
        <w:rPr>
          <w:rFonts w:ascii="黑体" w:eastAsia="黑体" w:hint="eastAsia"/>
          <w:sz w:val="21"/>
        </w:rPr>
        <w:t>放射诊断场所布局</w:t>
      </w:r>
    </w:p>
    <w:p>
      <w:pPr>
        <w:pStyle w:val="BodyText"/>
        <w:spacing w:before="7"/>
        <w:rPr>
          <w:rFonts w:ascii="黑体"/>
          <w:sz w:val="15"/>
        </w:rPr>
      </w:pPr>
    </w:p>
    <w:p>
      <w:pPr>
        <w:pStyle w:val="ListParagraph"/>
        <w:numPr>
          <w:ilvl w:val="2"/>
          <w:numId w:val="11"/>
        </w:numPr>
        <w:tabs>
          <w:tab w:val="left" w:pos="1913"/>
        </w:tabs>
        <w:spacing w:before="0" w:after="0" w:line="278" w:lineRule="auto"/>
        <w:ind w:left="1178" w:right="872" w:firstLine="0"/>
        <w:jc w:val="left"/>
        <w:rPr>
          <w:sz w:val="21"/>
        </w:rPr>
      </w:pPr>
      <w:r>
        <w:rPr>
          <w:sz w:val="21"/>
        </w:rPr>
        <w:t>医疗机构应当设置专用的放射诊断机房用于发热门诊发热患者医学影像筛查，机房不限于设置在发热门诊内。</w:t>
      </w:r>
    </w:p>
    <w:p>
      <w:pPr>
        <w:pStyle w:val="ListParagraph"/>
        <w:numPr>
          <w:ilvl w:val="2"/>
          <w:numId w:val="11"/>
        </w:numPr>
        <w:tabs>
          <w:tab w:val="left" w:pos="1913"/>
        </w:tabs>
        <w:spacing w:before="0" w:after="0" w:line="278" w:lineRule="auto"/>
        <w:ind w:left="1178" w:right="872" w:firstLine="0"/>
        <w:jc w:val="left"/>
        <w:rPr>
          <w:sz w:val="21"/>
        </w:rPr>
      </w:pPr>
      <w:r>
        <w:rPr>
          <w:spacing w:val="-8"/>
          <w:sz w:val="21"/>
        </w:rPr>
        <w:t xml:space="preserve">定点收治医疗机构划定独立的医学影像检查区域，设置专用 </w:t>
      </w:r>
      <w:r>
        <w:rPr>
          <w:sz w:val="21"/>
        </w:rPr>
        <w:t>CT</w:t>
      </w:r>
      <w:r>
        <w:rPr>
          <w:spacing w:val="-8"/>
          <w:sz w:val="21"/>
        </w:rPr>
        <w:t xml:space="preserve"> 机房用于疑似病例和确诊病例的检查。有条件的医疗机构设置备用专用机房，以便在特殊情况下正常开展放射诊断工作。</w:t>
      </w:r>
    </w:p>
    <w:p>
      <w:pPr>
        <w:pStyle w:val="ListParagraph"/>
        <w:numPr>
          <w:ilvl w:val="2"/>
          <w:numId w:val="11"/>
        </w:numPr>
        <w:tabs>
          <w:tab w:val="left" w:pos="1913"/>
        </w:tabs>
        <w:spacing w:before="0" w:after="0" w:line="269" w:lineRule="exact"/>
        <w:ind w:left="1912" w:right="0" w:hanging="735"/>
        <w:jc w:val="left"/>
        <w:rPr>
          <w:sz w:val="21"/>
        </w:rPr>
      </w:pPr>
      <w:r>
        <w:rPr>
          <w:sz w:val="21"/>
        </w:rPr>
        <w:t>按照院内感染控制要求明确划分污染区、半污染区和清洁区，均执行严格消毒。</w:t>
      </w:r>
    </w:p>
    <w:p>
      <w:pPr>
        <w:pStyle w:val="ListParagraph"/>
        <w:numPr>
          <w:ilvl w:val="2"/>
          <w:numId w:val="11"/>
        </w:numPr>
        <w:tabs>
          <w:tab w:val="left" w:pos="1913"/>
        </w:tabs>
        <w:spacing w:before="42" w:after="0" w:line="278" w:lineRule="auto"/>
        <w:ind w:left="1178" w:right="768" w:firstLine="0"/>
        <w:jc w:val="left"/>
        <w:rPr>
          <w:sz w:val="21"/>
        </w:rPr>
      </w:pPr>
      <w:r>
        <w:rPr>
          <w:spacing w:val="-4"/>
          <w:w w:val="95"/>
          <w:sz w:val="21"/>
        </w:rPr>
        <w:t xml:space="preserve">按照院内感染控制要求明确划分工作人员和患者的通行路线，将工作人员通道与患者通道分开，   </w:t>
      </w:r>
      <w:r>
        <w:rPr>
          <w:spacing w:val="-4"/>
          <w:sz w:val="21"/>
        </w:rPr>
        <w:t>各通道应设有醒目标志，并有相应措施防止其他人员误入，非必要通道可以临时封闭。</w:t>
      </w:r>
    </w:p>
    <w:p>
      <w:pPr>
        <w:pStyle w:val="ListParagraph"/>
        <w:numPr>
          <w:ilvl w:val="2"/>
          <w:numId w:val="11"/>
        </w:numPr>
        <w:tabs>
          <w:tab w:val="left" w:pos="1913"/>
        </w:tabs>
        <w:spacing w:before="0" w:after="0" w:line="278" w:lineRule="auto"/>
        <w:ind w:left="1178" w:right="872" w:firstLine="0"/>
        <w:jc w:val="left"/>
        <w:rPr>
          <w:sz w:val="21"/>
        </w:rPr>
      </w:pPr>
      <w:r>
        <w:rPr>
          <w:sz w:val="21"/>
        </w:rPr>
        <w:t>按照院内感染控制要求分别设置发热患者、疑似病例、确诊病例到放射诊断机房的专用通行路线和专用候诊区域。发热患者、疑似病例、确诊病例在医学影像检查专用候诊区域单独候诊。</w:t>
      </w:r>
    </w:p>
    <w:p>
      <w:pPr>
        <w:pStyle w:val="ListParagraph"/>
        <w:numPr>
          <w:ilvl w:val="2"/>
          <w:numId w:val="11"/>
        </w:numPr>
        <w:tabs>
          <w:tab w:val="left" w:pos="1913"/>
        </w:tabs>
        <w:spacing w:before="0" w:after="0" w:line="278" w:lineRule="auto"/>
        <w:ind w:left="1178" w:right="871" w:firstLine="0"/>
        <w:jc w:val="both"/>
        <w:rPr>
          <w:sz w:val="21"/>
        </w:rPr>
      </w:pPr>
      <w:r>
        <w:rPr>
          <w:spacing w:val="-6"/>
          <w:sz w:val="21"/>
        </w:rPr>
        <w:t xml:space="preserve">医疗机构在新建发热门诊、感染科等时，宜设立专用的 </w:t>
      </w:r>
      <w:r>
        <w:rPr>
          <w:sz w:val="21"/>
        </w:rPr>
        <w:t>X</w:t>
      </w:r>
      <w:r>
        <w:rPr>
          <w:spacing w:val="-14"/>
          <w:sz w:val="21"/>
        </w:rPr>
        <w:t xml:space="preserve"> 射线诊断机房，并按照 </w:t>
      </w:r>
      <w:r>
        <w:rPr>
          <w:sz w:val="21"/>
        </w:rPr>
        <w:t>5.1.3</w:t>
      </w:r>
      <w:r>
        <w:rPr>
          <w:spacing w:val="-10"/>
          <w:sz w:val="21"/>
        </w:rPr>
        <w:t>、</w:t>
      </w:r>
      <w:r>
        <w:rPr>
          <w:sz w:val="21"/>
        </w:rPr>
        <w:t xml:space="preserve">5.1.4 </w:t>
      </w:r>
      <w:r>
        <w:rPr>
          <w:spacing w:val="-8"/>
          <w:w w:val="95"/>
          <w:sz w:val="21"/>
        </w:rPr>
        <w:t xml:space="preserve">“三区两通道”的要求进行分区和布局。设计机房布局时可兼顾疫情和非疫情时用途的快速转换，便于   </w:t>
      </w:r>
      <w:r>
        <w:rPr>
          <w:spacing w:val="-8"/>
          <w:sz w:val="21"/>
        </w:rPr>
        <w:t>提高设备的利用效率。</w:t>
      </w:r>
    </w:p>
    <w:p>
      <w:pPr>
        <w:pStyle w:val="ListParagraph"/>
        <w:numPr>
          <w:ilvl w:val="1"/>
          <w:numId w:val="11"/>
        </w:numPr>
        <w:tabs>
          <w:tab w:val="left" w:pos="1704"/>
        </w:tabs>
        <w:spacing w:before="156" w:after="0" w:line="240" w:lineRule="auto"/>
        <w:ind w:left="1704" w:right="0" w:hanging="526"/>
        <w:jc w:val="left"/>
        <w:rPr>
          <w:rFonts w:ascii="黑体" w:eastAsia="黑体" w:hint="eastAsia"/>
          <w:sz w:val="21"/>
        </w:rPr>
      </w:pPr>
      <w:bookmarkStart w:id="8" w:name="5.2　放射诊断场所流程防控"/>
      <w:bookmarkEnd w:id="8"/>
      <w:r>
        <w:rPr>
          <w:rFonts w:ascii="黑体" w:eastAsia="黑体" w:hint="eastAsia"/>
          <w:sz w:val="21"/>
        </w:rPr>
        <w:t>放射诊断场所流程防控</w:t>
      </w:r>
    </w:p>
    <w:p>
      <w:pPr>
        <w:pStyle w:val="BodyText"/>
        <w:spacing w:before="6"/>
        <w:rPr>
          <w:rFonts w:ascii="黑体"/>
          <w:sz w:val="15"/>
        </w:rPr>
      </w:pPr>
    </w:p>
    <w:p>
      <w:pPr>
        <w:pStyle w:val="ListParagraph"/>
        <w:numPr>
          <w:ilvl w:val="2"/>
          <w:numId w:val="11"/>
        </w:numPr>
        <w:tabs>
          <w:tab w:val="left" w:pos="1913"/>
        </w:tabs>
        <w:spacing w:before="0" w:after="0" w:line="278" w:lineRule="auto"/>
        <w:ind w:left="1178" w:right="872" w:firstLine="0"/>
        <w:jc w:val="left"/>
        <w:rPr>
          <w:sz w:val="21"/>
        </w:rPr>
      </w:pPr>
      <w:r>
        <w:rPr>
          <w:sz w:val="21"/>
        </w:rPr>
        <w:t>医疗机构应合理安排患者检查顺序，缩短等待时间，避免患者在放射诊断检查场所聚集，保证疑似和确诊病例分批单独候诊。</w:t>
      </w:r>
    </w:p>
    <w:p>
      <w:pPr>
        <w:pStyle w:val="ListParagraph"/>
        <w:numPr>
          <w:ilvl w:val="2"/>
          <w:numId w:val="11"/>
        </w:numPr>
        <w:tabs>
          <w:tab w:val="left" w:pos="1913"/>
        </w:tabs>
        <w:spacing w:before="0" w:after="0" w:line="269" w:lineRule="exact"/>
        <w:ind w:left="1912" w:right="0" w:hanging="735"/>
        <w:jc w:val="left"/>
        <w:rPr>
          <w:sz w:val="21"/>
        </w:rPr>
      </w:pPr>
      <w:r>
        <w:rPr>
          <w:sz w:val="21"/>
        </w:rPr>
        <w:t>对发热患者的医学影像筛查及病房疑似和确诊病例的医学影像检查实行预约制。</w:t>
      </w:r>
    </w:p>
    <w:p>
      <w:pPr>
        <w:pStyle w:val="ListParagraph"/>
        <w:numPr>
          <w:ilvl w:val="2"/>
          <w:numId w:val="11"/>
        </w:numPr>
        <w:tabs>
          <w:tab w:val="left" w:pos="1913"/>
        </w:tabs>
        <w:spacing w:before="43" w:after="0" w:line="240" w:lineRule="auto"/>
        <w:ind w:left="1912" w:right="0" w:hanging="735"/>
        <w:jc w:val="left"/>
        <w:rPr>
          <w:sz w:val="21"/>
        </w:rPr>
      </w:pPr>
      <w:r>
        <w:rPr>
          <w:sz w:val="21"/>
        </w:rPr>
        <w:t>发热患者、疑似病例、确诊病例在接受医学影像检查前及完成检查后，应由经过院感培训的医</w:t>
      </w:r>
    </w:p>
    <w:p>
      <w:pPr>
        <w:spacing w:before="136"/>
        <w:ind w:left="0" w:right="1099" w:firstLine="0"/>
        <w:jc w:val="right"/>
        <w:rPr>
          <w:sz w:val="18"/>
        </w:rPr>
      </w:pPr>
      <w:r>
        <w:rPr>
          <w:sz w:val="18"/>
        </w:rPr>
        <w:t>3</w:t>
      </w:r>
    </w:p>
    <w:p>
      <w:pPr>
        <w:spacing w:after="0"/>
        <w:jc w:val="right"/>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https://d.book118.com/827041155106006035</w:t>
        </w:r>
      </w:hyperlink>
    </w:p>
    <w:p>
      <w:pPr>
        <w:spacing w:after="0"/>
        <w:jc w:val="right"/>
        <w:rPr>
          <w:sz w:val="18"/>
        </w:rPr>
      </w:pPr>
    </w:p>
    <w:sectPr>
      <w:pgSz w:w="11910" w:h="16840"/>
      <w:pgMar w:top="1360" w:right="260" w:bottom="280" w:left="240" w:header="708" w:footer="708"/>
      <w:pgNumType w:start="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5486"/>
    <w:multiLevelType w:val="hybridMultilevel"/>
    <w:tmpl w:val="00000000"/>
    <w:lvl w:ilvl="0">
      <w:start w:val="10"/>
      <w:numFmt w:val="decimal"/>
      <w:lvlText w:val="%1"/>
      <w:lvlJc w:val="left"/>
      <w:pPr>
        <w:ind w:left="892" w:hanging="1052"/>
        <w:jc w:val="left"/>
      </w:pPr>
      <w:rPr>
        <w:rFonts w:hint="default"/>
        <w:lang w:val="en-US" w:eastAsia="en-US" w:bidi="ar-SA"/>
      </w:rPr>
    </w:lvl>
    <w:lvl w:ilvl="1">
      <w:start w:val="2"/>
      <w:numFmt w:val="decimal"/>
      <w:lvlText w:val="%1.%2"/>
      <w:lvlJc w:val="left"/>
      <w:pPr>
        <w:ind w:left="892" w:hanging="1052"/>
        <w:jc w:val="left"/>
      </w:pPr>
      <w:rPr>
        <w:rFonts w:hint="default"/>
        <w:lang w:val="en-US" w:eastAsia="en-US" w:bidi="ar-SA"/>
      </w:rPr>
    </w:lvl>
    <w:lvl w:ilvl="2">
      <w:start w:val="2"/>
      <w:numFmt w:val="decimal"/>
      <w:lvlText w:val="%1.%2.%3"/>
      <w:lvlJc w:val="left"/>
      <w:pPr>
        <w:ind w:left="892" w:hanging="1052"/>
        <w:jc w:val="left"/>
      </w:pPr>
      <w:rPr>
        <w:rFonts w:hint="default"/>
        <w:lang w:val="en-US" w:eastAsia="en-US" w:bidi="ar-SA"/>
      </w:rPr>
    </w:lvl>
    <w:lvl w:ilvl="3">
      <w:start w:val="1"/>
      <w:numFmt w:val="decimal"/>
      <w:lvlText w:val="%1.%2.%3.%4"/>
      <w:lvlJc w:val="left"/>
      <w:pPr>
        <w:ind w:left="892" w:hanging="1052"/>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5102" w:hanging="1052"/>
      </w:pPr>
      <w:rPr>
        <w:rFonts w:hint="default"/>
        <w:lang w:val="en-US" w:eastAsia="en-US" w:bidi="ar-SA"/>
      </w:rPr>
    </w:lvl>
    <w:lvl w:ilvl="5">
      <w:start w:val="0"/>
      <w:numFmt w:val="bullet"/>
      <w:lvlText w:val="•"/>
      <w:lvlJc w:val="left"/>
      <w:pPr>
        <w:ind w:left="6153" w:hanging="1052"/>
      </w:pPr>
      <w:rPr>
        <w:rFonts w:hint="default"/>
        <w:lang w:val="en-US" w:eastAsia="en-US" w:bidi="ar-SA"/>
      </w:rPr>
    </w:lvl>
    <w:lvl w:ilvl="6">
      <w:start w:val="0"/>
      <w:numFmt w:val="bullet"/>
      <w:lvlText w:val="•"/>
      <w:lvlJc w:val="left"/>
      <w:pPr>
        <w:ind w:left="7203" w:hanging="1052"/>
      </w:pPr>
      <w:rPr>
        <w:rFonts w:hint="default"/>
        <w:lang w:val="en-US" w:eastAsia="en-US" w:bidi="ar-SA"/>
      </w:rPr>
    </w:lvl>
    <w:lvl w:ilvl="7">
      <w:start w:val="0"/>
      <w:numFmt w:val="bullet"/>
      <w:lvlText w:val="•"/>
      <w:lvlJc w:val="left"/>
      <w:pPr>
        <w:ind w:left="8254" w:hanging="1052"/>
      </w:pPr>
      <w:rPr>
        <w:rFonts w:hint="default"/>
        <w:lang w:val="en-US" w:eastAsia="en-US" w:bidi="ar-SA"/>
      </w:rPr>
    </w:lvl>
    <w:lvl w:ilvl="8">
      <w:start w:val="0"/>
      <w:numFmt w:val="bullet"/>
      <w:lvlText w:val="•"/>
      <w:lvlJc w:val="left"/>
      <w:pPr>
        <w:ind w:left="9304" w:hanging="1052"/>
      </w:pPr>
      <w:rPr>
        <w:rFonts w:hint="default"/>
        <w:lang w:val="en-US" w:eastAsia="en-US" w:bidi="ar-SA"/>
      </w:rPr>
    </w:lvl>
  </w:abstractNum>
  <w:abstractNum w:abstractNumId="1">
    <w:nsid w:val="0522E78C"/>
    <w:multiLevelType w:val="hybridMultilevel"/>
    <w:tmpl w:val="00000000"/>
    <w:lvl w:ilvl="0">
      <w:start w:val="4"/>
      <w:numFmt w:val="lowerLetter"/>
      <w:lvlText w:val="%1)"/>
      <w:lvlJc w:val="left"/>
      <w:pPr>
        <w:ind w:left="424" w:hanging="425"/>
        <w:jc w:val="left"/>
      </w:pPr>
      <w:rPr>
        <w:rFonts w:ascii="宋体" w:eastAsia="宋体" w:hAnsi="宋体" w:cs="宋体" w:hint="default"/>
        <w:spacing w:val="0"/>
        <w:w w:val="99"/>
        <w:sz w:val="21"/>
        <w:szCs w:val="21"/>
        <w:lang w:val="en-US" w:eastAsia="en-US" w:bidi="ar-SA"/>
      </w:rPr>
    </w:lvl>
    <w:lvl w:ilvl="1">
      <w:start w:val="0"/>
      <w:numFmt w:val="bullet"/>
      <w:lvlText w:val="•"/>
      <w:lvlJc w:val="left"/>
      <w:pPr>
        <w:ind w:left="1272" w:hanging="425"/>
      </w:pPr>
      <w:rPr>
        <w:rFonts w:hint="default"/>
        <w:lang w:val="en-US" w:eastAsia="en-US" w:bidi="ar-SA"/>
      </w:rPr>
    </w:lvl>
    <w:lvl w:ilvl="2">
      <w:start w:val="0"/>
      <w:numFmt w:val="bullet"/>
      <w:lvlText w:val="•"/>
      <w:lvlJc w:val="left"/>
      <w:pPr>
        <w:ind w:left="2125" w:hanging="425"/>
      </w:pPr>
      <w:rPr>
        <w:rFonts w:hint="default"/>
        <w:lang w:val="en-US" w:eastAsia="en-US" w:bidi="ar-SA"/>
      </w:rPr>
    </w:lvl>
    <w:lvl w:ilvl="3">
      <w:start w:val="0"/>
      <w:numFmt w:val="bullet"/>
      <w:lvlText w:val="•"/>
      <w:lvlJc w:val="left"/>
      <w:pPr>
        <w:ind w:left="2977" w:hanging="425"/>
      </w:pPr>
      <w:rPr>
        <w:rFonts w:hint="default"/>
        <w:lang w:val="en-US" w:eastAsia="en-US" w:bidi="ar-SA"/>
      </w:rPr>
    </w:lvl>
    <w:lvl w:ilvl="4">
      <w:start w:val="0"/>
      <w:numFmt w:val="bullet"/>
      <w:lvlText w:val="•"/>
      <w:lvlJc w:val="left"/>
      <w:pPr>
        <w:ind w:left="3830" w:hanging="425"/>
      </w:pPr>
      <w:rPr>
        <w:rFonts w:hint="default"/>
        <w:lang w:val="en-US" w:eastAsia="en-US" w:bidi="ar-SA"/>
      </w:rPr>
    </w:lvl>
    <w:lvl w:ilvl="5">
      <w:start w:val="0"/>
      <w:numFmt w:val="bullet"/>
      <w:lvlText w:val="•"/>
      <w:lvlJc w:val="left"/>
      <w:pPr>
        <w:ind w:left="4682" w:hanging="425"/>
      </w:pPr>
      <w:rPr>
        <w:rFonts w:hint="default"/>
        <w:lang w:val="en-US" w:eastAsia="en-US" w:bidi="ar-SA"/>
      </w:rPr>
    </w:lvl>
    <w:lvl w:ilvl="6">
      <w:start w:val="0"/>
      <w:numFmt w:val="bullet"/>
      <w:lvlText w:val="•"/>
      <w:lvlJc w:val="left"/>
      <w:pPr>
        <w:ind w:left="5535" w:hanging="425"/>
      </w:pPr>
      <w:rPr>
        <w:rFonts w:hint="default"/>
        <w:lang w:val="en-US" w:eastAsia="en-US" w:bidi="ar-SA"/>
      </w:rPr>
    </w:lvl>
    <w:lvl w:ilvl="7">
      <w:start w:val="0"/>
      <w:numFmt w:val="bullet"/>
      <w:lvlText w:val="•"/>
      <w:lvlJc w:val="left"/>
      <w:pPr>
        <w:ind w:left="6387" w:hanging="425"/>
      </w:pPr>
      <w:rPr>
        <w:rFonts w:hint="default"/>
        <w:lang w:val="en-US" w:eastAsia="en-US" w:bidi="ar-SA"/>
      </w:rPr>
    </w:lvl>
    <w:lvl w:ilvl="8">
      <w:start w:val="0"/>
      <w:numFmt w:val="bullet"/>
      <w:lvlText w:val="•"/>
      <w:lvlJc w:val="left"/>
      <w:pPr>
        <w:ind w:left="7240" w:hanging="425"/>
      </w:pPr>
      <w:rPr>
        <w:rFonts w:hint="default"/>
        <w:lang w:val="en-US" w:eastAsia="en-US" w:bidi="ar-SA"/>
      </w:rPr>
    </w:lvl>
  </w:abstractNum>
  <w:abstractNum w:abstractNumId="2">
    <w:nsid w:val="07AB4951"/>
    <w:multiLevelType w:val="hybridMultilevel"/>
    <w:tmpl w:val="00000000"/>
    <w:lvl w:ilvl="0">
      <w:start w:val="1"/>
      <w:numFmt w:val="decimal"/>
      <w:lvlText w:val="%1"/>
      <w:lvlJc w:val="left"/>
      <w:pPr>
        <w:ind w:left="1387" w:hanging="209"/>
        <w:jc w:val="left"/>
      </w:pPr>
      <w:rPr>
        <w:rFonts w:ascii="宋体" w:eastAsia="宋体" w:hAnsi="宋体" w:cs="宋体" w:hint="default"/>
        <w:w w:val="99"/>
        <w:sz w:val="21"/>
        <w:szCs w:val="21"/>
        <w:lang w:val="en-US" w:eastAsia="en-US" w:bidi="ar-SA"/>
      </w:rPr>
    </w:lvl>
    <w:lvl w:ilvl="1">
      <w:start w:val="0"/>
      <w:numFmt w:val="bullet"/>
      <w:lvlText w:val="•"/>
      <w:lvlJc w:val="left"/>
      <w:pPr>
        <w:ind w:left="2382" w:hanging="209"/>
      </w:pPr>
      <w:rPr>
        <w:rFonts w:hint="default"/>
        <w:lang w:val="en-US" w:eastAsia="en-US" w:bidi="ar-SA"/>
      </w:rPr>
    </w:lvl>
    <w:lvl w:ilvl="2">
      <w:start w:val="0"/>
      <w:numFmt w:val="bullet"/>
      <w:lvlText w:val="•"/>
      <w:lvlJc w:val="left"/>
      <w:pPr>
        <w:ind w:left="3385" w:hanging="209"/>
      </w:pPr>
      <w:rPr>
        <w:rFonts w:hint="default"/>
        <w:lang w:val="en-US" w:eastAsia="en-US" w:bidi="ar-SA"/>
      </w:rPr>
    </w:lvl>
    <w:lvl w:ilvl="3">
      <w:start w:val="0"/>
      <w:numFmt w:val="bullet"/>
      <w:lvlText w:val="•"/>
      <w:lvlJc w:val="left"/>
      <w:pPr>
        <w:ind w:left="4387" w:hanging="209"/>
      </w:pPr>
      <w:rPr>
        <w:rFonts w:hint="default"/>
        <w:lang w:val="en-US" w:eastAsia="en-US" w:bidi="ar-SA"/>
      </w:rPr>
    </w:lvl>
    <w:lvl w:ilvl="4">
      <w:start w:val="0"/>
      <w:numFmt w:val="bullet"/>
      <w:lvlText w:val="•"/>
      <w:lvlJc w:val="left"/>
      <w:pPr>
        <w:ind w:left="5390" w:hanging="209"/>
      </w:pPr>
      <w:rPr>
        <w:rFonts w:hint="default"/>
        <w:lang w:val="en-US" w:eastAsia="en-US" w:bidi="ar-SA"/>
      </w:rPr>
    </w:lvl>
    <w:lvl w:ilvl="5">
      <w:start w:val="0"/>
      <w:numFmt w:val="bullet"/>
      <w:lvlText w:val="•"/>
      <w:lvlJc w:val="left"/>
      <w:pPr>
        <w:ind w:left="6393" w:hanging="209"/>
      </w:pPr>
      <w:rPr>
        <w:rFonts w:hint="default"/>
        <w:lang w:val="en-US" w:eastAsia="en-US" w:bidi="ar-SA"/>
      </w:rPr>
    </w:lvl>
    <w:lvl w:ilvl="6">
      <w:start w:val="0"/>
      <w:numFmt w:val="bullet"/>
      <w:lvlText w:val="•"/>
      <w:lvlJc w:val="left"/>
      <w:pPr>
        <w:ind w:left="7395" w:hanging="209"/>
      </w:pPr>
      <w:rPr>
        <w:rFonts w:hint="default"/>
        <w:lang w:val="en-US" w:eastAsia="en-US" w:bidi="ar-SA"/>
      </w:rPr>
    </w:lvl>
    <w:lvl w:ilvl="7">
      <w:start w:val="0"/>
      <w:numFmt w:val="bullet"/>
      <w:lvlText w:val="•"/>
      <w:lvlJc w:val="left"/>
      <w:pPr>
        <w:ind w:left="8398" w:hanging="209"/>
      </w:pPr>
      <w:rPr>
        <w:rFonts w:hint="default"/>
        <w:lang w:val="en-US" w:eastAsia="en-US" w:bidi="ar-SA"/>
      </w:rPr>
    </w:lvl>
    <w:lvl w:ilvl="8">
      <w:start w:val="0"/>
      <w:numFmt w:val="bullet"/>
      <w:lvlText w:val="•"/>
      <w:lvlJc w:val="left"/>
      <w:pPr>
        <w:ind w:left="9400" w:hanging="209"/>
      </w:pPr>
      <w:rPr>
        <w:rFonts w:hint="default"/>
        <w:lang w:val="en-US" w:eastAsia="en-US" w:bidi="ar-SA"/>
      </w:rPr>
    </w:lvl>
  </w:abstractNum>
  <w:abstractNum w:abstractNumId="3">
    <w:nsid w:val="09B91260"/>
    <w:multiLevelType w:val="hybridMultilevel"/>
    <w:tmpl w:val="00000000"/>
    <w:lvl w:ilvl="0">
      <w:start w:val="4"/>
      <w:numFmt w:val="decimal"/>
      <w:lvlText w:val="%1"/>
      <w:lvlJc w:val="left"/>
      <w:pPr>
        <w:ind w:left="525" w:hanging="526"/>
        <w:jc w:val="left"/>
      </w:pPr>
      <w:rPr>
        <w:rFonts w:hint="default"/>
        <w:lang w:val="en-US" w:eastAsia="en-US" w:bidi="ar-SA"/>
      </w:rPr>
    </w:lvl>
    <w:lvl w:ilvl="1">
      <w:start w:val="1"/>
      <w:numFmt w:val="decimal"/>
      <w:lvlText w:val="%1.%2"/>
      <w:lvlJc w:val="left"/>
      <w:pPr>
        <w:ind w:left="525"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0" w:hanging="737"/>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2487" w:hanging="737"/>
      </w:pPr>
      <w:rPr>
        <w:rFonts w:hint="default"/>
        <w:lang w:val="en-US" w:eastAsia="en-US" w:bidi="ar-SA"/>
      </w:rPr>
    </w:lvl>
    <w:lvl w:ilvl="4">
      <w:start w:val="0"/>
      <w:numFmt w:val="bullet"/>
      <w:lvlText w:val="•"/>
      <w:lvlJc w:val="left"/>
      <w:pPr>
        <w:ind w:left="3471" w:hanging="737"/>
      </w:pPr>
      <w:rPr>
        <w:rFonts w:hint="default"/>
        <w:lang w:val="en-US" w:eastAsia="en-US" w:bidi="ar-SA"/>
      </w:rPr>
    </w:lvl>
    <w:lvl w:ilvl="5">
      <w:start w:val="0"/>
      <w:numFmt w:val="bullet"/>
      <w:lvlText w:val="•"/>
      <w:lvlJc w:val="left"/>
      <w:pPr>
        <w:ind w:left="4455" w:hanging="737"/>
      </w:pPr>
      <w:rPr>
        <w:rFonts w:hint="default"/>
        <w:lang w:val="en-US" w:eastAsia="en-US" w:bidi="ar-SA"/>
      </w:rPr>
    </w:lvl>
    <w:lvl w:ilvl="6">
      <w:start w:val="0"/>
      <w:numFmt w:val="bullet"/>
      <w:lvlText w:val="•"/>
      <w:lvlJc w:val="left"/>
      <w:pPr>
        <w:ind w:left="5439" w:hanging="737"/>
      </w:pPr>
      <w:rPr>
        <w:rFonts w:hint="default"/>
        <w:lang w:val="en-US" w:eastAsia="en-US" w:bidi="ar-SA"/>
      </w:rPr>
    </w:lvl>
    <w:lvl w:ilvl="7">
      <w:start w:val="0"/>
      <w:numFmt w:val="bullet"/>
      <w:lvlText w:val="•"/>
      <w:lvlJc w:val="left"/>
      <w:pPr>
        <w:ind w:left="6423" w:hanging="737"/>
      </w:pPr>
      <w:rPr>
        <w:rFonts w:hint="default"/>
        <w:lang w:val="en-US" w:eastAsia="en-US" w:bidi="ar-SA"/>
      </w:rPr>
    </w:lvl>
    <w:lvl w:ilvl="8">
      <w:start w:val="0"/>
      <w:numFmt w:val="bullet"/>
      <w:lvlText w:val="•"/>
      <w:lvlJc w:val="left"/>
      <w:pPr>
        <w:ind w:left="7407" w:hanging="737"/>
      </w:pPr>
      <w:rPr>
        <w:rFonts w:hint="default"/>
        <w:lang w:val="en-US" w:eastAsia="en-US" w:bidi="ar-SA"/>
      </w:rPr>
    </w:lvl>
  </w:abstractNum>
  <w:abstractNum w:abstractNumId="4">
    <w:nsid w:val="0BD864AA"/>
    <w:multiLevelType w:val="hybridMultilevel"/>
    <w:tmpl w:val="00000000"/>
    <w:lvl w:ilvl="0">
      <w:start w:val="10"/>
      <w:numFmt w:val="decimal"/>
      <w:lvlText w:val="%1"/>
      <w:lvlJc w:val="left"/>
      <w:pPr>
        <w:ind w:left="1944" w:hanging="1052"/>
        <w:jc w:val="left"/>
      </w:pPr>
      <w:rPr>
        <w:rFonts w:hint="default"/>
        <w:lang w:val="en-US" w:eastAsia="en-US" w:bidi="ar-SA"/>
      </w:rPr>
    </w:lvl>
    <w:lvl w:ilvl="1">
      <w:start w:val="2"/>
      <w:numFmt w:val="decimal"/>
      <w:lvlText w:val="%1.%2"/>
      <w:lvlJc w:val="left"/>
      <w:pPr>
        <w:ind w:left="1944" w:hanging="1052"/>
        <w:jc w:val="left"/>
      </w:pPr>
      <w:rPr>
        <w:rFonts w:hint="default"/>
        <w:lang w:val="en-US" w:eastAsia="en-US" w:bidi="ar-SA"/>
      </w:rPr>
    </w:lvl>
    <w:lvl w:ilvl="2">
      <w:start w:val="1"/>
      <w:numFmt w:val="decimal"/>
      <w:lvlText w:val="%1.%2.%3"/>
      <w:lvlJc w:val="left"/>
      <w:pPr>
        <w:ind w:left="1944" w:hanging="1052"/>
        <w:jc w:val="left"/>
      </w:pPr>
      <w:rPr>
        <w:rFonts w:hint="default"/>
        <w:lang w:val="en-US" w:eastAsia="en-US" w:bidi="ar-SA"/>
      </w:rPr>
    </w:lvl>
    <w:lvl w:ilvl="3">
      <w:start w:val="1"/>
      <w:numFmt w:val="decimal"/>
      <w:lvlText w:val="%1.%2.%3.%4"/>
      <w:lvlJc w:val="left"/>
      <w:pPr>
        <w:ind w:left="1944" w:hanging="1052"/>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5726" w:hanging="1052"/>
      </w:pPr>
      <w:rPr>
        <w:rFonts w:hint="default"/>
        <w:lang w:val="en-US" w:eastAsia="en-US" w:bidi="ar-SA"/>
      </w:rPr>
    </w:lvl>
    <w:lvl w:ilvl="5">
      <w:start w:val="0"/>
      <w:numFmt w:val="bullet"/>
      <w:lvlText w:val="•"/>
      <w:lvlJc w:val="left"/>
      <w:pPr>
        <w:ind w:left="6673" w:hanging="1052"/>
      </w:pPr>
      <w:rPr>
        <w:rFonts w:hint="default"/>
        <w:lang w:val="en-US" w:eastAsia="en-US" w:bidi="ar-SA"/>
      </w:rPr>
    </w:lvl>
    <w:lvl w:ilvl="6">
      <w:start w:val="0"/>
      <w:numFmt w:val="bullet"/>
      <w:lvlText w:val="•"/>
      <w:lvlJc w:val="left"/>
      <w:pPr>
        <w:ind w:left="7619" w:hanging="1052"/>
      </w:pPr>
      <w:rPr>
        <w:rFonts w:hint="default"/>
        <w:lang w:val="en-US" w:eastAsia="en-US" w:bidi="ar-SA"/>
      </w:rPr>
    </w:lvl>
    <w:lvl w:ilvl="7">
      <w:start w:val="0"/>
      <w:numFmt w:val="bullet"/>
      <w:lvlText w:val="•"/>
      <w:lvlJc w:val="left"/>
      <w:pPr>
        <w:ind w:left="8566" w:hanging="1052"/>
      </w:pPr>
      <w:rPr>
        <w:rFonts w:hint="default"/>
        <w:lang w:val="en-US" w:eastAsia="en-US" w:bidi="ar-SA"/>
      </w:rPr>
    </w:lvl>
    <w:lvl w:ilvl="8">
      <w:start w:val="0"/>
      <w:numFmt w:val="bullet"/>
      <w:lvlText w:val="•"/>
      <w:lvlJc w:val="left"/>
      <w:pPr>
        <w:ind w:left="9512" w:hanging="1052"/>
      </w:pPr>
      <w:rPr>
        <w:rFonts w:hint="default"/>
        <w:lang w:val="en-US" w:eastAsia="en-US" w:bidi="ar-SA"/>
      </w:rPr>
    </w:lvl>
  </w:abstractNum>
  <w:abstractNum w:abstractNumId="5">
    <w:nsid w:val="0E97B5C1"/>
    <w:multiLevelType w:val="hybridMultilevel"/>
    <w:tmpl w:val="00000000"/>
    <w:lvl w:ilvl="0">
      <w:start w:val="4"/>
      <w:numFmt w:val="decimal"/>
      <w:lvlText w:val="%1"/>
      <w:lvlJc w:val="left"/>
      <w:pPr>
        <w:ind w:left="1704" w:hanging="526"/>
        <w:jc w:val="left"/>
      </w:pPr>
      <w:rPr>
        <w:rFonts w:hint="default"/>
        <w:lang w:val="en-US" w:eastAsia="en-US" w:bidi="ar-SA"/>
      </w:rPr>
    </w:lvl>
    <w:lvl w:ilvl="1">
      <w:start w:val="2"/>
      <w:numFmt w:val="decimal"/>
      <w:lvlText w:val="%1.%2"/>
      <w:lvlJc w:val="left"/>
      <w:pPr>
        <w:ind w:left="1704"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178"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3856" w:hanging="735"/>
      </w:pPr>
      <w:rPr>
        <w:rFonts w:hint="default"/>
        <w:lang w:val="en-US" w:eastAsia="en-US" w:bidi="ar-SA"/>
      </w:rPr>
    </w:lvl>
    <w:lvl w:ilvl="4">
      <w:start w:val="0"/>
      <w:numFmt w:val="bullet"/>
      <w:lvlText w:val="•"/>
      <w:lvlJc w:val="left"/>
      <w:pPr>
        <w:ind w:left="4935" w:hanging="735"/>
      </w:pPr>
      <w:rPr>
        <w:rFonts w:hint="default"/>
        <w:lang w:val="en-US" w:eastAsia="en-US" w:bidi="ar-SA"/>
      </w:rPr>
    </w:lvl>
    <w:lvl w:ilvl="5">
      <w:start w:val="0"/>
      <w:numFmt w:val="bullet"/>
      <w:lvlText w:val="•"/>
      <w:lvlJc w:val="left"/>
      <w:pPr>
        <w:ind w:left="6013" w:hanging="735"/>
      </w:pPr>
      <w:rPr>
        <w:rFonts w:hint="default"/>
        <w:lang w:val="en-US" w:eastAsia="en-US" w:bidi="ar-SA"/>
      </w:rPr>
    </w:lvl>
    <w:lvl w:ilvl="6">
      <w:start w:val="0"/>
      <w:numFmt w:val="bullet"/>
      <w:lvlText w:val="•"/>
      <w:lvlJc w:val="left"/>
      <w:pPr>
        <w:ind w:left="7092" w:hanging="735"/>
      </w:pPr>
      <w:rPr>
        <w:rFonts w:hint="default"/>
        <w:lang w:val="en-US" w:eastAsia="en-US" w:bidi="ar-SA"/>
      </w:rPr>
    </w:lvl>
    <w:lvl w:ilvl="7">
      <w:start w:val="0"/>
      <w:numFmt w:val="bullet"/>
      <w:lvlText w:val="•"/>
      <w:lvlJc w:val="left"/>
      <w:pPr>
        <w:ind w:left="8170" w:hanging="735"/>
      </w:pPr>
      <w:rPr>
        <w:rFonts w:hint="default"/>
        <w:lang w:val="en-US" w:eastAsia="en-US" w:bidi="ar-SA"/>
      </w:rPr>
    </w:lvl>
    <w:lvl w:ilvl="8">
      <w:start w:val="0"/>
      <w:numFmt w:val="bullet"/>
      <w:lvlText w:val="•"/>
      <w:lvlJc w:val="left"/>
      <w:pPr>
        <w:ind w:left="9249" w:hanging="735"/>
      </w:pPr>
      <w:rPr>
        <w:rFonts w:hint="default"/>
        <w:lang w:val="en-US" w:eastAsia="en-US" w:bidi="ar-SA"/>
      </w:rPr>
    </w:lvl>
  </w:abstractNum>
  <w:abstractNum w:abstractNumId="6">
    <w:nsid w:val="1197FF75"/>
    <w:multiLevelType w:val="hybridMultilevel"/>
    <w:tmpl w:val="00000000"/>
    <w:lvl w:ilvl="0">
      <w:start w:val="2"/>
      <w:numFmt w:val="upperLetter"/>
      <w:lvlText w:val="%1"/>
      <w:lvlJc w:val="left"/>
      <w:pPr>
        <w:ind w:left="1704" w:hanging="526"/>
        <w:jc w:val="left"/>
      </w:pPr>
      <w:rPr>
        <w:rFonts w:hint="default"/>
        <w:lang w:val="en-US" w:eastAsia="en-US" w:bidi="ar-SA"/>
      </w:rPr>
    </w:lvl>
    <w:lvl w:ilvl="1">
      <w:start w:val="1"/>
      <w:numFmt w:val="decimal"/>
      <w:lvlText w:val="%1.%2"/>
      <w:lvlJc w:val="left"/>
      <w:pPr>
        <w:ind w:left="1704"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2028" w:hanging="425"/>
        <w:jc w:val="left"/>
      </w:pPr>
      <w:rPr>
        <w:rFonts w:ascii="宋体" w:eastAsia="宋体" w:hAnsi="宋体" w:cs="宋体" w:hint="default"/>
        <w:spacing w:val="0"/>
        <w:w w:val="99"/>
        <w:sz w:val="21"/>
        <w:szCs w:val="21"/>
        <w:lang w:val="en-US" w:eastAsia="en-US" w:bidi="ar-SA"/>
      </w:rPr>
    </w:lvl>
    <w:lvl w:ilvl="3">
      <w:start w:val="0"/>
      <w:numFmt w:val="bullet"/>
      <w:lvlText w:val="•"/>
      <w:lvlJc w:val="left"/>
      <w:pPr>
        <w:ind w:left="4105" w:hanging="425"/>
      </w:pPr>
      <w:rPr>
        <w:rFonts w:hint="default"/>
        <w:lang w:val="en-US" w:eastAsia="en-US" w:bidi="ar-SA"/>
      </w:rPr>
    </w:lvl>
    <w:lvl w:ilvl="4">
      <w:start w:val="0"/>
      <w:numFmt w:val="bullet"/>
      <w:lvlText w:val="•"/>
      <w:lvlJc w:val="left"/>
      <w:pPr>
        <w:ind w:left="5148" w:hanging="425"/>
      </w:pPr>
      <w:rPr>
        <w:rFonts w:hint="default"/>
        <w:lang w:val="en-US" w:eastAsia="en-US" w:bidi="ar-SA"/>
      </w:rPr>
    </w:lvl>
    <w:lvl w:ilvl="5">
      <w:start w:val="0"/>
      <w:numFmt w:val="bullet"/>
      <w:lvlText w:val="•"/>
      <w:lvlJc w:val="left"/>
      <w:pPr>
        <w:ind w:left="6191" w:hanging="425"/>
      </w:pPr>
      <w:rPr>
        <w:rFonts w:hint="default"/>
        <w:lang w:val="en-US" w:eastAsia="en-US" w:bidi="ar-SA"/>
      </w:rPr>
    </w:lvl>
    <w:lvl w:ilvl="6">
      <w:start w:val="0"/>
      <w:numFmt w:val="bullet"/>
      <w:lvlText w:val="•"/>
      <w:lvlJc w:val="left"/>
      <w:pPr>
        <w:ind w:left="7234" w:hanging="425"/>
      </w:pPr>
      <w:rPr>
        <w:rFonts w:hint="default"/>
        <w:lang w:val="en-US" w:eastAsia="en-US" w:bidi="ar-SA"/>
      </w:rPr>
    </w:lvl>
    <w:lvl w:ilvl="7">
      <w:start w:val="0"/>
      <w:numFmt w:val="bullet"/>
      <w:lvlText w:val="•"/>
      <w:lvlJc w:val="left"/>
      <w:pPr>
        <w:ind w:left="8277" w:hanging="425"/>
      </w:pPr>
      <w:rPr>
        <w:rFonts w:hint="default"/>
        <w:lang w:val="en-US" w:eastAsia="en-US" w:bidi="ar-SA"/>
      </w:rPr>
    </w:lvl>
    <w:lvl w:ilvl="8">
      <w:start w:val="0"/>
      <w:numFmt w:val="bullet"/>
      <w:lvlText w:val="•"/>
      <w:lvlJc w:val="left"/>
      <w:pPr>
        <w:ind w:left="9320" w:hanging="425"/>
      </w:pPr>
      <w:rPr>
        <w:rFonts w:hint="default"/>
        <w:lang w:val="en-US" w:eastAsia="en-US" w:bidi="ar-SA"/>
      </w:rPr>
    </w:lvl>
  </w:abstractNum>
  <w:abstractNum w:abstractNumId="7">
    <w:nsid w:val="120C8469"/>
    <w:multiLevelType w:val="hybridMultilevel"/>
    <w:tmpl w:val="00000000"/>
    <w:lvl w:ilvl="0">
      <w:start w:val="10"/>
      <w:numFmt w:val="decimal"/>
      <w:lvlText w:val="%1"/>
      <w:lvlJc w:val="left"/>
      <w:pPr>
        <w:ind w:left="892" w:hanging="1052"/>
        <w:jc w:val="left"/>
      </w:pPr>
      <w:rPr>
        <w:rFonts w:hint="default"/>
        <w:lang w:val="en-US" w:eastAsia="en-US" w:bidi="ar-SA"/>
      </w:rPr>
    </w:lvl>
    <w:lvl w:ilvl="1">
      <w:start w:val="1"/>
      <w:numFmt w:val="decimal"/>
      <w:lvlText w:val="%1.%2"/>
      <w:lvlJc w:val="left"/>
      <w:pPr>
        <w:ind w:left="892" w:hanging="1052"/>
        <w:jc w:val="left"/>
      </w:pPr>
      <w:rPr>
        <w:rFonts w:hint="default"/>
        <w:lang w:val="en-US" w:eastAsia="en-US" w:bidi="ar-SA"/>
      </w:rPr>
    </w:lvl>
    <w:lvl w:ilvl="2">
      <w:start w:val="3"/>
      <w:numFmt w:val="decimal"/>
      <w:lvlText w:val="%1.%2.%3"/>
      <w:lvlJc w:val="left"/>
      <w:pPr>
        <w:ind w:left="892" w:hanging="1052"/>
        <w:jc w:val="left"/>
      </w:pPr>
      <w:rPr>
        <w:rFonts w:hint="default"/>
        <w:lang w:val="en-US" w:eastAsia="en-US" w:bidi="ar-SA"/>
      </w:rPr>
    </w:lvl>
    <w:lvl w:ilvl="3">
      <w:start w:val="1"/>
      <w:numFmt w:val="decimal"/>
      <w:lvlText w:val="%1.%2.%3.%4"/>
      <w:lvlJc w:val="left"/>
      <w:pPr>
        <w:ind w:left="892" w:hanging="1052"/>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5102" w:hanging="1052"/>
      </w:pPr>
      <w:rPr>
        <w:rFonts w:hint="default"/>
        <w:lang w:val="en-US" w:eastAsia="en-US" w:bidi="ar-SA"/>
      </w:rPr>
    </w:lvl>
    <w:lvl w:ilvl="5">
      <w:start w:val="0"/>
      <w:numFmt w:val="bullet"/>
      <w:lvlText w:val="•"/>
      <w:lvlJc w:val="left"/>
      <w:pPr>
        <w:ind w:left="6153" w:hanging="1052"/>
      </w:pPr>
      <w:rPr>
        <w:rFonts w:hint="default"/>
        <w:lang w:val="en-US" w:eastAsia="en-US" w:bidi="ar-SA"/>
      </w:rPr>
    </w:lvl>
    <w:lvl w:ilvl="6">
      <w:start w:val="0"/>
      <w:numFmt w:val="bullet"/>
      <w:lvlText w:val="•"/>
      <w:lvlJc w:val="left"/>
      <w:pPr>
        <w:ind w:left="7203" w:hanging="1052"/>
      </w:pPr>
      <w:rPr>
        <w:rFonts w:hint="default"/>
        <w:lang w:val="en-US" w:eastAsia="en-US" w:bidi="ar-SA"/>
      </w:rPr>
    </w:lvl>
    <w:lvl w:ilvl="7">
      <w:start w:val="0"/>
      <w:numFmt w:val="bullet"/>
      <w:lvlText w:val="•"/>
      <w:lvlJc w:val="left"/>
      <w:pPr>
        <w:ind w:left="8254" w:hanging="1052"/>
      </w:pPr>
      <w:rPr>
        <w:rFonts w:hint="default"/>
        <w:lang w:val="en-US" w:eastAsia="en-US" w:bidi="ar-SA"/>
      </w:rPr>
    </w:lvl>
    <w:lvl w:ilvl="8">
      <w:start w:val="0"/>
      <w:numFmt w:val="bullet"/>
      <w:lvlText w:val="•"/>
      <w:lvlJc w:val="left"/>
      <w:pPr>
        <w:ind w:left="9304" w:hanging="1052"/>
      </w:pPr>
      <w:rPr>
        <w:rFonts w:hint="default"/>
        <w:lang w:val="en-US" w:eastAsia="en-US" w:bidi="ar-SA"/>
      </w:rPr>
    </w:lvl>
  </w:abstractNum>
  <w:abstractNum w:abstractNumId="8">
    <w:nsid w:val="1BE5A1B1"/>
    <w:multiLevelType w:val="hybridMultilevel"/>
    <w:tmpl w:val="00000000"/>
    <w:lvl w:ilvl="0">
      <w:start w:val="2"/>
      <w:numFmt w:val="upperLetter"/>
      <w:lvlText w:val="%1"/>
      <w:lvlJc w:val="left"/>
      <w:pPr>
        <w:ind w:left="1807" w:hanging="629"/>
        <w:jc w:val="left"/>
      </w:pPr>
      <w:rPr>
        <w:rFonts w:hint="default"/>
        <w:lang w:val="en-US" w:eastAsia="en-US" w:bidi="ar-SA"/>
      </w:rPr>
    </w:lvl>
    <w:lvl w:ilvl="1">
      <w:start w:val="2"/>
      <w:numFmt w:val="decimal"/>
      <w:lvlText w:val="%1.%2"/>
      <w:lvlJc w:val="left"/>
      <w:pPr>
        <w:ind w:left="1807" w:hanging="629"/>
        <w:jc w:val="left"/>
      </w:pPr>
      <w:rPr>
        <w:rFonts w:hint="default"/>
        <w:lang w:val="en-US" w:eastAsia="en-US" w:bidi="ar-SA"/>
      </w:rPr>
    </w:lvl>
    <w:lvl w:ilvl="2">
      <w:start w:val="1"/>
      <w:numFmt w:val="decimal"/>
      <w:lvlText w:val="%1.%2.%3"/>
      <w:lvlJc w:val="left"/>
      <w:pPr>
        <w:ind w:left="1807" w:hanging="629"/>
        <w:jc w:val="left"/>
      </w:pPr>
      <w:rPr>
        <w:rFonts w:ascii="黑体" w:eastAsia="黑体" w:hAnsi="黑体" w:cs="黑体" w:hint="default"/>
        <w:spacing w:val="-2"/>
        <w:w w:val="99"/>
        <w:sz w:val="21"/>
        <w:szCs w:val="21"/>
        <w:lang w:val="en-US" w:eastAsia="en-US" w:bidi="ar-SA"/>
      </w:rPr>
    </w:lvl>
    <w:lvl w:ilvl="3">
      <w:start w:val="1"/>
      <w:numFmt w:val="lowerLetter"/>
      <w:lvlText w:val="%4)"/>
      <w:lvlJc w:val="left"/>
      <w:pPr>
        <w:ind w:left="2028" w:hanging="425"/>
        <w:jc w:val="left"/>
      </w:pPr>
      <w:rPr>
        <w:rFonts w:ascii="宋体" w:eastAsia="宋体" w:hAnsi="宋体" w:cs="宋体" w:hint="default"/>
        <w:spacing w:val="0"/>
        <w:w w:val="99"/>
        <w:sz w:val="21"/>
        <w:szCs w:val="21"/>
        <w:lang w:val="en-US" w:eastAsia="en-US" w:bidi="ar-SA"/>
      </w:rPr>
    </w:lvl>
    <w:lvl w:ilvl="4">
      <w:start w:val="0"/>
      <w:numFmt w:val="bullet"/>
      <w:lvlText w:val="•"/>
      <w:lvlJc w:val="left"/>
      <w:pPr>
        <w:ind w:left="5148" w:hanging="425"/>
      </w:pPr>
      <w:rPr>
        <w:rFonts w:hint="default"/>
        <w:lang w:val="en-US" w:eastAsia="en-US" w:bidi="ar-SA"/>
      </w:rPr>
    </w:lvl>
    <w:lvl w:ilvl="5">
      <w:start w:val="0"/>
      <w:numFmt w:val="bullet"/>
      <w:lvlText w:val="•"/>
      <w:lvlJc w:val="left"/>
      <w:pPr>
        <w:ind w:left="6191" w:hanging="425"/>
      </w:pPr>
      <w:rPr>
        <w:rFonts w:hint="default"/>
        <w:lang w:val="en-US" w:eastAsia="en-US" w:bidi="ar-SA"/>
      </w:rPr>
    </w:lvl>
    <w:lvl w:ilvl="6">
      <w:start w:val="0"/>
      <w:numFmt w:val="bullet"/>
      <w:lvlText w:val="•"/>
      <w:lvlJc w:val="left"/>
      <w:pPr>
        <w:ind w:left="7234" w:hanging="425"/>
      </w:pPr>
      <w:rPr>
        <w:rFonts w:hint="default"/>
        <w:lang w:val="en-US" w:eastAsia="en-US" w:bidi="ar-SA"/>
      </w:rPr>
    </w:lvl>
    <w:lvl w:ilvl="7">
      <w:start w:val="0"/>
      <w:numFmt w:val="bullet"/>
      <w:lvlText w:val="•"/>
      <w:lvlJc w:val="left"/>
      <w:pPr>
        <w:ind w:left="8277" w:hanging="425"/>
      </w:pPr>
      <w:rPr>
        <w:rFonts w:hint="default"/>
        <w:lang w:val="en-US" w:eastAsia="en-US" w:bidi="ar-SA"/>
      </w:rPr>
    </w:lvl>
    <w:lvl w:ilvl="8">
      <w:start w:val="0"/>
      <w:numFmt w:val="bullet"/>
      <w:lvlText w:val="•"/>
      <w:lvlJc w:val="left"/>
      <w:pPr>
        <w:ind w:left="9320" w:hanging="425"/>
      </w:pPr>
      <w:rPr>
        <w:rFonts w:hint="default"/>
        <w:lang w:val="en-US" w:eastAsia="en-US" w:bidi="ar-SA"/>
      </w:rPr>
    </w:lvl>
  </w:abstractNum>
  <w:abstractNum w:abstractNumId="9">
    <w:nsid w:val="22939A2E"/>
    <w:multiLevelType w:val="hybridMultilevel"/>
    <w:tmpl w:val="00000000"/>
    <w:lvl w:ilvl="0">
      <w:start w:val="4"/>
      <w:numFmt w:val="decimal"/>
      <w:lvlText w:val="%1"/>
      <w:lvlJc w:val="left"/>
      <w:pPr>
        <w:ind w:left="1178" w:hanging="735"/>
        <w:jc w:val="left"/>
      </w:pPr>
      <w:rPr>
        <w:rFonts w:hint="default"/>
        <w:lang w:val="en-US" w:eastAsia="en-US" w:bidi="ar-SA"/>
      </w:rPr>
    </w:lvl>
    <w:lvl w:ilvl="1">
      <w:start w:val="1"/>
      <w:numFmt w:val="decimal"/>
      <w:lvlText w:val="%1.%2"/>
      <w:lvlJc w:val="left"/>
      <w:pPr>
        <w:ind w:left="1178" w:hanging="735"/>
        <w:jc w:val="left"/>
      </w:pPr>
      <w:rPr>
        <w:rFonts w:hint="default"/>
        <w:lang w:val="en-US" w:eastAsia="en-US" w:bidi="ar-SA"/>
      </w:rPr>
    </w:lvl>
    <w:lvl w:ilvl="2">
      <w:start w:val="2"/>
      <w:numFmt w:val="decimal"/>
      <w:lvlText w:val="%1.%2.%3"/>
      <w:lvlJc w:val="left"/>
      <w:pPr>
        <w:ind w:left="1178"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4247" w:hanging="735"/>
      </w:pPr>
      <w:rPr>
        <w:rFonts w:hint="default"/>
        <w:lang w:val="en-US" w:eastAsia="en-US" w:bidi="ar-SA"/>
      </w:rPr>
    </w:lvl>
    <w:lvl w:ilvl="4">
      <w:start w:val="0"/>
      <w:numFmt w:val="bullet"/>
      <w:lvlText w:val="•"/>
      <w:lvlJc w:val="left"/>
      <w:pPr>
        <w:ind w:left="5270" w:hanging="735"/>
      </w:pPr>
      <w:rPr>
        <w:rFonts w:hint="default"/>
        <w:lang w:val="en-US" w:eastAsia="en-US" w:bidi="ar-SA"/>
      </w:rPr>
    </w:lvl>
    <w:lvl w:ilvl="5">
      <w:start w:val="0"/>
      <w:numFmt w:val="bullet"/>
      <w:lvlText w:val="•"/>
      <w:lvlJc w:val="left"/>
      <w:pPr>
        <w:ind w:left="6293" w:hanging="735"/>
      </w:pPr>
      <w:rPr>
        <w:rFonts w:hint="default"/>
        <w:lang w:val="en-US" w:eastAsia="en-US" w:bidi="ar-SA"/>
      </w:rPr>
    </w:lvl>
    <w:lvl w:ilvl="6">
      <w:start w:val="0"/>
      <w:numFmt w:val="bullet"/>
      <w:lvlText w:val="•"/>
      <w:lvlJc w:val="left"/>
      <w:pPr>
        <w:ind w:left="7315" w:hanging="735"/>
      </w:pPr>
      <w:rPr>
        <w:rFonts w:hint="default"/>
        <w:lang w:val="en-US" w:eastAsia="en-US" w:bidi="ar-SA"/>
      </w:rPr>
    </w:lvl>
    <w:lvl w:ilvl="7">
      <w:start w:val="0"/>
      <w:numFmt w:val="bullet"/>
      <w:lvlText w:val="•"/>
      <w:lvlJc w:val="left"/>
      <w:pPr>
        <w:ind w:left="8338" w:hanging="735"/>
      </w:pPr>
      <w:rPr>
        <w:rFonts w:hint="default"/>
        <w:lang w:val="en-US" w:eastAsia="en-US" w:bidi="ar-SA"/>
      </w:rPr>
    </w:lvl>
    <w:lvl w:ilvl="8">
      <w:start w:val="0"/>
      <w:numFmt w:val="bullet"/>
      <w:lvlText w:val="•"/>
      <w:lvlJc w:val="left"/>
      <w:pPr>
        <w:ind w:left="9360" w:hanging="735"/>
      </w:pPr>
      <w:rPr>
        <w:rFonts w:hint="default"/>
        <w:lang w:val="en-US" w:eastAsia="en-US" w:bidi="ar-SA"/>
      </w:rPr>
    </w:lvl>
  </w:abstractNum>
  <w:abstractNum w:abstractNumId="10">
    <w:nsid w:val="2E22B580"/>
    <w:multiLevelType w:val="hybridMultilevel"/>
    <w:tmpl w:val="00000000"/>
    <w:lvl w:ilvl="0">
      <w:start w:val="10"/>
      <w:numFmt w:val="decimal"/>
      <w:lvlText w:val="%1"/>
      <w:lvlJc w:val="left"/>
      <w:pPr>
        <w:ind w:left="2227" w:hanging="1049"/>
        <w:jc w:val="left"/>
      </w:pPr>
      <w:rPr>
        <w:rFonts w:hint="default"/>
        <w:lang w:val="en-US" w:eastAsia="en-US" w:bidi="ar-SA"/>
      </w:rPr>
    </w:lvl>
    <w:lvl w:ilvl="1">
      <w:start w:val="3"/>
      <w:numFmt w:val="decimal"/>
      <w:lvlText w:val="%1.%2"/>
      <w:lvlJc w:val="left"/>
      <w:pPr>
        <w:ind w:left="2227" w:hanging="1049"/>
        <w:jc w:val="left"/>
      </w:pPr>
      <w:rPr>
        <w:rFonts w:hint="default"/>
        <w:lang w:val="en-US" w:eastAsia="en-US" w:bidi="ar-SA"/>
      </w:rPr>
    </w:lvl>
    <w:lvl w:ilvl="2">
      <w:start w:val="1"/>
      <w:numFmt w:val="decimal"/>
      <w:lvlText w:val="%1.%2.%3"/>
      <w:lvlJc w:val="left"/>
      <w:pPr>
        <w:ind w:left="2227" w:hanging="1049"/>
        <w:jc w:val="left"/>
      </w:pPr>
      <w:rPr>
        <w:rFonts w:hint="default"/>
        <w:lang w:val="en-US" w:eastAsia="en-US" w:bidi="ar-SA"/>
      </w:rPr>
    </w:lvl>
    <w:lvl w:ilvl="3">
      <w:start w:val="1"/>
      <w:numFmt w:val="decimal"/>
      <w:lvlText w:val="%1.%2.%3.%4"/>
      <w:lvlJc w:val="left"/>
      <w:pPr>
        <w:ind w:left="2227" w:hanging="1049"/>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5894" w:hanging="1049"/>
      </w:pPr>
      <w:rPr>
        <w:rFonts w:hint="default"/>
        <w:lang w:val="en-US" w:eastAsia="en-US" w:bidi="ar-SA"/>
      </w:rPr>
    </w:lvl>
    <w:lvl w:ilvl="5">
      <w:start w:val="0"/>
      <w:numFmt w:val="bullet"/>
      <w:lvlText w:val="•"/>
      <w:lvlJc w:val="left"/>
      <w:pPr>
        <w:ind w:left="6813" w:hanging="1049"/>
      </w:pPr>
      <w:rPr>
        <w:rFonts w:hint="default"/>
        <w:lang w:val="en-US" w:eastAsia="en-US" w:bidi="ar-SA"/>
      </w:rPr>
    </w:lvl>
    <w:lvl w:ilvl="6">
      <w:start w:val="0"/>
      <w:numFmt w:val="bullet"/>
      <w:lvlText w:val="•"/>
      <w:lvlJc w:val="left"/>
      <w:pPr>
        <w:ind w:left="7731" w:hanging="1049"/>
      </w:pPr>
      <w:rPr>
        <w:rFonts w:hint="default"/>
        <w:lang w:val="en-US" w:eastAsia="en-US" w:bidi="ar-SA"/>
      </w:rPr>
    </w:lvl>
    <w:lvl w:ilvl="7">
      <w:start w:val="0"/>
      <w:numFmt w:val="bullet"/>
      <w:lvlText w:val="•"/>
      <w:lvlJc w:val="left"/>
      <w:pPr>
        <w:ind w:left="8650" w:hanging="1049"/>
      </w:pPr>
      <w:rPr>
        <w:rFonts w:hint="default"/>
        <w:lang w:val="en-US" w:eastAsia="en-US" w:bidi="ar-SA"/>
      </w:rPr>
    </w:lvl>
    <w:lvl w:ilvl="8">
      <w:start w:val="0"/>
      <w:numFmt w:val="bullet"/>
      <w:lvlText w:val="•"/>
      <w:lvlJc w:val="left"/>
      <w:pPr>
        <w:ind w:left="9568" w:hanging="1049"/>
      </w:pPr>
      <w:rPr>
        <w:rFonts w:hint="default"/>
        <w:lang w:val="en-US" w:eastAsia="en-US" w:bidi="ar-SA"/>
      </w:rPr>
    </w:lvl>
  </w:abstractNum>
  <w:abstractNum w:abstractNumId="11">
    <w:nsid w:val="35ECF0C4"/>
    <w:multiLevelType w:val="hybridMultilevel"/>
    <w:tmpl w:val="00000000"/>
    <w:lvl w:ilvl="0">
      <w:start w:val="5"/>
      <w:numFmt w:val="decimal"/>
      <w:lvlText w:val="%1"/>
      <w:lvlJc w:val="left"/>
      <w:pPr>
        <w:ind w:left="1492" w:hanging="315"/>
        <w:jc w:val="right"/>
      </w:pPr>
      <w:rPr>
        <w:rFonts w:ascii="黑体" w:eastAsia="黑体" w:hAnsi="黑体" w:cs="黑体" w:hint="default"/>
        <w:w w:val="99"/>
        <w:sz w:val="21"/>
        <w:szCs w:val="21"/>
        <w:lang w:val="en-US" w:eastAsia="en-US" w:bidi="ar-SA"/>
      </w:rPr>
    </w:lvl>
    <w:lvl w:ilvl="1">
      <w:start w:val="1"/>
      <w:numFmt w:val="decimal"/>
      <w:lvlText w:val="%1.%2"/>
      <w:lvlJc w:val="left"/>
      <w:pPr>
        <w:ind w:left="1704"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178" w:hanging="735"/>
        <w:jc w:val="left"/>
      </w:pPr>
      <w:rPr>
        <w:rFonts w:ascii="黑体" w:eastAsia="黑体" w:hAnsi="黑体" w:cs="黑体" w:hint="default"/>
        <w:spacing w:val="-2"/>
        <w:w w:val="99"/>
        <w:sz w:val="21"/>
        <w:szCs w:val="21"/>
        <w:lang w:val="en-US" w:eastAsia="en-US" w:bidi="ar-SA"/>
      </w:rPr>
    </w:lvl>
    <w:lvl w:ilvl="3">
      <w:start w:val="1"/>
      <w:numFmt w:val="lowerLetter"/>
      <w:lvlText w:val="%4)"/>
      <w:lvlJc w:val="left"/>
      <w:pPr>
        <w:ind w:left="1744" w:hanging="425"/>
        <w:jc w:val="left"/>
      </w:pPr>
      <w:rPr>
        <w:rFonts w:ascii="宋体" w:eastAsia="宋体" w:hAnsi="宋体" w:cs="宋体" w:hint="default"/>
        <w:spacing w:val="0"/>
        <w:w w:val="99"/>
        <w:sz w:val="21"/>
        <w:szCs w:val="21"/>
        <w:lang w:val="en-US" w:eastAsia="en-US" w:bidi="ar-SA"/>
      </w:rPr>
    </w:lvl>
    <w:lvl w:ilvl="4">
      <w:start w:val="0"/>
      <w:numFmt w:val="bullet"/>
      <w:lvlText w:val="•"/>
      <w:lvlJc w:val="left"/>
      <w:pPr>
        <w:ind w:left="1620" w:hanging="425"/>
      </w:pPr>
      <w:rPr>
        <w:rFonts w:hint="default"/>
        <w:lang w:val="en-US" w:eastAsia="en-US" w:bidi="ar-SA"/>
      </w:rPr>
    </w:lvl>
    <w:lvl w:ilvl="5">
      <w:start w:val="0"/>
      <w:numFmt w:val="bullet"/>
      <w:lvlText w:val="•"/>
      <w:lvlJc w:val="left"/>
      <w:pPr>
        <w:ind w:left="1700" w:hanging="425"/>
      </w:pPr>
      <w:rPr>
        <w:rFonts w:hint="default"/>
        <w:lang w:val="en-US" w:eastAsia="en-US" w:bidi="ar-SA"/>
      </w:rPr>
    </w:lvl>
    <w:lvl w:ilvl="6">
      <w:start w:val="0"/>
      <w:numFmt w:val="bullet"/>
      <w:lvlText w:val="•"/>
      <w:lvlJc w:val="left"/>
      <w:pPr>
        <w:ind w:left="1740" w:hanging="425"/>
      </w:pPr>
      <w:rPr>
        <w:rFonts w:hint="default"/>
        <w:lang w:val="en-US" w:eastAsia="en-US" w:bidi="ar-SA"/>
      </w:rPr>
    </w:lvl>
    <w:lvl w:ilvl="7">
      <w:start w:val="0"/>
      <w:numFmt w:val="bullet"/>
      <w:lvlText w:val="•"/>
      <w:lvlJc w:val="left"/>
      <w:pPr>
        <w:ind w:left="1800" w:hanging="425"/>
      </w:pPr>
      <w:rPr>
        <w:rFonts w:hint="default"/>
        <w:lang w:val="en-US" w:eastAsia="en-US" w:bidi="ar-SA"/>
      </w:rPr>
    </w:lvl>
    <w:lvl w:ilvl="8">
      <w:start w:val="0"/>
      <w:numFmt w:val="bullet"/>
      <w:lvlText w:val="•"/>
      <w:lvlJc w:val="left"/>
      <w:pPr>
        <w:ind w:left="1920" w:hanging="425"/>
      </w:pPr>
      <w:rPr>
        <w:rFonts w:hint="default"/>
        <w:lang w:val="en-US" w:eastAsia="en-US" w:bidi="ar-SA"/>
      </w:rPr>
    </w:lvl>
  </w:abstractNum>
  <w:abstractNum w:abstractNumId="12">
    <w:nsid w:val="367A394A"/>
    <w:multiLevelType w:val="hybridMultilevel"/>
    <w:tmpl w:val="00000000"/>
    <w:lvl w:ilvl="0">
      <w:start w:val="1"/>
      <w:numFmt w:val="decimal"/>
      <w:lvlText w:val="%1"/>
      <w:lvlJc w:val="left"/>
      <w:pPr>
        <w:ind w:left="1492" w:hanging="315"/>
        <w:jc w:val="left"/>
      </w:pPr>
      <w:rPr>
        <w:rFonts w:ascii="黑体" w:eastAsia="黑体" w:hAnsi="黑体" w:cs="黑体" w:hint="default"/>
        <w:w w:val="99"/>
        <w:sz w:val="21"/>
        <w:szCs w:val="21"/>
        <w:lang w:val="en-US" w:eastAsia="en-US" w:bidi="ar-SA"/>
      </w:rPr>
    </w:lvl>
    <w:lvl w:ilvl="1">
      <w:start w:val="0"/>
      <w:numFmt w:val="bullet"/>
      <w:lvlText w:val="•"/>
      <w:lvlJc w:val="left"/>
      <w:pPr>
        <w:ind w:left="2490" w:hanging="315"/>
      </w:pPr>
      <w:rPr>
        <w:rFonts w:hint="default"/>
        <w:lang w:val="en-US" w:eastAsia="en-US" w:bidi="ar-SA"/>
      </w:rPr>
    </w:lvl>
    <w:lvl w:ilvl="2">
      <w:start w:val="0"/>
      <w:numFmt w:val="bullet"/>
      <w:lvlText w:val="•"/>
      <w:lvlJc w:val="left"/>
      <w:pPr>
        <w:ind w:left="3481" w:hanging="315"/>
      </w:pPr>
      <w:rPr>
        <w:rFonts w:hint="default"/>
        <w:lang w:val="en-US" w:eastAsia="en-US" w:bidi="ar-SA"/>
      </w:rPr>
    </w:lvl>
    <w:lvl w:ilvl="3">
      <w:start w:val="0"/>
      <w:numFmt w:val="bullet"/>
      <w:lvlText w:val="•"/>
      <w:lvlJc w:val="left"/>
      <w:pPr>
        <w:ind w:left="4471" w:hanging="315"/>
      </w:pPr>
      <w:rPr>
        <w:rFonts w:hint="default"/>
        <w:lang w:val="en-US" w:eastAsia="en-US" w:bidi="ar-SA"/>
      </w:rPr>
    </w:lvl>
    <w:lvl w:ilvl="4">
      <w:start w:val="0"/>
      <w:numFmt w:val="bullet"/>
      <w:lvlText w:val="•"/>
      <w:lvlJc w:val="left"/>
      <w:pPr>
        <w:ind w:left="5462" w:hanging="315"/>
      </w:pPr>
      <w:rPr>
        <w:rFonts w:hint="default"/>
        <w:lang w:val="en-US" w:eastAsia="en-US" w:bidi="ar-SA"/>
      </w:rPr>
    </w:lvl>
    <w:lvl w:ilvl="5">
      <w:start w:val="0"/>
      <w:numFmt w:val="bullet"/>
      <w:lvlText w:val="•"/>
      <w:lvlJc w:val="left"/>
      <w:pPr>
        <w:ind w:left="6453" w:hanging="315"/>
      </w:pPr>
      <w:rPr>
        <w:rFonts w:hint="default"/>
        <w:lang w:val="en-US" w:eastAsia="en-US" w:bidi="ar-SA"/>
      </w:rPr>
    </w:lvl>
    <w:lvl w:ilvl="6">
      <w:start w:val="0"/>
      <w:numFmt w:val="bullet"/>
      <w:lvlText w:val="•"/>
      <w:lvlJc w:val="left"/>
      <w:pPr>
        <w:ind w:left="7443" w:hanging="315"/>
      </w:pPr>
      <w:rPr>
        <w:rFonts w:hint="default"/>
        <w:lang w:val="en-US" w:eastAsia="en-US" w:bidi="ar-SA"/>
      </w:rPr>
    </w:lvl>
    <w:lvl w:ilvl="7">
      <w:start w:val="0"/>
      <w:numFmt w:val="bullet"/>
      <w:lvlText w:val="•"/>
      <w:lvlJc w:val="left"/>
      <w:pPr>
        <w:ind w:left="8434" w:hanging="315"/>
      </w:pPr>
      <w:rPr>
        <w:rFonts w:hint="default"/>
        <w:lang w:val="en-US" w:eastAsia="en-US" w:bidi="ar-SA"/>
      </w:rPr>
    </w:lvl>
    <w:lvl w:ilvl="8">
      <w:start w:val="0"/>
      <w:numFmt w:val="bullet"/>
      <w:lvlText w:val="•"/>
      <w:lvlJc w:val="left"/>
      <w:pPr>
        <w:ind w:left="9424" w:hanging="315"/>
      </w:pPr>
      <w:rPr>
        <w:rFonts w:hint="default"/>
        <w:lang w:val="en-US" w:eastAsia="en-US" w:bidi="ar-SA"/>
      </w:rPr>
    </w:lvl>
  </w:abstractNum>
  <w:abstractNum w:abstractNumId="13">
    <w:nsid w:val="694BE0BC"/>
    <w:multiLevelType w:val="hybridMultilevel"/>
    <w:tmpl w:val="00000000"/>
    <w:lvl w:ilvl="0">
      <w:start w:val="3"/>
      <w:numFmt w:val="upperLetter"/>
      <w:lvlText w:val="%1"/>
      <w:lvlJc w:val="left"/>
      <w:pPr>
        <w:ind w:left="1418" w:hanging="526"/>
        <w:jc w:val="left"/>
      </w:pPr>
      <w:rPr>
        <w:rFonts w:hint="default"/>
        <w:lang w:val="en-US" w:eastAsia="en-US" w:bidi="ar-SA"/>
      </w:rPr>
    </w:lvl>
    <w:lvl w:ilvl="1">
      <w:start w:val="1"/>
      <w:numFmt w:val="decimal"/>
      <w:lvlText w:val="%1.%2"/>
      <w:lvlJc w:val="left"/>
      <w:pPr>
        <w:ind w:left="1418"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1744" w:hanging="425"/>
        <w:jc w:val="left"/>
      </w:pPr>
      <w:rPr>
        <w:rFonts w:ascii="宋体" w:eastAsia="宋体" w:hAnsi="宋体" w:cs="宋体" w:hint="default"/>
        <w:spacing w:val="0"/>
        <w:w w:val="99"/>
        <w:sz w:val="21"/>
        <w:szCs w:val="21"/>
        <w:lang w:val="en-US" w:eastAsia="en-US" w:bidi="ar-SA"/>
      </w:rPr>
    </w:lvl>
    <w:lvl w:ilvl="3">
      <w:start w:val="1"/>
      <w:numFmt w:val="decimal"/>
      <w:lvlText w:val="[%4]"/>
      <w:lvlJc w:val="left"/>
      <w:pPr>
        <w:ind w:left="2018" w:hanging="420"/>
        <w:jc w:val="left"/>
      </w:pPr>
      <w:rPr>
        <w:rFonts w:ascii="宋体" w:eastAsia="宋体" w:hAnsi="宋体" w:cs="宋体" w:hint="default"/>
        <w:spacing w:val="0"/>
        <w:w w:val="99"/>
        <w:sz w:val="21"/>
        <w:szCs w:val="21"/>
        <w:lang w:val="en-US" w:eastAsia="en-US" w:bidi="ar-SA"/>
      </w:rPr>
    </w:lvl>
    <w:lvl w:ilvl="4">
      <w:start w:val="0"/>
      <w:numFmt w:val="bullet"/>
      <w:lvlText w:val="•"/>
      <w:lvlJc w:val="left"/>
      <w:pPr>
        <w:ind w:left="4366" w:hanging="420"/>
      </w:pPr>
      <w:rPr>
        <w:rFonts w:hint="default"/>
        <w:lang w:val="en-US" w:eastAsia="en-US" w:bidi="ar-SA"/>
      </w:rPr>
    </w:lvl>
    <w:lvl w:ilvl="5">
      <w:start w:val="0"/>
      <w:numFmt w:val="bullet"/>
      <w:lvlText w:val="•"/>
      <w:lvlJc w:val="left"/>
      <w:pPr>
        <w:ind w:left="5539" w:hanging="420"/>
      </w:pPr>
      <w:rPr>
        <w:rFonts w:hint="default"/>
        <w:lang w:val="en-US" w:eastAsia="en-US" w:bidi="ar-SA"/>
      </w:rPr>
    </w:lvl>
    <w:lvl w:ilvl="6">
      <w:start w:val="0"/>
      <w:numFmt w:val="bullet"/>
      <w:lvlText w:val="•"/>
      <w:lvlJc w:val="left"/>
      <w:pPr>
        <w:ind w:left="6713" w:hanging="420"/>
      </w:pPr>
      <w:rPr>
        <w:rFonts w:hint="default"/>
        <w:lang w:val="en-US" w:eastAsia="en-US" w:bidi="ar-SA"/>
      </w:rPr>
    </w:lvl>
    <w:lvl w:ilvl="7">
      <w:start w:val="0"/>
      <w:numFmt w:val="bullet"/>
      <w:lvlText w:val="•"/>
      <w:lvlJc w:val="left"/>
      <w:pPr>
        <w:ind w:left="7886" w:hanging="420"/>
      </w:pPr>
      <w:rPr>
        <w:rFonts w:hint="default"/>
        <w:lang w:val="en-US" w:eastAsia="en-US" w:bidi="ar-SA"/>
      </w:rPr>
    </w:lvl>
    <w:lvl w:ilvl="8">
      <w:start w:val="0"/>
      <w:numFmt w:val="bullet"/>
      <w:lvlText w:val="•"/>
      <w:lvlJc w:val="left"/>
      <w:pPr>
        <w:ind w:left="9059" w:hanging="420"/>
      </w:pPr>
      <w:rPr>
        <w:rFonts w:hint="default"/>
        <w:lang w:val="en-US" w:eastAsia="en-US" w:bidi="ar-SA"/>
      </w:rPr>
    </w:lvl>
  </w:abstractNum>
  <w:abstractNum w:abstractNumId="14">
    <w:nsid w:val="6987E797"/>
    <w:multiLevelType w:val="hybridMultilevel"/>
    <w:tmpl w:val="00000000"/>
    <w:lvl w:ilvl="0">
      <w:start w:val="4"/>
      <w:numFmt w:val="decimal"/>
      <w:lvlText w:val="%1"/>
      <w:lvlJc w:val="left"/>
      <w:pPr>
        <w:ind w:left="1178" w:hanging="735"/>
        <w:jc w:val="left"/>
      </w:pPr>
      <w:rPr>
        <w:rFonts w:hint="default"/>
        <w:lang w:val="en-US" w:eastAsia="en-US" w:bidi="ar-SA"/>
      </w:rPr>
    </w:lvl>
    <w:lvl w:ilvl="1">
      <w:start w:val="1"/>
      <w:numFmt w:val="decimal"/>
      <w:lvlText w:val="%1.%2"/>
      <w:lvlJc w:val="left"/>
      <w:pPr>
        <w:ind w:left="1178" w:hanging="735"/>
        <w:jc w:val="left"/>
      </w:pPr>
      <w:rPr>
        <w:rFonts w:hint="default"/>
        <w:lang w:val="en-US" w:eastAsia="en-US" w:bidi="ar-SA"/>
      </w:rPr>
    </w:lvl>
    <w:lvl w:ilvl="2">
      <w:start w:val="2"/>
      <w:numFmt w:val="decimal"/>
      <w:lvlText w:val="%1.%2.%3"/>
      <w:lvlJc w:val="left"/>
      <w:pPr>
        <w:ind w:left="1178"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4247" w:hanging="735"/>
      </w:pPr>
      <w:rPr>
        <w:rFonts w:hint="default"/>
        <w:lang w:val="en-US" w:eastAsia="en-US" w:bidi="ar-SA"/>
      </w:rPr>
    </w:lvl>
    <w:lvl w:ilvl="4">
      <w:start w:val="0"/>
      <w:numFmt w:val="bullet"/>
      <w:lvlText w:val="•"/>
      <w:lvlJc w:val="left"/>
      <w:pPr>
        <w:ind w:left="5270" w:hanging="735"/>
      </w:pPr>
      <w:rPr>
        <w:rFonts w:hint="default"/>
        <w:lang w:val="en-US" w:eastAsia="en-US" w:bidi="ar-SA"/>
      </w:rPr>
    </w:lvl>
    <w:lvl w:ilvl="5">
      <w:start w:val="0"/>
      <w:numFmt w:val="bullet"/>
      <w:lvlText w:val="•"/>
      <w:lvlJc w:val="left"/>
      <w:pPr>
        <w:ind w:left="6293" w:hanging="735"/>
      </w:pPr>
      <w:rPr>
        <w:rFonts w:hint="default"/>
        <w:lang w:val="en-US" w:eastAsia="en-US" w:bidi="ar-SA"/>
      </w:rPr>
    </w:lvl>
    <w:lvl w:ilvl="6">
      <w:start w:val="0"/>
      <w:numFmt w:val="bullet"/>
      <w:lvlText w:val="•"/>
      <w:lvlJc w:val="left"/>
      <w:pPr>
        <w:ind w:left="7315" w:hanging="735"/>
      </w:pPr>
      <w:rPr>
        <w:rFonts w:hint="default"/>
        <w:lang w:val="en-US" w:eastAsia="en-US" w:bidi="ar-SA"/>
      </w:rPr>
    </w:lvl>
    <w:lvl w:ilvl="7">
      <w:start w:val="0"/>
      <w:numFmt w:val="bullet"/>
      <w:lvlText w:val="•"/>
      <w:lvlJc w:val="left"/>
      <w:pPr>
        <w:ind w:left="8338" w:hanging="735"/>
      </w:pPr>
      <w:rPr>
        <w:rFonts w:hint="default"/>
        <w:lang w:val="en-US" w:eastAsia="en-US" w:bidi="ar-SA"/>
      </w:rPr>
    </w:lvl>
    <w:lvl w:ilvl="8">
      <w:start w:val="0"/>
      <w:numFmt w:val="bullet"/>
      <w:lvlText w:val="•"/>
      <w:lvlJc w:val="left"/>
      <w:pPr>
        <w:ind w:left="9360" w:hanging="735"/>
      </w:pPr>
      <w:rPr>
        <w:rFonts w:hint="default"/>
        <w:lang w:val="en-US" w:eastAsia="en-US" w:bidi="ar-SA"/>
      </w:rPr>
    </w:lvl>
  </w:abstractNum>
  <w:abstractNum w:abstractNumId="15">
    <w:nsid w:val="6AF7554A"/>
    <w:multiLevelType w:val="hybridMultilevel"/>
    <w:tmpl w:val="00000000"/>
    <w:lvl w:ilvl="0">
      <w:start w:val="1"/>
      <w:numFmt w:val="upperLetter"/>
      <w:lvlText w:val="%1"/>
      <w:lvlJc w:val="left"/>
      <w:pPr>
        <w:ind w:left="1704" w:hanging="526"/>
        <w:jc w:val="left"/>
      </w:pPr>
      <w:rPr>
        <w:rFonts w:hint="default"/>
        <w:lang w:val="en-US" w:eastAsia="en-US" w:bidi="ar-SA"/>
      </w:rPr>
    </w:lvl>
    <w:lvl w:ilvl="1">
      <w:start w:val="1"/>
      <w:numFmt w:val="decimal"/>
      <w:lvlText w:val="%1.%2"/>
      <w:lvlJc w:val="left"/>
      <w:pPr>
        <w:ind w:left="1704"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2028" w:hanging="425"/>
        <w:jc w:val="left"/>
      </w:pPr>
      <w:rPr>
        <w:rFonts w:ascii="宋体" w:eastAsia="宋体" w:hAnsi="宋体" w:cs="宋体" w:hint="default"/>
        <w:spacing w:val="0"/>
        <w:w w:val="99"/>
        <w:sz w:val="21"/>
        <w:szCs w:val="21"/>
        <w:lang w:val="en-US" w:eastAsia="en-US" w:bidi="ar-SA"/>
      </w:rPr>
    </w:lvl>
    <w:lvl w:ilvl="3">
      <w:start w:val="0"/>
      <w:numFmt w:val="bullet"/>
      <w:lvlText w:val="•"/>
      <w:lvlJc w:val="left"/>
      <w:pPr>
        <w:ind w:left="3193" w:hanging="425"/>
      </w:pPr>
      <w:rPr>
        <w:rFonts w:hint="default"/>
        <w:lang w:val="en-US" w:eastAsia="en-US" w:bidi="ar-SA"/>
      </w:rPr>
    </w:lvl>
    <w:lvl w:ilvl="4">
      <w:start w:val="0"/>
      <w:numFmt w:val="bullet"/>
      <w:lvlText w:val="•"/>
      <w:lvlJc w:val="left"/>
      <w:pPr>
        <w:ind w:left="4366" w:hanging="425"/>
      </w:pPr>
      <w:rPr>
        <w:rFonts w:hint="default"/>
        <w:lang w:val="en-US" w:eastAsia="en-US" w:bidi="ar-SA"/>
      </w:rPr>
    </w:lvl>
    <w:lvl w:ilvl="5">
      <w:start w:val="0"/>
      <w:numFmt w:val="bullet"/>
      <w:lvlText w:val="•"/>
      <w:lvlJc w:val="left"/>
      <w:pPr>
        <w:ind w:left="5539" w:hanging="425"/>
      </w:pPr>
      <w:rPr>
        <w:rFonts w:hint="default"/>
        <w:lang w:val="en-US" w:eastAsia="en-US" w:bidi="ar-SA"/>
      </w:rPr>
    </w:lvl>
    <w:lvl w:ilvl="6">
      <w:start w:val="0"/>
      <w:numFmt w:val="bullet"/>
      <w:lvlText w:val="•"/>
      <w:lvlJc w:val="left"/>
      <w:pPr>
        <w:ind w:left="6713" w:hanging="425"/>
      </w:pPr>
      <w:rPr>
        <w:rFonts w:hint="default"/>
        <w:lang w:val="en-US" w:eastAsia="en-US" w:bidi="ar-SA"/>
      </w:rPr>
    </w:lvl>
    <w:lvl w:ilvl="7">
      <w:start w:val="0"/>
      <w:numFmt w:val="bullet"/>
      <w:lvlText w:val="•"/>
      <w:lvlJc w:val="left"/>
      <w:pPr>
        <w:ind w:left="7886" w:hanging="425"/>
      </w:pPr>
      <w:rPr>
        <w:rFonts w:hint="default"/>
        <w:lang w:val="en-US" w:eastAsia="en-US" w:bidi="ar-SA"/>
      </w:rPr>
    </w:lvl>
    <w:lvl w:ilvl="8">
      <w:start w:val="0"/>
      <w:numFmt w:val="bullet"/>
      <w:lvlText w:val="•"/>
      <w:lvlJc w:val="left"/>
      <w:pPr>
        <w:ind w:left="9059" w:hanging="425"/>
      </w:pPr>
      <w:rPr>
        <w:rFonts w:hint="default"/>
        <w:lang w:val="en-US" w:eastAsia="en-US" w:bidi="ar-SA"/>
      </w:rPr>
    </w:lvl>
  </w:abstractNum>
  <w:abstractNum w:abstractNumId="16">
    <w:nsid w:val="75C34A99"/>
    <w:multiLevelType w:val="hybridMultilevel"/>
    <w:tmpl w:val="00000000"/>
    <w:lvl w:ilvl="0">
      <w:start w:val="11"/>
      <w:numFmt w:val="decimal"/>
      <w:lvlText w:val="%1"/>
      <w:lvlJc w:val="left"/>
      <w:pPr>
        <w:ind w:left="840" w:hanging="840"/>
        <w:jc w:val="left"/>
      </w:pPr>
      <w:rPr>
        <w:rFonts w:hint="default"/>
        <w:lang w:val="en-US" w:eastAsia="en-US" w:bidi="ar-SA"/>
      </w:rPr>
    </w:lvl>
    <w:lvl w:ilvl="1">
      <w:start w:val="4"/>
      <w:numFmt w:val="decimal"/>
      <w:lvlText w:val="%1.%2"/>
      <w:lvlJc w:val="left"/>
      <w:pPr>
        <w:ind w:left="840" w:hanging="840"/>
        <w:jc w:val="left"/>
      </w:pPr>
      <w:rPr>
        <w:rFonts w:hint="default"/>
        <w:lang w:val="en-US" w:eastAsia="en-US" w:bidi="ar-SA"/>
      </w:rPr>
    </w:lvl>
    <w:lvl w:ilvl="2">
      <w:start w:val="6"/>
      <w:numFmt w:val="decimal"/>
      <w:lvlText w:val="%1.%2.%3"/>
      <w:lvlJc w:val="left"/>
      <w:pPr>
        <w:ind w:left="840" w:hanging="840"/>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3399" w:hanging="840"/>
      </w:pPr>
      <w:rPr>
        <w:rFonts w:hint="default"/>
        <w:lang w:val="en-US" w:eastAsia="en-US" w:bidi="ar-SA"/>
      </w:rPr>
    </w:lvl>
    <w:lvl w:ilvl="4">
      <w:start w:val="0"/>
      <w:numFmt w:val="bullet"/>
      <w:lvlText w:val="•"/>
      <w:lvlJc w:val="left"/>
      <w:pPr>
        <w:ind w:left="4253" w:hanging="840"/>
      </w:pPr>
      <w:rPr>
        <w:rFonts w:hint="default"/>
        <w:lang w:val="en-US" w:eastAsia="en-US" w:bidi="ar-SA"/>
      </w:rPr>
    </w:lvl>
    <w:lvl w:ilvl="5">
      <w:start w:val="0"/>
      <w:numFmt w:val="bullet"/>
      <w:lvlText w:val="•"/>
      <w:lvlJc w:val="left"/>
      <w:pPr>
        <w:ind w:left="5106" w:hanging="840"/>
      </w:pPr>
      <w:rPr>
        <w:rFonts w:hint="default"/>
        <w:lang w:val="en-US" w:eastAsia="en-US" w:bidi="ar-SA"/>
      </w:rPr>
    </w:lvl>
    <w:lvl w:ilvl="6">
      <w:start w:val="0"/>
      <w:numFmt w:val="bullet"/>
      <w:lvlText w:val="•"/>
      <w:lvlJc w:val="left"/>
      <w:pPr>
        <w:ind w:left="5959" w:hanging="840"/>
      </w:pPr>
      <w:rPr>
        <w:rFonts w:hint="default"/>
        <w:lang w:val="en-US" w:eastAsia="en-US" w:bidi="ar-SA"/>
      </w:rPr>
    </w:lvl>
    <w:lvl w:ilvl="7">
      <w:start w:val="0"/>
      <w:numFmt w:val="bullet"/>
      <w:lvlText w:val="•"/>
      <w:lvlJc w:val="left"/>
      <w:pPr>
        <w:ind w:left="6813" w:hanging="840"/>
      </w:pPr>
      <w:rPr>
        <w:rFonts w:hint="default"/>
        <w:lang w:val="en-US" w:eastAsia="en-US" w:bidi="ar-SA"/>
      </w:rPr>
    </w:lvl>
    <w:lvl w:ilvl="8">
      <w:start w:val="0"/>
      <w:numFmt w:val="bullet"/>
      <w:lvlText w:val="•"/>
      <w:lvlJc w:val="left"/>
      <w:pPr>
        <w:ind w:left="7666" w:hanging="840"/>
      </w:pPr>
      <w:rPr>
        <w:rFonts w:hint="default"/>
        <w:lang w:val="en-US" w:eastAsia="en-US" w:bidi="ar-SA"/>
      </w:rPr>
    </w:lvl>
  </w:abstractNum>
  <w:num w:numId="1">
    <w:abstractNumId w:val="1"/>
  </w:num>
  <w:num w:numId="2">
    <w:abstractNumId w:val="13"/>
  </w:num>
  <w:num w:numId="3">
    <w:abstractNumId w:val="8"/>
  </w:num>
  <w:num w:numId="4">
    <w:abstractNumId w:val="6"/>
  </w:num>
  <w:num w:numId="5">
    <w:abstractNumId w:val="15"/>
  </w:num>
  <w:num w:numId="6">
    <w:abstractNumId w:val="16"/>
  </w:num>
  <w:num w:numId="7">
    <w:abstractNumId w:val="10"/>
  </w:num>
  <w:num w:numId="8">
    <w:abstractNumId w:val="0"/>
  </w:num>
  <w:num w:numId="9">
    <w:abstractNumId w:val="4"/>
  </w:num>
  <w:num w:numId="10">
    <w:abstractNumId w:val="7"/>
  </w:num>
  <w:num w:numId="11">
    <w:abstractNumId w:val="11"/>
  </w:num>
  <w:num w:numId="12">
    <w:abstractNumId w:val="5"/>
  </w:num>
  <w:num w:numId="13">
    <w:abstractNumId w:val="14"/>
  </w:num>
  <w:num w:numId="14">
    <w:abstractNumId w:val="3"/>
  </w:num>
  <w:num w:numId="15">
    <w:abstractNumId w:val="12"/>
  </w:num>
  <w:num w:numId="16">
    <w:abstractNumId w:val="2"/>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4"/>
      <w:ind w:left="154"/>
      <w:jc w:val="center"/>
      <w:outlineLvl w:val="0"/>
    </w:pPr>
    <w:rPr>
      <w:rFonts w:ascii="黑体" w:eastAsia="黑体" w:hAnsi="黑体" w:cs="黑体"/>
      <w:sz w:val="32"/>
      <w:szCs w:val="32"/>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2"/>
      <w:ind w:left="7442"/>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ind w:left="1178"/>
    </w:pPr>
    <w:rPr>
      <w:rFonts w:ascii="宋体" w:eastAsia="宋体" w:hAnsi="宋体" w:cs="宋体"/>
      <w:lang w:val="en-US" w:eastAsia="en-US" w:bidi="ar-SA"/>
    </w:rPr>
  </w:style>
  <w:style w:type="paragraph" w:customStyle="1" w:styleId="TableParagraph">
    <w:name w:val="Table Paragraph"/>
    <w:basedOn w:val="Normal"/>
    <w:uiPriority w:val="1"/>
    <w:qFormat/>
    <w:rPr>
      <w:lang w:val="en-US" w:eastAsia="en-US"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d.book118.com/827041155106006035"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yyds</dc:creator>
  <cp:revision>0</cp:revision>
  <dcterms:created xsi:type="dcterms:W3CDTF">2024-01-30T07:46:28Z</dcterms:created>
  <dcterms:modified xsi:type="dcterms:W3CDTF">2024-01-30T07:46:28Z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Aspose Ltd.</vt:lpwstr>
  </property>
  <property fmtid="{D5CDD505-2E9C-101B-9397-08002B2CF9AE}" pid="4" name="LastSaved">
    <vt:filetime>2024-01-30T00:00:00Z</vt:filetime>
  </property>
</Properties>
</file>