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生物处理设备项目规划设计方案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23" w:history="1">
        <w:r>
          <w:rPr>
            <w:rFonts w:ascii="仿宋" w:eastAsia="仿宋" w:hAnsi="仿宋" w:cs="仿宋" w:hint="eastAsia"/>
            <w:lang w:eastAsia="zh-CN"/>
          </w:rPr>
          <w:t>概论</w:t>
        </w:r>
        <w:r>
          <w:tab/>
        </w:r>
        <w:r>
          <w:fldChar w:fldCharType="begin"/>
        </w:r>
        <w:r>
          <w:instrText xml:space="preserve"> PAGEREF _Toc20623 \h </w:instrText>
        </w:r>
        <w:r>
          <w:fldChar w:fldCharType="separate"/>
        </w:r>
        <w:r>
          <w:t>3</w:t>
        </w:r>
        <w:r>
          <w:fldChar w:fldCharType="end"/>
        </w:r>
      </w:hyperlink>
    </w:p>
    <w:p>
      <w:pPr>
        <w:pStyle w:val="TOC1"/>
        <w:tabs>
          <w:tab w:val="right" w:leader="dot" w:pos="8306"/>
        </w:tabs>
      </w:pPr>
      <w:hyperlink w:anchor="_Toc11293" w:history="1">
        <w:r>
          <w:rPr>
            <w:rFonts w:ascii="仿宋" w:eastAsia="仿宋" w:hAnsi="仿宋" w:cs="仿宋" w:hint="eastAsia"/>
            <w:lang w:eastAsia="zh-CN"/>
          </w:rPr>
          <w:t>一、生物处理设备项目建设单位说明</w:t>
        </w:r>
        <w:r>
          <w:tab/>
        </w:r>
        <w:r>
          <w:fldChar w:fldCharType="begin"/>
        </w:r>
        <w:r>
          <w:instrText xml:space="preserve"> PAGEREF _Toc11293 \h </w:instrText>
        </w:r>
        <w:r>
          <w:fldChar w:fldCharType="separate"/>
        </w:r>
        <w:r>
          <w:t>3</w:t>
        </w:r>
        <w:r>
          <w:fldChar w:fldCharType="end"/>
        </w:r>
      </w:hyperlink>
    </w:p>
    <w:p>
      <w:pPr>
        <w:pStyle w:val="TOC2"/>
        <w:tabs>
          <w:tab w:val="right" w:leader="dot" w:pos="8306"/>
        </w:tabs>
      </w:pPr>
      <w:hyperlink w:anchor="_Toc8159" w:history="1">
        <w:r>
          <w:rPr>
            <w:rFonts w:ascii="仿宋" w:eastAsia="仿宋" w:hAnsi="仿宋" w:cs="仿宋" w:hint="eastAsia"/>
            <w:lang w:eastAsia="zh-CN"/>
          </w:rPr>
          <w:t>(一)、生物处理设备项目承办单位基本情况</w:t>
        </w:r>
        <w:r>
          <w:tab/>
        </w:r>
        <w:r>
          <w:fldChar w:fldCharType="begin"/>
        </w:r>
        <w:r>
          <w:instrText xml:space="preserve"> PAGEREF _Toc8159 \h </w:instrText>
        </w:r>
        <w:r>
          <w:fldChar w:fldCharType="separate"/>
        </w:r>
        <w:r>
          <w:t>3</w:t>
        </w:r>
        <w:r>
          <w:fldChar w:fldCharType="end"/>
        </w:r>
      </w:hyperlink>
    </w:p>
    <w:p>
      <w:pPr>
        <w:pStyle w:val="TOC2"/>
        <w:tabs>
          <w:tab w:val="right" w:leader="dot" w:pos="8306"/>
        </w:tabs>
      </w:pPr>
      <w:hyperlink w:anchor="_Toc24904" w:history="1">
        <w:r>
          <w:rPr>
            <w:rFonts w:ascii="仿宋" w:eastAsia="仿宋" w:hAnsi="仿宋" w:cs="仿宋" w:hint="eastAsia"/>
            <w:lang w:eastAsia="zh-CN"/>
          </w:rPr>
          <w:t>(二)、公司经济效益分析</w:t>
        </w:r>
        <w:r>
          <w:tab/>
        </w:r>
        <w:r>
          <w:fldChar w:fldCharType="begin"/>
        </w:r>
        <w:r>
          <w:instrText xml:space="preserve"> PAGEREF _Toc24904 \h </w:instrText>
        </w:r>
        <w:r>
          <w:fldChar w:fldCharType="separate"/>
        </w:r>
        <w:r>
          <w:t>4</w:t>
        </w:r>
        <w:r>
          <w:fldChar w:fldCharType="end"/>
        </w:r>
      </w:hyperlink>
    </w:p>
    <w:p>
      <w:pPr>
        <w:pStyle w:val="TOC1"/>
        <w:tabs>
          <w:tab w:val="right" w:leader="dot" w:pos="8306"/>
        </w:tabs>
      </w:pPr>
      <w:hyperlink w:anchor="_Toc30515" w:history="1">
        <w:r>
          <w:rPr>
            <w:rFonts w:ascii="仿宋" w:eastAsia="仿宋" w:hAnsi="仿宋" w:cs="仿宋" w:hint="eastAsia"/>
            <w:lang w:eastAsia="zh-CN"/>
          </w:rPr>
          <w:t>二、生物处理设备项目文档管理</w:t>
        </w:r>
        <w:r>
          <w:tab/>
        </w:r>
        <w:r>
          <w:fldChar w:fldCharType="begin"/>
        </w:r>
        <w:r>
          <w:instrText xml:space="preserve"> PAGEREF _Toc30515 \h </w:instrText>
        </w:r>
        <w:r>
          <w:fldChar w:fldCharType="separate"/>
        </w:r>
        <w:r>
          <w:t>5</w:t>
        </w:r>
        <w:r>
          <w:fldChar w:fldCharType="end"/>
        </w:r>
      </w:hyperlink>
    </w:p>
    <w:p>
      <w:pPr>
        <w:pStyle w:val="TOC2"/>
        <w:tabs>
          <w:tab w:val="right" w:leader="dot" w:pos="8306"/>
        </w:tabs>
      </w:pPr>
      <w:hyperlink w:anchor="_Toc22130" w:history="1">
        <w:r>
          <w:rPr>
            <w:rFonts w:ascii="仿宋" w:eastAsia="仿宋" w:hAnsi="仿宋" w:cs="仿宋" w:hint="eastAsia"/>
            <w:lang w:eastAsia="zh-CN"/>
          </w:rPr>
          <w:t>(一)、文档编制与审查</w:t>
        </w:r>
        <w:r>
          <w:tab/>
        </w:r>
        <w:r>
          <w:fldChar w:fldCharType="begin"/>
        </w:r>
        <w:r>
          <w:instrText xml:space="preserve"> PAGEREF _Toc22130 \h </w:instrText>
        </w:r>
        <w:r>
          <w:fldChar w:fldCharType="separate"/>
        </w:r>
        <w:r>
          <w:t>5</w:t>
        </w:r>
        <w:r>
          <w:fldChar w:fldCharType="end"/>
        </w:r>
      </w:hyperlink>
    </w:p>
    <w:p>
      <w:pPr>
        <w:pStyle w:val="TOC2"/>
        <w:tabs>
          <w:tab w:val="right" w:leader="dot" w:pos="8306"/>
        </w:tabs>
      </w:pPr>
      <w:hyperlink w:anchor="_Toc1890" w:history="1">
        <w:r>
          <w:rPr>
            <w:rFonts w:ascii="仿宋" w:eastAsia="仿宋" w:hAnsi="仿宋" w:cs="仿宋" w:hint="eastAsia"/>
            <w:lang w:eastAsia="zh-CN"/>
          </w:rPr>
          <w:t>(二)、文档发布与分发</w:t>
        </w:r>
        <w:r>
          <w:tab/>
        </w:r>
        <w:r>
          <w:fldChar w:fldCharType="begin"/>
        </w:r>
        <w:r>
          <w:instrText xml:space="preserve"> PAGEREF _Toc1890 \h </w:instrText>
        </w:r>
        <w:r>
          <w:fldChar w:fldCharType="separate"/>
        </w:r>
        <w:r>
          <w:t>6</w:t>
        </w:r>
        <w:r>
          <w:fldChar w:fldCharType="end"/>
        </w:r>
      </w:hyperlink>
    </w:p>
    <w:p>
      <w:pPr>
        <w:pStyle w:val="TOC2"/>
        <w:tabs>
          <w:tab w:val="right" w:leader="dot" w:pos="8306"/>
        </w:tabs>
      </w:pPr>
      <w:hyperlink w:anchor="_Toc13177" w:history="1">
        <w:r>
          <w:rPr>
            <w:rFonts w:ascii="仿宋" w:eastAsia="仿宋" w:hAnsi="仿宋" w:cs="仿宋" w:hint="eastAsia"/>
            <w:lang w:eastAsia="zh-CN"/>
          </w:rPr>
          <w:t>(三)、文档存档与归档</w:t>
        </w:r>
        <w:r>
          <w:tab/>
        </w:r>
        <w:r>
          <w:fldChar w:fldCharType="begin"/>
        </w:r>
        <w:r>
          <w:instrText xml:space="preserve"> PAGEREF _Toc13177 \h </w:instrText>
        </w:r>
        <w:r>
          <w:fldChar w:fldCharType="separate"/>
        </w:r>
        <w:r>
          <w:t>7</w:t>
        </w:r>
        <w:r>
          <w:fldChar w:fldCharType="end"/>
        </w:r>
      </w:hyperlink>
    </w:p>
    <w:p>
      <w:pPr>
        <w:pStyle w:val="TOC1"/>
        <w:tabs>
          <w:tab w:val="right" w:leader="dot" w:pos="8306"/>
        </w:tabs>
      </w:pPr>
      <w:hyperlink w:anchor="_Toc12721" w:history="1">
        <w:r>
          <w:rPr>
            <w:rFonts w:ascii="仿宋" w:eastAsia="仿宋" w:hAnsi="仿宋" w:cs="仿宋" w:hint="eastAsia"/>
            <w:lang w:eastAsia="zh-CN"/>
          </w:rPr>
          <w:t>三、生物处理设备项目绩效评估</w:t>
        </w:r>
        <w:r>
          <w:tab/>
        </w:r>
        <w:r>
          <w:fldChar w:fldCharType="begin"/>
        </w:r>
        <w:r>
          <w:instrText xml:space="preserve"> PAGEREF _Toc12721 \h </w:instrText>
        </w:r>
        <w:r>
          <w:fldChar w:fldCharType="separate"/>
        </w:r>
        <w:r>
          <w:t>8</w:t>
        </w:r>
        <w:r>
          <w:fldChar w:fldCharType="end"/>
        </w:r>
      </w:hyperlink>
    </w:p>
    <w:p>
      <w:pPr>
        <w:pStyle w:val="TOC2"/>
        <w:tabs>
          <w:tab w:val="right" w:leader="dot" w:pos="8306"/>
        </w:tabs>
      </w:pPr>
      <w:hyperlink w:anchor="_Toc12800" w:history="1">
        <w:r>
          <w:rPr>
            <w:rFonts w:ascii="仿宋" w:eastAsia="仿宋" w:hAnsi="仿宋" w:cs="仿宋" w:hint="eastAsia"/>
            <w:lang w:eastAsia="zh-CN"/>
          </w:rPr>
          <w:t>(一)、绩效评估指标</w:t>
        </w:r>
        <w:r>
          <w:tab/>
        </w:r>
        <w:r>
          <w:fldChar w:fldCharType="begin"/>
        </w:r>
        <w:r>
          <w:instrText xml:space="preserve"> PAGEREF _Toc12800 \h </w:instrText>
        </w:r>
        <w:r>
          <w:fldChar w:fldCharType="separate"/>
        </w:r>
        <w:r>
          <w:t>8</w:t>
        </w:r>
        <w:r>
          <w:fldChar w:fldCharType="end"/>
        </w:r>
      </w:hyperlink>
    </w:p>
    <w:p>
      <w:pPr>
        <w:pStyle w:val="TOC2"/>
        <w:tabs>
          <w:tab w:val="right" w:leader="dot" w:pos="8306"/>
        </w:tabs>
      </w:pPr>
      <w:hyperlink w:anchor="_Toc30942" w:history="1">
        <w:r>
          <w:rPr>
            <w:rFonts w:ascii="仿宋" w:eastAsia="仿宋" w:hAnsi="仿宋" w:cs="仿宋" w:hint="eastAsia"/>
            <w:lang w:eastAsia="zh-CN"/>
          </w:rPr>
          <w:t>(二)、绩效评估方法</w:t>
        </w:r>
        <w:r>
          <w:tab/>
        </w:r>
        <w:r>
          <w:fldChar w:fldCharType="begin"/>
        </w:r>
        <w:r>
          <w:instrText xml:space="preserve"> PAGEREF _Toc30942 \h </w:instrText>
        </w:r>
        <w:r>
          <w:fldChar w:fldCharType="separate"/>
        </w:r>
        <w:r>
          <w:t>9</w:t>
        </w:r>
        <w:r>
          <w:fldChar w:fldCharType="end"/>
        </w:r>
      </w:hyperlink>
    </w:p>
    <w:p>
      <w:pPr>
        <w:pStyle w:val="TOC2"/>
        <w:tabs>
          <w:tab w:val="right" w:leader="dot" w:pos="8306"/>
        </w:tabs>
      </w:pPr>
      <w:hyperlink w:anchor="_Toc25295" w:history="1">
        <w:r>
          <w:rPr>
            <w:rFonts w:ascii="仿宋" w:eastAsia="仿宋" w:hAnsi="仿宋" w:cs="仿宋" w:hint="eastAsia"/>
            <w:lang w:eastAsia="zh-CN"/>
          </w:rPr>
          <w:t>(三)、绩效评估周期</w:t>
        </w:r>
        <w:r>
          <w:tab/>
        </w:r>
        <w:r>
          <w:fldChar w:fldCharType="begin"/>
        </w:r>
        <w:r>
          <w:instrText xml:space="preserve"> PAGEREF _Toc25295 \h </w:instrText>
        </w:r>
        <w:r>
          <w:fldChar w:fldCharType="separate"/>
        </w:r>
        <w:r>
          <w:t>10</w:t>
        </w:r>
        <w:r>
          <w:fldChar w:fldCharType="end"/>
        </w:r>
      </w:hyperlink>
    </w:p>
    <w:p>
      <w:pPr>
        <w:pStyle w:val="TOC1"/>
        <w:tabs>
          <w:tab w:val="right" w:leader="dot" w:pos="8306"/>
        </w:tabs>
      </w:pPr>
      <w:hyperlink w:anchor="_Toc26511" w:history="1">
        <w:r>
          <w:rPr>
            <w:rFonts w:ascii="仿宋" w:eastAsia="仿宋" w:hAnsi="仿宋" w:cs="仿宋" w:hint="eastAsia"/>
            <w:lang w:eastAsia="zh-CN"/>
          </w:rPr>
          <w:t>四、产品规划分析</w:t>
        </w:r>
        <w:r>
          <w:tab/>
        </w:r>
        <w:r>
          <w:fldChar w:fldCharType="begin"/>
        </w:r>
        <w:r>
          <w:instrText xml:space="preserve"> PAGEREF _Toc26511 \h </w:instrText>
        </w:r>
        <w:r>
          <w:fldChar w:fldCharType="separate"/>
        </w:r>
        <w:r>
          <w:t>11</w:t>
        </w:r>
        <w:r>
          <w:fldChar w:fldCharType="end"/>
        </w:r>
      </w:hyperlink>
    </w:p>
    <w:p>
      <w:pPr>
        <w:pStyle w:val="TOC2"/>
        <w:tabs>
          <w:tab w:val="right" w:leader="dot" w:pos="8306"/>
        </w:tabs>
      </w:pPr>
      <w:hyperlink w:anchor="_Toc22279" w:history="1">
        <w:r>
          <w:rPr>
            <w:rFonts w:ascii="仿宋" w:eastAsia="仿宋" w:hAnsi="仿宋" w:cs="仿宋" w:hint="eastAsia"/>
            <w:lang w:eastAsia="zh-CN"/>
          </w:rPr>
          <w:t>(一)、产品规划</w:t>
        </w:r>
        <w:r>
          <w:tab/>
        </w:r>
        <w:r>
          <w:fldChar w:fldCharType="begin"/>
        </w:r>
        <w:r>
          <w:instrText xml:space="preserve"> PAGEREF _Toc22279 \h </w:instrText>
        </w:r>
        <w:r>
          <w:fldChar w:fldCharType="separate"/>
        </w:r>
        <w:r>
          <w:t>11</w:t>
        </w:r>
        <w:r>
          <w:fldChar w:fldCharType="end"/>
        </w:r>
      </w:hyperlink>
    </w:p>
    <w:p>
      <w:pPr>
        <w:pStyle w:val="TOC2"/>
        <w:tabs>
          <w:tab w:val="right" w:leader="dot" w:pos="8306"/>
        </w:tabs>
      </w:pPr>
      <w:hyperlink w:anchor="_Toc32549" w:history="1">
        <w:r>
          <w:rPr>
            <w:rFonts w:ascii="仿宋" w:eastAsia="仿宋" w:hAnsi="仿宋" w:cs="仿宋" w:hint="eastAsia"/>
            <w:lang w:eastAsia="zh-CN"/>
          </w:rPr>
          <w:t>(二)、建设规模</w:t>
        </w:r>
        <w:r>
          <w:tab/>
        </w:r>
        <w:r>
          <w:fldChar w:fldCharType="begin"/>
        </w:r>
        <w:r>
          <w:instrText xml:space="preserve"> PAGEREF _Toc32549 \h </w:instrText>
        </w:r>
        <w:r>
          <w:fldChar w:fldCharType="separate"/>
        </w:r>
        <w:r>
          <w:t>12</w:t>
        </w:r>
        <w:r>
          <w:fldChar w:fldCharType="end"/>
        </w:r>
      </w:hyperlink>
    </w:p>
    <w:p>
      <w:pPr>
        <w:pStyle w:val="TOC1"/>
        <w:tabs>
          <w:tab w:val="right" w:leader="dot" w:pos="8306"/>
        </w:tabs>
      </w:pPr>
      <w:hyperlink w:anchor="_Toc5158" w:history="1">
        <w:r>
          <w:rPr>
            <w:rFonts w:ascii="仿宋" w:eastAsia="仿宋" w:hAnsi="仿宋" w:cs="仿宋" w:hint="eastAsia"/>
            <w:lang w:eastAsia="zh-CN"/>
          </w:rPr>
          <w:t>五、生物处理设备项目建设背景及必要性分析</w:t>
        </w:r>
        <w:r>
          <w:tab/>
        </w:r>
        <w:r>
          <w:fldChar w:fldCharType="begin"/>
        </w:r>
        <w:r>
          <w:instrText xml:space="preserve"> PAGEREF _Toc5158 \h </w:instrText>
        </w:r>
        <w:r>
          <w:fldChar w:fldCharType="separate"/>
        </w:r>
        <w:r>
          <w:t>13</w:t>
        </w:r>
        <w:r>
          <w:fldChar w:fldCharType="end"/>
        </w:r>
      </w:hyperlink>
    </w:p>
    <w:p>
      <w:pPr>
        <w:pStyle w:val="TOC2"/>
        <w:tabs>
          <w:tab w:val="right" w:leader="dot" w:pos="8306"/>
        </w:tabs>
      </w:pPr>
      <w:hyperlink w:anchor="_Toc6727" w:history="1">
        <w:r>
          <w:rPr>
            <w:rFonts w:ascii="仿宋" w:eastAsia="仿宋" w:hAnsi="仿宋" w:cs="仿宋" w:hint="eastAsia"/>
            <w:lang w:eastAsia="zh-CN"/>
          </w:rPr>
          <w:t>(一)、生物处理设备项目背景分析</w:t>
        </w:r>
        <w:r>
          <w:tab/>
        </w:r>
        <w:r>
          <w:fldChar w:fldCharType="begin"/>
        </w:r>
        <w:r>
          <w:instrText xml:space="preserve"> PAGEREF _Toc6727 \h </w:instrText>
        </w:r>
        <w:r>
          <w:fldChar w:fldCharType="separate"/>
        </w:r>
        <w:r>
          <w:t>13</w:t>
        </w:r>
        <w:r>
          <w:fldChar w:fldCharType="end"/>
        </w:r>
      </w:hyperlink>
    </w:p>
    <w:p>
      <w:pPr>
        <w:pStyle w:val="TOC2"/>
        <w:tabs>
          <w:tab w:val="right" w:leader="dot" w:pos="8306"/>
        </w:tabs>
      </w:pPr>
      <w:hyperlink w:anchor="_Toc12522" w:history="1">
        <w:r>
          <w:rPr>
            <w:rFonts w:ascii="仿宋" w:eastAsia="仿宋" w:hAnsi="仿宋" w:cs="仿宋" w:hint="eastAsia"/>
            <w:lang w:eastAsia="zh-CN"/>
          </w:rPr>
          <w:t>(二)、生物处理设备项目建设必要性分析</w:t>
        </w:r>
        <w:r>
          <w:tab/>
        </w:r>
        <w:r>
          <w:fldChar w:fldCharType="begin"/>
        </w:r>
        <w:r>
          <w:instrText xml:space="preserve"> PAGEREF _Toc12522 \h </w:instrText>
        </w:r>
        <w:r>
          <w:fldChar w:fldCharType="separate"/>
        </w:r>
        <w:r>
          <w:t>15</w:t>
        </w:r>
        <w:r>
          <w:fldChar w:fldCharType="end"/>
        </w:r>
      </w:hyperlink>
    </w:p>
    <w:p>
      <w:pPr>
        <w:pStyle w:val="TOC1"/>
        <w:tabs>
          <w:tab w:val="right" w:leader="dot" w:pos="8306"/>
        </w:tabs>
      </w:pPr>
      <w:hyperlink w:anchor="_Toc18590" w:history="1">
        <w:r>
          <w:rPr>
            <w:rFonts w:ascii="仿宋" w:eastAsia="仿宋" w:hAnsi="仿宋" w:cs="仿宋" w:hint="eastAsia"/>
            <w:lang w:eastAsia="zh-CN"/>
          </w:rPr>
          <w:t>六、生物处理设备项目危机管理</w:t>
        </w:r>
        <w:r>
          <w:tab/>
        </w:r>
        <w:r>
          <w:fldChar w:fldCharType="begin"/>
        </w:r>
        <w:r>
          <w:instrText xml:space="preserve"> PAGEREF _Toc18590 \h </w:instrText>
        </w:r>
        <w:r>
          <w:fldChar w:fldCharType="separate"/>
        </w:r>
        <w:r>
          <w:t>16</w:t>
        </w:r>
        <w:r>
          <w:fldChar w:fldCharType="end"/>
        </w:r>
      </w:hyperlink>
    </w:p>
    <w:p>
      <w:pPr>
        <w:pStyle w:val="TOC2"/>
        <w:tabs>
          <w:tab w:val="right" w:leader="dot" w:pos="8306"/>
        </w:tabs>
      </w:pPr>
      <w:hyperlink w:anchor="_Toc10904" w:history="1">
        <w:r>
          <w:rPr>
            <w:rFonts w:ascii="仿宋" w:eastAsia="仿宋" w:hAnsi="仿宋" w:cs="仿宋" w:hint="eastAsia"/>
            <w:lang w:eastAsia="zh-CN"/>
          </w:rPr>
          <w:t>(一)、危机预警与识别</w:t>
        </w:r>
        <w:r>
          <w:tab/>
        </w:r>
        <w:r>
          <w:fldChar w:fldCharType="begin"/>
        </w:r>
        <w:r>
          <w:instrText xml:space="preserve"> PAGEREF _Toc10904 \h </w:instrText>
        </w:r>
        <w:r>
          <w:fldChar w:fldCharType="separate"/>
        </w:r>
        <w:r>
          <w:t>16</w:t>
        </w:r>
        <w:r>
          <w:fldChar w:fldCharType="end"/>
        </w:r>
      </w:hyperlink>
    </w:p>
    <w:p>
      <w:pPr>
        <w:pStyle w:val="TOC2"/>
        <w:tabs>
          <w:tab w:val="right" w:leader="dot" w:pos="8306"/>
        </w:tabs>
      </w:pPr>
      <w:hyperlink w:anchor="_Toc5530" w:history="1">
        <w:r>
          <w:rPr>
            <w:rFonts w:ascii="仿宋" w:eastAsia="仿宋" w:hAnsi="仿宋" w:cs="仿宋" w:hint="eastAsia"/>
            <w:lang w:eastAsia="zh-CN"/>
          </w:rPr>
          <w:t>(二)、危机应对与恢复</w:t>
        </w:r>
        <w:r>
          <w:tab/>
        </w:r>
        <w:r>
          <w:fldChar w:fldCharType="begin"/>
        </w:r>
        <w:r>
          <w:instrText xml:space="preserve"> PAGEREF _Toc5530 \h </w:instrText>
        </w:r>
        <w:r>
          <w:fldChar w:fldCharType="separate"/>
        </w:r>
        <w:r>
          <w:t>17</w:t>
        </w:r>
        <w:r>
          <w:fldChar w:fldCharType="end"/>
        </w:r>
      </w:hyperlink>
    </w:p>
    <w:p>
      <w:pPr>
        <w:pStyle w:val="TOC1"/>
        <w:tabs>
          <w:tab w:val="right" w:leader="dot" w:pos="8306"/>
        </w:tabs>
      </w:pPr>
      <w:hyperlink w:anchor="_Toc15667" w:history="1">
        <w:r>
          <w:rPr>
            <w:rFonts w:ascii="仿宋" w:eastAsia="仿宋" w:hAnsi="仿宋" w:cs="仿宋" w:hint="eastAsia"/>
            <w:lang w:eastAsia="zh-CN"/>
          </w:rPr>
          <w:t>七、生物处理设备项目投资规划</w:t>
        </w:r>
        <w:r>
          <w:tab/>
        </w:r>
        <w:r>
          <w:fldChar w:fldCharType="begin"/>
        </w:r>
        <w:r>
          <w:instrText xml:space="preserve"> PAGEREF _Toc15667 \h </w:instrText>
        </w:r>
        <w:r>
          <w:fldChar w:fldCharType="separate"/>
        </w:r>
        <w:r>
          <w:t>19</w:t>
        </w:r>
        <w:r>
          <w:fldChar w:fldCharType="end"/>
        </w:r>
      </w:hyperlink>
    </w:p>
    <w:p>
      <w:pPr>
        <w:pStyle w:val="TOC2"/>
        <w:tabs>
          <w:tab w:val="right" w:leader="dot" w:pos="8306"/>
        </w:tabs>
      </w:pPr>
      <w:hyperlink w:anchor="_Toc31290" w:history="1">
        <w:r>
          <w:rPr>
            <w:rFonts w:ascii="仿宋" w:eastAsia="仿宋" w:hAnsi="仿宋" w:cs="仿宋" w:hint="eastAsia"/>
            <w:lang w:eastAsia="zh-CN"/>
          </w:rPr>
          <w:t>(一)、生物处理设备项目总投资估算</w:t>
        </w:r>
        <w:r>
          <w:tab/>
        </w:r>
        <w:r>
          <w:fldChar w:fldCharType="begin"/>
        </w:r>
        <w:r>
          <w:instrText xml:space="preserve"> PAGEREF _Toc31290 \h </w:instrText>
        </w:r>
        <w:r>
          <w:fldChar w:fldCharType="separate"/>
        </w:r>
        <w:r>
          <w:t>19</w:t>
        </w:r>
        <w:r>
          <w:fldChar w:fldCharType="end"/>
        </w:r>
      </w:hyperlink>
    </w:p>
    <w:p>
      <w:pPr>
        <w:pStyle w:val="TOC2"/>
        <w:tabs>
          <w:tab w:val="right" w:leader="dot" w:pos="8306"/>
        </w:tabs>
      </w:pPr>
      <w:hyperlink w:anchor="_Toc7840" w:history="1">
        <w:r>
          <w:rPr>
            <w:rFonts w:ascii="仿宋" w:eastAsia="仿宋" w:hAnsi="仿宋" w:cs="仿宋" w:hint="eastAsia"/>
            <w:lang w:eastAsia="zh-CN"/>
          </w:rPr>
          <w:t>(二)、资金筹措</w:t>
        </w:r>
        <w:r>
          <w:tab/>
        </w:r>
        <w:r>
          <w:fldChar w:fldCharType="begin"/>
        </w:r>
        <w:r>
          <w:instrText xml:space="preserve"> PAGEREF _Toc7840 \h </w:instrText>
        </w:r>
        <w:r>
          <w:fldChar w:fldCharType="separate"/>
        </w:r>
        <w:r>
          <w:t>20</w:t>
        </w:r>
        <w:r>
          <w:fldChar w:fldCharType="end"/>
        </w:r>
      </w:hyperlink>
    </w:p>
    <w:p>
      <w:pPr>
        <w:pStyle w:val="TOC1"/>
        <w:tabs>
          <w:tab w:val="right" w:leader="dot" w:pos="8306"/>
        </w:tabs>
      </w:pPr>
      <w:hyperlink w:anchor="_Toc31272" w:history="1">
        <w:r>
          <w:rPr>
            <w:rFonts w:ascii="仿宋" w:eastAsia="仿宋" w:hAnsi="仿宋" w:cs="仿宋" w:hint="eastAsia"/>
            <w:lang w:eastAsia="zh-CN"/>
          </w:rPr>
          <w:t>八、生物处理设备项目风险管理</w:t>
        </w:r>
        <w:r>
          <w:tab/>
        </w:r>
        <w:r>
          <w:fldChar w:fldCharType="begin"/>
        </w:r>
        <w:r>
          <w:instrText xml:space="preserve"> PAGEREF _Toc31272 \h </w:instrText>
        </w:r>
        <w:r>
          <w:fldChar w:fldCharType="separate"/>
        </w:r>
        <w:r>
          <w:t>21</w:t>
        </w:r>
        <w:r>
          <w:fldChar w:fldCharType="end"/>
        </w:r>
      </w:hyperlink>
    </w:p>
    <w:p>
      <w:pPr>
        <w:pStyle w:val="TOC2"/>
        <w:tabs>
          <w:tab w:val="right" w:leader="dot" w:pos="8306"/>
        </w:tabs>
      </w:pPr>
      <w:hyperlink w:anchor="_Toc15318" w:history="1">
        <w:r>
          <w:rPr>
            <w:rFonts w:ascii="仿宋" w:eastAsia="仿宋" w:hAnsi="仿宋" w:cs="仿宋" w:hint="eastAsia"/>
            <w:lang w:eastAsia="zh-CN"/>
          </w:rPr>
          <w:t>(一)、风险识别与评估</w:t>
        </w:r>
        <w:r>
          <w:tab/>
        </w:r>
        <w:r>
          <w:fldChar w:fldCharType="begin"/>
        </w:r>
        <w:r>
          <w:instrText xml:space="preserve"> PAGEREF _Toc15318 \h </w:instrText>
        </w:r>
        <w:r>
          <w:fldChar w:fldCharType="separate"/>
        </w:r>
        <w:r>
          <w:t>21</w:t>
        </w:r>
        <w:r>
          <w:fldChar w:fldCharType="end"/>
        </w:r>
      </w:hyperlink>
    </w:p>
    <w:p>
      <w:pPr>
        <w:pStyle w:val="TOC2"/>
        <w:tabs>
          <w:tab w:val="right" w:leader="dot" w:pos="8306"/>
        </w:tabs>
      </w:pPr>
      <w:hyperlink w:anchor="_Toc11946" w:history="1">
        <w:r>
          <w:rPr>
            <w:rFonts w:ascii="仿宋" w:eastAsia="仿宋" w:hAnsi="仿宋" w:cs="仿宋" w:hint="eastAsia"/>
            <w:lang w:eastAsia="zh-CN"/>
          </w:rPr>
          <w:t>(二)、风险应对策略</w:t>
        </w:r>
        <w:r>
          <w:tab/>
        </w:r>
        <w:r>
          <w:fldChar w:fldCharType="begin"/>
        </w:r>
        <w:r>
          <w:instrText xml:space="preserve"> PAGEREF _Toc11946 \h </w:instrText>
        </w:r>
        <w:r>
          <w:fldChar w:fldCharType="separate"/>
        </w:r>
        <w:r>
          <w:t>22</w:t>
        </w:r>
        <w:r>
          <w:fldChar w:fldCharType="end"/>
        </w:r>
      </w:hyperlink>
    </w:p>
    <w:p>
      <w:pPr>
        <w:pStyle w:val="TOC2"/>
        <w:tabs>
          <w:tab w:val="right" w:leader="dot" w:pos="8306"/>
        </w:tabs>
      </w:pPr>
      <w:hyperlink w:anchor="_Toc20607" w:history="1">
        <w:r>
          <w:rPr>
            <w:rFonts w:ascii="仿宋" w:eastAsia="仿宋" w:hAnsi="仿宋" w:cs="仿宋" w:hint="eastAsia"/>
            <w:lang w:eastAsia="zh-CN"/>
          </w:rPr>
          <w:t>(三)、风险监控与控制</w:t>
        </w:r>
        <w:r>
          <w:tab/>
        </w:r>
        <w:r>
          <w:fldChar w:fldCharType="begin"/>
        </w:r>
        <w:r>
          <w:instrText xml:space="preserve"> PAGEREF _Toc20607 \h </w:instrText>
        </w:r>
        <w:r>
          <w:fldChar w:fldCharType="separate"/>
        </w:r>
        <w:r>
          <w:t>24</w:t>
        </w:r>
        <w:r>
          <w:fldChar w:fldCharType="end"/>
        </w:r>
      </w:hyperlink>
    </w:p>
    <w:p>
      <w:pPr>
        <w:pStyle w:val="TOC1"/>
        <w:tabs>
          <w:tab w:val="right" w:leader="dot" w:pos="8306"/>
        </w:tabs>
      </w:pPr>
      <w:hyperlink w:anchor="_Toc22078" w:history="1">
        <w:r>
          <w:rPr>
            <w:rFonts w:ascii="仿宋" w:eastAsia="仿宋" w:hAnsi="仿宋" w:cs="仿宋" w:hint="eastAsia"/>
            <w:lang w:eastAsia="zh-CN"/>
          </w:rPr>
          <w:t>九、生物处理设备项目经营效益</w:t>
        </w:r>
        <w:r>
          <w:tab/>
        </w:r>
        <w:r>
          <w:fldChar w:fldCharType="begin"/>
        </w:r>
        <w:r>
          <w:instrText xml:space="preserve"> PAGEREF _Toc22078 \h </w:instrText>
        </w:r>
        <w:r>
          <w:fldChar w:fldCharType="separate"/>
        </w:r>
        <w:r>
          <w:t>25</w:t>
        </w:r>
        <w:r>
          <w:fldChar w:fldCharType="end"/>
        </w:r>
      </w:hyperlink>
    </w:p>
    <w:p>
      <w:pPr>
        <w:pStyle w:val="TOC2"/>
        <w:tabs>
          <w:tab w:val="right" w:leader="dot" w:pos="8306"/>
        </w:tabs>
      </w:pPr>
      <w:hyperlink w:anchor="_Toc13498" w:history="1">
        <w:r>
          <w:rPr>
            <w:rFonts w:ascii="仿宋" w:eastAsia="仿宋" w:hAnsi="仿宋" w:cs="仿宋" w:hint="eastAsia"/>
            <w:lang w:eastAsia="zh-CN"/>
          </w:rPr>
          <w:t>(一)、经济评价财务测算</w:t>
        </w:r>
        <w:r>
          <w:tab/>
        </w:r>
        <w:r>
          <w:fldChar w:fldCharType="begin"/>
        </w:r>
        <w:r>
          <w:instrText xml:space="preserve"> PAGEREF _Toc13498 \h </w:instrText>
        </w:r>
        <w:r>
          <w:fldChar w:fldCharType="separate"/>
        </w:r>
        <w:r>
          <w:t>25</w:t>
        </w:r>
        <w:r>
          <w:fldChar w:fldCharType="end"/>
        </w:r>
      </w:hyperlink>
    </w:p>
    <w:p>
      <w:pPr>
        <w:pStyle w:val="TOC2"/>
        <w:tabs>
          <w:tab w:val="right" w:leader="dot" w:pos="8306"/>
        </w:tabs>
      </w:pPr>
      <w:hyperlink w:anchor="_Toc30160" w:history="1">
        <w:r>
          <w:rPr>
            <w:rFonts w:ascii="仿宋" w:eastAsia="仿宋" w:hAnsi="仿宋" w:cs="仿宋" w:hint="eastAsia"/>
            <w:lang w:eastAsia="zh-CN"/>
          </w:rPr>
          <w:t>(二)、生物处理设备项目盈利能力分析</w:t>
        </w:r>
        <w:r>
          <w:tab/>
        </w:r>
        <w:r>
          <w:fldChar w:fldCharType="begin"/>
        </w:r>
        <w:r>
          <w:instrText xml:space="preserve"> PAGEREF _Toc30160 \h </w:instrText>
        </w:r>
        <w:r>
          <w:fldChar w:fldCharType="separate"/>
        </w:r>
        <w:r>
          <w:t>26</w:t>
        </w:r>
        <w:r>
          <w:fldChar w:fldCharType="end"/>
        </w:r>
      </w:hyperlink>
    </w:p>
    <w:p>
      <w:pPr>
        <w:pStyle w:val="TOC1"/>
        <w:tabs>
          <w:tab w:val="right" w:leader="dot" w:pos="8306"/>
        </w:tabs>
      </w:pPr>
      <w:hyperlink w:anchor="_Toc23007" w:history="1">
        <w:r>
          <w:rPr>
            <w:rFonts w:ascii="仿宋" w:eastAsia="仿宋" w:hAnsi="仿宋" w:cs="仿宋" w:hint="eastAsia"/>
            <w:lang w:eastAsia="zh-CN"/>
          </w:rPr>
          <w:t>十、生物处理设备项目人力资源培养与发展</w:t>
        </w:r>
        <w:r>
          <w:tab/>
        </w:r>
        <w:r>
          <w:fldChar w:fldCharType="begin"/>
        </w:r>
        <w:r>
          <w:instrText xml:space="preserve"> PAGEREF _Toc23007 \h </w:instrText>
        </w:r>
        <w:r>
          <w:fldChar w:fldCharType="separate"/>
        </w:r>
        <w:r>
          <w:t>27</w:t>
        </w:r>
        <w:r>
          <w:fldChar w:fldCharType="end"/>
        </w:r>
      </w:hyperlink>
    </w:p>
    <w:p>
      <w:pPr>
        <w:pStyle w:val="TOC2"/>
        <w:tabs>
          <w:tab w:val="right" w:leader="dot" w:pos="8306"/>
        </w:tabs>
      </w:pPr>
      <w:hyperlink w:anchor="_Toc16623" w:history="1">
        <w:r>
          <w:rPr>
            <w:rFonts w:ascii="仿宋" w:eastAsia="仿宋" w:hAnsi="仿宋" w:cs="仿宋" w:hint="eastAsia"/>
            <w:lang w:eastAsia="zh-CN"/>
          </w:rPr>
          <w:t>(一)、人才需求与规划</w:t>
        </w:r>
        <w:r>
          <w:tab/>
        </w:r>
        <w:r>
          <w:fldChar w:fldCharType="begin"/>
        </w:r>
        <w:r>
          <w:instrText xml:space="preserve"> PAGEREF _Toc16623 \h </w:instrText>
        </w:r>
        <w:r>
          <w:fldChar w:fldCharType="separate"/>
        </w:r>
        <w:r>
          <w:t>27</w:t>
        </w:r>
        <w:r>
          <w:fldChar w:fldCharType="end"/>
        </w:r>
      </w:hyperlink>
    </w:p>
    <w:p>
      <w:pPr>
        <w:pStyle w:val="TOC2"/>
        <w:tabs>
          <w:tab w:val="right" w:leader="dot" w:pos="8306"/>
        </w:tabs>
      </w:pPr>
      <w:hyperlink w:anchor="_Toc30325" w:history="1">
        <w:r>
          <w:rPr>
            <w:rFonts w:ascii="仿宋" w:eastAsia="仿宋" w:hAnsi="仿宋" w:cs="仿宋" w:hint="eastAsia"/>
            <w:lang w:eastAsia="zh-CN"/>
          </w:rPr>
          <w:t>(二)、培训与发展计划</w:t>
        </w:r>
        <w:r>
          <w:tab/>
        </w:r>
        <w:r>
          <w:fldChar w:fldCharType="begin"/>
        </w:r>
        <w:r>
          <w:instrText xml:space="preserve"> PAGEREF _Toc30325 \h </w:instrText>
        </w:r>
        <w:r>
          <w:fldChar w:fldCharType="separate"/>
        </w:r>
        <w:r>
          <w:t>27</w:t>
        </w:r>
        <w:r>
          <w:fldChar w:fldCharType="end"/>
        </w:r>
      </w:hyperlink>
    </w:p>
    <w:p>
      <w:pPr>
        <w:pStyle w:val="TOC1"/>
        <w:tabs>
          <w:tab w:val="right" w:leader="dot" w:pos="8306"/>
        </w:tabs>
      </w:pPr>
      <w:hyperlink w:anchor="_Toc26739" w:history="1">
        <w:r>
          <w:rPr>
            <w:rFonts w:ascii="仿宋" w:eastAsia="仿宋" w:hAnsi="仿宋" w:cs="仿宋" w:hint="eastAsia"/>
            <w:lang w:eastAsia="zh-CN"/>
          </w:rPr>
          <w:t>十一、生物处理设备项目技术管理</w:t>
        </w:r>
        <w:r>
          <w:tab/>
        </w:r>
        <w:r>
          <w:fldChar w:fldCharType="begin"/>
        </w:r>
        <w:r>
          <w:instrText xml:space="preserve"> PAGEREF _Toc26739 \h </w:instrText>
        </w:r>
        <w:r>
          <w:fldChar w:fldCharType="separate"/>
        </w:r>
        <w:r>
          <w:t>28</w:t>
        </w:r>
        <w:r>
          <w:fldChar w:fldCharType="end"/>
        </w:r>
      </w:hyperlink>
    </w:p>
    <w:p>
      <w:pPr>
        <w:pStyle w:val="TOC2"/>
        <w:tabs>
          <w:tab w:val="right" w:leader="dot" w:pos="8306"/>
        </w:tabs>
      </w:pPr>
      <w:hyperlink w:anchor="_Toc8887" w:history="1">
        <w:r>
          <w:rPr>
            <w:rFonts w:ascii="仿宋" w:eastAsia="仿宋" w:hAnsi="仿宋" w:cs="仿宋" w:hint="eastAsia"/>
            <w:lang w:eastAsia="zh-CN"/>
          </w:rPr>
          <w:t>(一)、技术方案选用方向</w:t>
        </w:r>
        <w:r>
          <w:tab/>
        </w:r>
        <w:r>
          <w:fldChar w:fldCharType="begin"/>
        </w:r>
        <w:r>
          <w:instrText xml:space="preserve"> PAGEREF _Toc8887 \h </w:instrText>
        </w:r>
        <w:r>
          <w:fldChar w:fldCharType="separate"/>
        </w:r>
        <w:r>
          <w:t>28</w:t>
        </w:r>
        <w:r>
          <w:fldChar w:fldCharType="end"/>
        </w:r>
      </w:hyperlink>
    </w:p>
    <w:p>
      <w:pPr>
        <w:pStyle w:val="TOC2"/>
        <w:tabs>
          <w:tab w:val="right" w:leader="dot" w:pos="8306"/>
        </w:tabs>
      </w:pPr>
      <w:hyperlink w:anchor="_Toc11110" w:history="1">
        <w:r>
          <w:rPr>
            <w:rFonts w:ascii="仿宋" w:eastAsia="仿宋" w:hAnsi="仿宋" w:cs="仿宋" w:hint="eastAsia"/>
            <w:lang w:eastAsia="zh-CN"/>
          </w:rPr>
          <w:t>(二)、工艺技术方案选用原则</w:t>
        </w:r>
        <w:r>
          <w:tab/>
        </w:r>
        <w:r>
          <w:fldChar w:fldCharType="begin"/>
        </w:r>
        <w:r>
          <w:instrText xml:space="preserve"> PAGEREF _Toc11110 \h </w:instrText>
        </w:r>
        <w:r>
          <w:fldChar w:fldCharType="separate"/>
        </w:r>
        <w:r>
          <w:t>30</w:t>
        </w:r>
        <w:r>
          <w:fldChar w:fldCharType="end"/>
        </w:r>
      </w:hyperlink>
    </w:p>
    <w:p>
      <w:pPr>
        <w:pStyle w:val="TOC2"/>
        <w:tabs>
          <w:tab w:val="right" w:leader="dot" w:pos="8306"/>
        </w:tabs>
      </w:pPr>
      <w:hyperlink w:anchor="_Toc29272" w:history="1">
        <w:r>
          <w:rPr>
            <w:rFonts w:ascii="仿宋" w:eastAsia="仿宋" w:hAnsi="仿宋" w:cs="仿宋" w:hint="eastAsia"/>
            <w:lang w:eastAsia="zh-CN"/>
          </w:rPr>
          <w:t>(三)、工艺技术方案要求</w:t>
        </w:r>
        <w:r>
          <w:tab/>
        </w:r>
        <w:r>
          <w:fldChar w:fldCharType="begin"/>
        </w:r>
        <w:r>
          <w:instrText xml:space="preserve"> PAGEREF _Toc29272 \h </w:instrText>
        </w:r>
        <w:r>
          <w:fldChar w:fldCharType="separate"/>
        </w:r>
        <w:r>
          <w:t>32</w:t>
        </w:r>
        <w:r>
          <w:fldChar w:fldCharType="end"/>
        </w:r>
      </w:hyperlink>
    </w:p>
    <w:p>
      <w:pPr>
        <w:pStyle w:val="TOC1"/>
        <w:tabs>
          <w:tab w:val="right" w:leader="dot" w:pos="8306"/>
        </w:tabs>
      </w:pPr>
      <w:hyperlink w:anchor="_Toc9270" w:history="1">
        <w:r>
          <w:rPr>
            <w:rFonts w:ascii="仿宋" w:eastAsia="仿宋" w:hAnsi="仿宋" w:cs="仿宋" w:hint="eastAsia"/>
            <w:lang w:eastAsia="zh-CN"/>
          </w:rPr>
          <w:t>十二、生物处理设备项目人力资源管理</w:t>
        </w:r>
        <w:r>
          <w:tab/>
        </w:r>
        <w:r>
          <w:fldChar w:fldCharType="begin"/>
        </w:r>
        <w:r>
          <w:instrText xml:space="preserve"> PAGEREF _Toc9270 \h </w:instrText>
        </w:r>
        <w:r>
          <w:fldChar w:fldCharType="separate"/>
        </w:r>
        <w:r>
          <w:t>34</w:t>
        </w:r>
        <w:r>
          <w:fldChar w:fldCharType="end"/>
        </w:r>
      </w:hyperlink>
    </w:p>
    <w:p>
      <w:pPr>
        <w:pStyle w:val="TOC2"/>
        <w:tabs>
          <w:tab w:val="right" w:leader="dot" w:pos="8306"/>
        </w:tabs>
      </w:pPr>
      <w:hyperlink w:anchor="_Toc15726" w:history="1">
        <w:r>
          <w:rPr>
            <w:rFonts w:ascii="仿宋" w:eastAsia="仿宋" w:hAnsi="仿宋" w:cs="仿宋" w:hint="eastAsia"/>
            <w:lang w:eastAsia="zh-CN"/>
          </w:rPr>
          <w:t>(一)、建立健全的预算管理制度</w:t>
        </w:r>
        <w:r>
          <w:tab/>
        </w:r>
        <w:r>
          <w:fldChar w:fldCharType="begin"/>
        </w:r>
        <w:r>
          <w:instrText xml:space="preserve"> PAGEREF _Toc15726 \h </w:instrText>
        </w:r>
        <w:r>
          <w:fldChar w:fldCharType="separate"/>
        </w:r>
        <w:r>
          <w:t>34</w:t>
        </w:r>
        <w:r>
          <w:fldChar w:fldCharType="end"/>
        </w:r>
      </w:hyperlink>
    </w:p>
    <w:p>
      <w:pPr>
        <w:pStyle w:val="TOC2"/>
        <w:tabs>
          <w:tab w:val="right" w:leader="dot" w:pos="8306"/>
        </w:tabs>
      </w:pPr>
      <w:hyperlink w:anchor="_Toc23674" w:history="1">
        <w:r>
          <w:rPr>
            <w:rFonts w:ascii="仿宋" w:eastAsia="仿宋" w:hAnsi="仿宋" w:cs="仿宋" w:hint="eastAsia"/>
            <w:lang w:eastAsia="zh-CN"/>
          </w:rPr>
          <w:t>(二)、加强资金流动监控</w:t>
        </w:r>
        <w:r>
          <w:tab/>
        </w:r>
        <w:r>
          <w:fldChar w:fldCharType="begin"/>
        </w:r>
        <w:r>
          <w:instrText xml:space="preserve"> PAGEREF _Toc23674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71" w:history="1">
        <w:r>
          <w:rPr>
            <w:rFonts w:ascii="仿宋" w:eastAsia="仿宋" w:hAnsi="仿宋" w:cs="仿宋" w:hint="eastAsia"/>
            <w:lang w:eastAsia="zh-CN"/>
          </w:rPr>
          <w:t>(三)、制定完善的风险控制机制</w:t>
        </w:r>
        <w:r>
          <w:tab/>
        </w:r>
        <w:r>
          <w:fldChar w:fldCharType="begin"/>
        </w:r>
        <w:r>
          <w:instrText xml:space="preserve"> PAGEREF _Toc6571 \h </w:instrText>
        </w:r>
        <w:r>
          <w:fldChar w:fldCharType="separate"/>
        </w:r>
        <w:r>
          <w:t>37</w:t>
        </w:r>
        <w:r>
          <w:fldChar w:fldCharType="end"/>
        </w:r>
      </w:hyperlink>
    </w:p>
    <w:p>
      <w:pPr>
        <w:pStyle w:val="TOC2"/>
        <w:tabs>
          <w:tab w:val="right" w:leader="dot" w:pos="8306"/>
        </w:tabs>
      </w:pPr>
      <w:hyperlink w:anchor="_Toc17355" w:history="1">
        <w:r>
          <w:rPr>
            <w:rFonts w:ascii="仿宋" w:eastAsia="仿宋" w:hAnsi="仿宋" w:cs="仿宋" w:hint="eastAsia"/>
            <w:lang w:eastAsia="zh-CN"/>
          </w:rPr>
          <w:t>(四)、优化成本管理</w:t>
        </w:r>
        <w:r>
          <w:tab/>
        </w:r>
        <w:r>
          <w:fldChar w:fldCharType="begin"/>
        </w:r>
        <w:r>
          <w:instrText xml:space="preserve"> PAGEREF _Toc17355 \h </w:instrText>
        </w:r>
        <w:r>
          <w:fldChar w:fldCharType="separate"/>
        </w:r>
        <w:r>
          <w:t>38</w:t>
        </w:r>
        <w:r>
          <w:fldChar w:fldCharType="end"/>
        </w:r>
      </w:hyperlink>
    </w:p>
    <w:p>
      <w:pPr>
        <w:pStyle w:val="TOC1"/>
        <w:tabs>
          <w:tab w:val="right" w:leader="dot" w:pos="8306"/>
        </w:tabs>
      </w:pPr>
      <w:hyperlink w:anchor="_Toc20035" w:history="1">
        <w:r>
          <w:rPr>
            <w:rFonts w:ascii="仿宋" w:eastAsia="仿宋" w:hAnsi="仿宋" w:cs="仿宋" w:hint="eastAsia"/>
            <w:lang w:eastAsia="zh-CN"/>
          </w:rPr>
          <w:t>十三、营销与推广策略</w:t>
        </w:r>
        <w:r>
          <w:tab/>
        </w:r>
        <w:r>
          <w:fldChar w:fldCharType="begin"/>
        </w:r>
        <w:r>
          <w:instrText xml:space="preserve"> PAGEREF _Toc20035 \h </w:instrText>
        </w:r>
        <w:r>
          <w:fldChar w:fldCharType="separate"/>
        </w:r>
        <w:r>
          <w:t>40</w:t>
        </w:r>
        <w:r>
          <w:fldChar w:fldCharType="end"/>
        </w:r>
      </w:hyperlink>
    </w:p>
    <w:p>
      <w:pPr>
        <w:pStyle w:val="TOC2"/>
        <w:tabs>
          <w:tab w:val="right" w:leader="dot" w:pos="8306"/>
        </w:tabs>
      </w:pPr>
      <w:hyperlink w:anchor="_Toc19075" w:history="1">
        <w:r>
          <w:rPr>
            <w:rFonts w:ascii="仿宋" w:eastAsia="仿宋" w:hAnsi="仿宋" w:cs="仿宋" w:hint="eastAsia"/>
            <w:lang w:eastAsia="zh-CN"/>
          </w:rPr>
          <w:t>(一)、产品/服务定位与特点</w:t>
        </w:r>
        <w:r>
          <w:tab/>
        </w:r>
        <w:r>
          <w:fldChar w:fldCharType="begin"/>
        </w:r>
        <w:r>
          <w:instrText xml:space="preserve"> PAGEREF _Toc19075 \h </w:instrText>
        </w:r>
        <w:r>
          <w:fldChar w:fldCharType="separate"/>
        </w:r>
        <w:r>
          <w:t>40</w:t>
        </w:r>
        <w:r>
          <w:fldChar w:fldCharType="end"/>
        </w:r>
      </w:hyperlink>
    </w:p>
    <w:p>
      <w:pPr>
        <w:pStyle w:val="TOC2"/>
        <w:tabs>
          <w:tab w:val="right" w:leader="dot" w:pos="8306"/>
        </w:tabs>
      </w:pPr>
      <w:hyperlink w:anchor="_Toc8249" w:history="1">
        <w:r>
          <w:rPr>
            <w:rFonts w:ascii="仿宋" w:eastAsia="仿宋" w:hAnsi="仿宋" w:cs="仿宋" w:hint="eastAsia"/>
            <w:lang w:eastAsia="zh-CN"/>
          </w:rPr>
          <w:t>(二)、市场定位与竞争分析</w:t>
        </w:r>
        <w:r>
          <w:tab/>
        </w:r>
        <w:r>
          <w:fldChar w:fldCharType="begin"/>
        </w:r>
        <w:r>
          <w:instrText xml:space="preserve"> PAGEREF _Toc8249 \h </w:instrText>
        </w:r>
        <w:r>
          <w:fldChar w:fldCharType="separate"/>
        </w:r>
        <w:r>
          <w:t>41</w:t>
        </w:r>
        <w:r>
          <w:fldChar w:fldCharType="end"/>
        </w:r>
      </w:hyperlink>
    </w:p>
    <w:p>
      <w:pPr>
        <w:pStyle w:val="TOC2"/>
        <w:tabs>
          <w:tab w:val="right" w:leader="dot" w:pos="8306"/>
        </w:tabs>
      </w:pPr>
      <w:hyperlink w:anchor="_Toc10084" w:history="1">
        <w:r>
          <w:rPr>
            <w:rFonts w:ascii="仿宋" w:eastAsia="仿宋" w:hAnsi="仿宋" w:cs="仿宋" w:hint="eastAsia"/>
            <w:lang w:eastAsia="zh-CN"/>
          </w:rPr>
          <w:t>(三)、营销渠道与策略</w:t>
        </w:r>
        <w:r>
          <w:tab/>
        </w:r>
        <w:r>
          <w:fldChar w:fldCharType="begin"/>
        </w:r>
        <w:r>
          <w:instrText xml:space="preserve"> PAGEREF _Toc10084 \h </w:instrText>
        </w:r>
        <w:r>
          <w:fldChar w:fldCharType="separate"/>
        </w:r>
        <w:r>
          <w:t>42</w:t>
        </w:r>
        <w:r>
          <w:fldChar w:fldCharType="end"/>
        </w:r>
      </w:hyperlink>
    </w:p>
    <w:p>
      <w:pPr>
        <w:pStyle w:val="TOC2"/>
        <w:tabs>
          <w:tab w:val="right" w:leader="dot" w:pos="8306"/>
        </w:tabs>
      </w:pPr>
      <w:hyperlink w:anchor="_Toc492" w:history="1">
        <w:r>
          <w:rPr>
            <w:rFonts w:ascii="仿宋" w:eastAsia="仿宋" w:hAnsi="仿宋" w:cs="仿宋" w:hint="eastAsia"/>
            <w:lang w:eastAsia="zh-CN"/>
          </w:rPr>
          <w:t>(四)、推广与宣传活动</w:t>
        </w:r>
        <w:r>
          <w:tab/>
        </w:r>
        <w:r>
          <w:fldChar w:fldCharType="begin"/>
        </w:r>
        <w:r>
          <w:instrText xml:space="preserve"> PAGEREF _Toc492 \h </w:instrText>
        </w:r>
        <w:r>
          <w:fldChar w:fldCharType="separate"/>
        </w:r>
        <w:r>
          <w:t>43</w:t>
        </w:r>
        <w:r>
          <w:fldChar w:fldCharType="end"/>
        </w:r>
      </w:hyperlink>
    </w:p>
    <w:p>
      <w:pPr>
        <w:pStyle w:val="TOC1"/>
        <w:tabs>
          <w:tab w:val="right" w:leader="dot" w:pos="8306"/>
        </w:tabs>
      </w:pPr>
      <w:hyperlink w:anchor="_Toc18284" w:history="1">
        <w:r>
          <w:rPr>
            <w:rFonts w:ascii="仿宋" w:eastAsia="仿宋" w:hAnsi="仿宋" w:cs="仿宋" w:hint="eastAsia"/>
            <w:lang w:eastAsia="zh-CN"/>
          </w:rPr>
          <w:t>十四、生物处理设备项目实施保障措施</w:t>
        </w:r>
        <w:r>
          <w:tab/>
        </w:r>
        <w:r>
          <w:fldChar w:fldCharType="begin"/>
        </w:r>
        <w:r>
          <w:instrText xml:space="preserve"> PAGEREF _Toc18284 \h </w:instrText>
        </w:r>
        <w:r>
          <w:fldChar w:fldCharType="separate"/>
        </w:r>
        <w:r>
          <w:t>49</w:t>
        </w:r>
        <w:r>
          <w:fldChar w:fldCharType="end"/>
        </w:r>
      </w:hyperlink>
    </w:p>
    <w:p>
      <w:pPr>
        <w:pStyle w:val="TOC2"/>
        <w:tabs>
          <w:tab w:val="right" w:leader="dot" w:pos="8306"/>
        </w:tabs>
      </w:pPr>
      <w:hyperlink w:anchor="_Toc18448" w:history="1">
        <w:r>
          <w:rPr>
            <w:rFonts w:ascii="仿宋" w:eastAsia="仿宋" w:hAnsi="仿宋" w:cs="仿宋" w:hint="eastAsia"/>
            <w:lang w:eastAsia="zh-CN"/>
          </w:rPr>
          <w:t>(一)、生物处理设备项目实施保障机制</w:t>
        </w:r>
        <w:r>
          <w:tab/>
        </w:r>
        <w:r>
          <w:fldChar w:fldCharType="begin"/>
        </w:r>
        <w:r>
          <w:instrText xml:space="preserve"> PAGEREF _Toc18448 \h </w:instrText>
        </w:r>
        <w:r>
          <w:fldChar w:fldCharType="separate"/>
        </w:r>
        <w:r>
          <w:t>49</w:t>
        </w:r>
        <w:r>
          <w:fldChar w:fldCharType="end"/>
        </w:r>
      </w:hyperlink>
    </w:p>
    <w:p>
      <w:pPr>
        <w:pStyle w:val="TOC2"/>
        <w:tabs>
          <w:tab w:val="right" w:leader="dot" w:pos="8306"/>
        </w:tabs>
      </w:pPr>
      <w:hyperlink w:anchor="_Toc8554" w:history="1">
        <w:r>
          <w:rPr>
            <w:rFonts w:ascii="仿宋" w:eastAsia="仿宋" w:hAnsi="仿宋" w:cs="仿宋" w:hint="eastAsia"/>
            <w:lang w:eastAsia="zh-CN"/>
          </w:rPr>
          <w:t>(二)、生物处理设备项目法律合规要求</w:t>
        </w:r>
        <w:r>
          <w:tab/>
        </w:r>
        <w:r>
          <w:fldChar w:fldCharType="begin"/>
        </w:r>
        <w:r>
          <w:instrText xml:space="preserve"> PAGEREF _Toc8554 \h </w:instrText>
        </w:r>
        <w:r>
          <w:fldChar w:fldCharType="separate"/>
        </w:r>
        <w:r>
          <w:t>52</w:t>
        </w:r>
        <w:r>
          <w:fldChar w:fldCharType="end"/>
        </w:r>
      </w:hyperlink>
    </w:p>
    <w:p>
      <w:pPr>
        <w:pStyle w:val="TOC2"/>
        <w:tabs>
          <w:tab w:val="right" w:leader="dot" w:pos="8306"/>
        </w:tabs>
      </w:pPr>
      <w:hyperlink w:anchor="_Toc22397" w:history="1">
        <w:r>
          <w:rPr>
            <w:rFonts w:ascii="仿宋" w:eastAsia="仿宋" w:hAnsi="仿宋" w:cs="仿宋" w:hint="eastAsia"/>
            <w:lang w:eastAsia="zh-CN"/>
          </w:rPr>
          <w:t>(三)、生物处理设备项目合同管理与法律事务</w:t>
        </w:r>
        <w:r>
          <w:tab/>
        </w:r>
        <w:r>
          <w:fldChar w:fldCharType="begin"/>
        </w:r>
        <w:r>
          <w:instrText xml:space="preserve"> PAGEREF _Toc22397 \h </w:instrText>
        </w:r>
        <w:r>
          <w:fldChar w:fldCharType="separate"/>
        </w:r>
        <w:r>
          <w:t>57</w:t>
        </w:r>
        <w:r>
          <w:fldChar w:fldCharType="end"/>
        </w:r>
      </w:hyperlink>
    </w:p>
    <w:p>
      <w:pPr>
        <w:pStyle w:val="TOC2"/>
        <w:tabs>
          <w:tab w:val="right" w:leader="dot" w:pos="8306"/>
        </w:tabs>
      </w:pPr>
      <w:hyperlink w:anchor="_Toc13066" w:history="1">
        <w:r>
          <w:rPr>
            <w:rFonts w:ascii="仿宋" w:eastAsia="仿宋" w:hAnsi="仿宋" w:cs="仿宋" w:hint="eastAsia"/>
            <w:lang w:eastAsia="zh-CN"/>
          </w:rPr>
          <w:t>(四)、生物处理设备项目知识产权保护策略</w:t>
        </w:r>
        <w:r>
          <w:tab/>
        </w:r>
        <w:r>
          <w:fldChar w:fldCharType="begin"/>
        </w:r>
        <w:r>
          <w:instrText xml:space="preserve"> PAGEREF _Toc13066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93"/>
      <w:r>
        <w:rPr>
          <w:rFonts w:ascii="仿宋" w:eastAsia="仿宋" w:hAnsi="仿宋" w:cs="仿宋" w:hint="eastAsia"/>
          <w:sz w:val="28"/>
          <w:lang w:eastAsia="zh-CN"/>
        </w:rPr>
        <w:t>一、生物处理设备项目建设单位说明</w:t>
      </w:r>
      <w:bookmarkEnd w:id="2"/>
    </w:p>
    <w:p>
      <w:pPr>
        <w:pStyle w:val="Heading2"/>
        <w:rPr>
          <w:rFonts w:ascii="仿宋" w:eastAsia="仿宋" w:hAnsi="仿宋" w:cs="仿宋" w:hint="eastAsia"/>
          <w:lang w:eastAsia="zh-CN"/>
        </w:rPr>
      </w:pPr>
      <w:bookmarkStart w:id="3" w:name="_Toc8159"/>
      <w:r>
        <w:rPr>
          <w:rFonts w:ascii="仿宋" w:eastAsia="仿宋" w:hAnsi="仿宋" w:cs="仿宋" w:hint="eastAsia"/>
          <w:lang w:eastAsia="zh-CN"/>
        </w:rPr>
        <w:t>(一)、生物处理设备项目承办单位基本情况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9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处理设备项目承办单位的XXXX，我们着眼于实现可持续的经济效益。通过技术创新和解决方案的提供，公司预计在生物处理设备项目执行期间将获得可观的收入增长。这一收入来源主要包括生物处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同时，我们注重成本控制和效率提升，以确保生物处理设备项目的可持续盈利。透过精细的管理和资源优化，公司期望实现生物处理设备项目利润最大化。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处理设备项目实施进行全面的投资评估，包括生物处理设备项目启动阶段的资金投入和后续运营成本。通过对生物处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生物处理设备项目实施过程中具备足够的资金流动性，公司将进行详尽的现金流分析。这包括资金需求的合理预测、生物处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515"/>
      <w:r>
        <w:rPr>
          <w:rFonts w:ascii="仿宋" w:eastAsia="仿宋" w:hAnsi="仿宋" w:cs="仿宋" w:hint="eastAsia"/>
          <w:sz w:val="28"/>
          <w:lang w:eastAsia="zh-CN"/>
        </w:rPr>
        <w:t>二、生物处理设备项目文档管理</w:t>
      </w:r>
      <w:bookmarkEnd w:id="5"/>
    </w:p>
    <w:p>
      <w:pPr>
        <w:pStyle w:val="Heading2"/>
        <w:rPr>
          <w:rFonts w:ascii="仿宋" w:eastAsia="仿宋" w:hAnsi="仿宋" w:cs="仿宋" w:hint="eastAsia"/>
          <w:lang w:eastAsia="zh-CN"/>
        </w:rPr>
      </w:pPr>
      <w:bookmarkStart w:id="6" w:name="_Toc2213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生物处理设备项目高度重视文档的质量和准确性，以支持生物处理设备项目的各项活动和决策。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文档的编制始于生物处理设备项目计划的初期，我们制定了详细的文档编制计划，明确了每个文档的内容、格式和编写责任人。在生物处理设备项目启动阶段，我们首先编制了生物处理设备项目章程，明确定义了生物处理设备项目的目标、范围、风险等关键要素。随后，生物处理设备项目团队根据计划陆续编制了需求文档、设计文档、测试文档等各类文档，确保生物处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处理设备项目管理中的重要环节，旨在确保生物处理设备项目文档符合质量标准和生物处理设备项目需求。在生物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处理设备项目相关利益方和专业领域的专家对文档进行独立审查。这有助于获取更全面、客观的反馈，确保生物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生物处理设备项目在文档编制与审查方面建立了严格的管理机制，通过规范的流程和多维度的审查，确保生物处理设备项目文档的质量、准确性和可靠性，为生物处理设备项目的顺利推进提供了有力支持。</w:t>
      </w:r>
    </w:p>
    <w:p>
      <w:pPr>
        <w:pStyle w:val="Heading2"/>
        <w:ind w:firstLine="560" w:firstLineChars="200"/>
        <w:rPr>
          <w:rFonts w:ascii="仿宋" w:eastAsia="仿宋" w:hAnsi="仿宋" w:cs="仿宋" w:hint="eastAsia"/>
          <w:sz w:val="28"/>
          <w:lang w:eastAsia="zh-CN"/>
        </w:rPr>
      </w:pPr>
      <w:bookmarkStart w:id="7" w:name="_Toc189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17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处理设备项目生命周期中一个至关重要的环节，直接关系到生物处理设备项目信息的长期保存和历史记录的完整性。在生物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721"/>
      <w:r>
        <w:rPr>
          <w:rFonts w:ascii="仿宋" w:eastAsia="仿宋" w:hAnsi="仿宋" w:cs="仿宋" w:hint="eastAsia"/>
          <w:sz w:val="28"/>
          <w:lang w:eastAsia="zh-CN"/>
        </w:rPr>
        <w:t>三、生物处理设备项目绩效评估</w:t>
      </w:r>
      <w:bookmarkEnd w:id="9"/>
    </w:p>
    <w:p>
      <w:pPr>
        <w:pStyle w:val="Heading2"/>
        <w:rPr>
          <w:rFonts w:ascii="仿宋" w:eastAsia="仿宋" w:hAnsi="仿宋" w:cs="仿宋" w:hint="eastAsia"/>
          <w:lang w:eastAsia="zh-CN"/>
        </w:rPr>
      </w:pPr>
      <w:bookmarkStart w:id="10" w:name="_Toc1280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中，我们设计了一套全面的绩效评估指标，以确保生物处理设备项目的可控和成功交付。这些指标跨足生物处理设备项目目标、成本、进度和质量等多个维度，为我们提供了全面洞察生物处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目标达成率是我们关注的首要指标。我们设定了明确的目标，并通过定期监测和评估，迅速发现并应对潜在的目标偏差。这为生物处理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成本绩效是另一个核心关注点。通过实际成本与预算成本的对比分析，我们深入了解成本差异的原因，及时调整资源分配，保持生物处理设备项目在经济效益方面的合理水平。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进度作为关键的绩效指标之一，得到了精心的关注。我们制定了详细的生物处理设备项目进度计划，并设立了进度符合度指标，确保实际进度与计划进度保持一致。这使我们能够快速发现和解决潜在的进度问题，保持生物处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处理设备项目绩效的不可或缺的一环。我们引入了一系列的质量标准和客户满意度指标，以确保生物处理设备项目交付的成果在质量上达到或超越预期水平。通过持续监测这些指标，我们努力提升生物处理设备项目整体质量水平，为生物处理设备项目的成功交付提供有力保障。通过这些科学且全面的绩效评估，我们能够更好地引导生物处理设备项目的持续改进，确保生物处理设备项目目标的顺利达成。</w:t>
      </w:r>
    </w:p>
    <w:p>
      <w:pPr>
        <w:pStyle w:val="Heading2"/>
        <w:ind w:firstLine="560" w:firstLineChars="200"/>
        <w:rPr>
          <w:rFonts w:ascii="仿宋" w:eastAsia="仿宋" w:hAnsi="仿宋" w:cs="仿宋" w:hint="eastAsia"/>
          <w:sz w:val="28"/>
          <w:lang w:eastAsia="zh-CN"/>
        </w:rPr>
      </w:pPr>
      <w:bookmarkStart w:id="11" w:name="_Toc3094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绩效评估是生物处理设备项目中的关键环节，为确保生物处理设备项目达到预期目标，我们采用了多层次、多维度的绩效评估方法。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处理设备项目的战略目标对齐，确保每个决策和行动都与生物处理设备项目整体目标保持一致。团队会定期召开战略对齐会议，审视当前工作与生物处理设备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处理设备项目进度、质量、成本和风险等方面。这些指标通过数据收集和分析，为生物处理设备项目管理团队提供了客观的评估依据。例如，我们通过生物处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绩效评估不仅仅停留在生物处理设备项目内部，还考虑了生物处理设备项目对外部环境的影响。我们定期进行干系人满意度调查，以了解各利益相关方对生物处理设备项目的期望和满意度，并及时做出调整。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这种多层次、多角度的绩效评估方法，使得我们能够全面了解生物处理设备项目的运行状态，及时做出调整，确保生物处理设备项目在不断变化的环境中保持稳健前行。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2529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为了确保生物处理设备项目的有效管理和不断优化，我们采用了精心设计的绩效评估周期。这个周期旨在实现灵活、实时和全面的评估，以适应生物处理设备项目执行中的各种挑战。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处理设备项目的不同需求，分为短期、中期和长期。短期评估关注每个迭代或工作周期，以及时发现和解决当前任务中的问题。中期评估涵盖几个迭代，深入了解整体生物处理设备项目的趋势和性能。长期评估则着眼于整个生物处理设备项目阶段，确保生物处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处理设备项目管理工具和协作平台，团队成员能够随时更新和分享生物处理设备项目数据。这种实时性的反馈机制使我们能够及时察觉潜在问题，快速调整，保持生物处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处理设备项目的决策制定密不可分。每个周期的生物处理设备项目回顾会议成为集体总结经验、识别问题深层次原因并找到创新解决方案的平台。这种定期的反思与调整机制使生物处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651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227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生物处理设备项目的主要产品是XXXX，预计年产值为XXX万元。这一产品在市场中占据着重要的地位，其广泛的应用范围使得该生物处理设备项目的市场前景非常广阔。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处理设备项目的xxx产品作为重要的原材料之一，将在多个领域发挥关键作用。其在建筑、交通、能源等方面的广泛应用将为整个产业链提供强大的支持，形成产业协同效应。生物处理设备项目的年产值XXX万XXX万XXX万万元不仅反映了其在市场上的巨大潜力，更预示着它对国民经济的积极贡献。这种关联度高、涉及面广的产业关系，使得该生物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54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总征地面积为XXXX平方米，相当于约XX.XX亩，其中净用地面积为XXXX平方米，红线范围内相当于约XX.XX亩。这一用地规模充分考虑了生物处理设备项目的建设需求，保障了生物处理设备项目在合适的空间内得以充分发展。生物处理设备项目规划的总建筑面积为XXXX平方米，其中主体工程建设占XXXX平方米，计容建筑面积达XXXX平方米。预计建筑工程的投资将达到XXXX万元，为生物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计划购置的设备共计XXXX台（套），设备购置费用为XXXX万元。这一设备购置计划充分考虑到生物处理设备项目的生产需求和技术要求，确保了生物处理设备项目在生产运营中具备先进的技术装备和高效的生产能力。设备的合理配置将为生物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计划总投资为XXXX万元，预计年实现营业收入为XXXX万元。这一产能规模的设定旨在确保生物处理设备项目能够在投资与回报之间取得平衡，实现长期可持续的发展。生物处理设备项目的总投资充分考虑到各个方面的需求，包括用地建设、设备购置等多个环节，以确保生物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158"/>
      <w:r>
        <w:rPr>
          <w:rFonts w:ascii="仿宋" w:eastAsia="仿宋" w:hAnsi="仿宋" w:cs="仿宋" w:hint="eastAsia"/>
          <w:sz w:val="28"/>
          <w:lang w:eastAsia="zh-CN"/>
        </w:rPr>
        <w:t>五、生物处理设备项目建设背景及必要性分析</w:t>
      </w:r>
      <w:bookmarkEnd w:id="16"/>
    </w:p>
    <w:p>
      <w:pPr>
        <w:pStyle w:val="Heading2"/>
        <w:rPr>
          <w:rFonts w:ascii="仿宋" w:eastAsia="仿宋" w:hAnsi="仿宋" w:cs="仿宋" w:hint="eastAsia"/>
          <w:lang w:eastAsia="zh-CN"/>
        </w:rPr>
      </w:pPr>
      <w:bookmarkStart w:id="17" w:name="_Toc6727"/>
      <w:r>
        <w:rPr>
          <w:rFonts w:ascii="仿宋" w:eastAsia="仿宋" w:hAnsi="仿宋" w:cs="仿宋" w:hint="eastAsia"/>
          <w:lang w:eastAsia="zh-CN"/>
        </w:rPr>
        <w:t>(一)、生物处理设备项目背景分析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处理设备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处理设备项目在这个潮流中的定位。同时，我们将关注行业内涌现的新兴机遇，以便生物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处理设备项目提供了强大的发展动力。我们将聚焦于行业内最新的技术发展趋势，包括但不限于人工智能、大数据分析、物联网等领域。通过深度的技术研究，我们将确保生物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处理设备项目发展的源泉。我们将投入更多的精力对市场需求进行深入剖析，超越表面的需求，深入挖掘潜在的市场痛点和机遇。通过对市场需求的细致了解，生物处理设备项目将更有针对性地设计解决方案，满足市场的多样化需求，从而更好地促进生物处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处理设备项目战略至关重要。我们将对竞争态势进行更为深入的分析，包括但不限于市场份额、产品特点、客户满意度等多个维度。通过深度的竞争分析，生物处理设备项目将能够更准确地把握市场脉搏，制定具有竞争力的生物处理设备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处理设备项目的发展具有直接的影响。我们将进行更为全面的法规和政策分析，了解行业发展中的潜在法律风险和合规挑战。通过充分了解和遵守相关法规，生物处理设备项目将确保在法律框架内合法合规运营，为生物处理设备项目的稳健发展提供有力支持。</w:t>
      </w:r>
    </w:p>
    <w:p>
      <w:pPr>
        <w:pStyle w:val="Heading2"/>
        <w:ind w:firstLine="560" w:firstLineChars="200"/>
        <w:rPr>
          <w:rFonts w:ascii="仿宋" w:eastAsia="仿宋" w:hAnsi="仿宋" w:cs="仿宋" w:hint="eastAsia"/>
          <w:sz w:val="28"/>
          <w:lang w:eastAsia="zh-CN"/>
        </w:rPr>
      </w:pPr>
      <w:bookmarkStart w:id="18" w:name="_Toc12522"/>
      <w:r>
        <w:rPr>
          <w:rFonts w:ascii="仿宋" w:eastAsia="仿宋" w:hAnsi="仿宋" w:cs="仿宋" w:hint="eastAsia"/>
          <w:sz w:val="28"/>
          <w:lang w:eastAsia="zh-CN"/>
        </w:rPr>
        <w:t>(二)、生物处理设备项目建设必要性分析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建设的迫切性源于对行业发展趋势的深刻洞察。我们正处于一个行业变革的时代，科技创新、数字化转型成为企业发展的关键动力。生物处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建设不仅仅是为了跟上潮流，更是为了通过技术创新推动企业的持续发展。通过引入先进的技术和解决方案，生物处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处理设备项目的建设成为必然选择，通过提高产品质量、拓展服务领域，从而在竞争中获得更多的机会。生物处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处理设备项目建设的必要性体现在对客户需求更精准的满足。通过生物处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建设的背后是对企业持续创新的追求。只有通过不断创新，企业才能在竞争中立于不败之地。生物处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8590"/>
      <w:r>
        <w:rPr>
          <w:rFonts w:ascii="仿宋" w:eastAsia="仿宋" w:hAnsi="仿宋" w:cs="仿宋" w:hint="eastAsia"/>
          <w:sz w:val="28"/>
          <w:lang w:eastAsia="zh-CN"/>
        </w:rPr>
        <w:t>六、生物处理设备项目危机管理</w:t>
      </w:r>
      <w:bookmarkEnd w:id="19"/>
    </w:p>
    <w:p>
      <w:pPr>
        <w:pStyle w:val="Heading2"/>
        <w:rPr>
          <w:rFonts w:ascii="仿宋" w:eastAsia="仿宋" w:hAnsi="仿宋" w:cs="仿宋" w:hint="eastAsia"/>
          <w:lang w:eastAsia="zh-CN"/>
        </w:rPr>
      </w:pPr>
      <w:bookmarkStart w:id="20" w:name="_Toc1090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危机管理中，危机预警与识别是确保生物处理设备项目稳健运行的核心步骤。通过建立全面的监测机制，生物处理设备项目团队旨在及时发现和理解潜在的风险和危机因素，以便采取及时的预防和应对措施，确保生物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https://d.book118.com/827100041000006036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8E391E"/>
    <w:rsid w:val="248E39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0004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2024-01-29T09:18:00Z</dcterms:created>
  <dcterms:modified xsi:type="dcterms:W3CDTF">2024-01-29T09:19:09Z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5709C9F4AE14454C953BE05D65DEB241_11</vt:lpwstr>
  </property>
  <property fmtid="{D5CDD505-2E9C-101B-9397-08002B2CF9AE}" pid="3" name="KSOProductBuildVer">
    <vt:lpwstr>2052-12.1.0.16250</vt:lpwstr>
  </property>
</Properties>
</file>