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OC1"/>
        <w:tabs>
          <w:tab w:val="right" w:leader="dot" w:pos="8306"/>
        </w:tabs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  <w:bookmarkStart w:id="0" w:name="_Toc19080"/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目 录</w:t>
      </w:r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fldChar w:fldCharType="begin"/>
      </w:r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28"/>
        </w:rPr>
        <w:instrText xml:space="preserve">TOC \o "1-2" \h \u </w:instrText>
      </w: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fldChar w:fldCharType="separate"/>
      </w:r>
      <w:hyperlink w:anchor="_Toc1296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一、编制目的</w:t>
          <w:tab/>
          <w:t>1</w:t>
        </w:r>
      </w:hyperlink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4679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二、编制依据</w:t>
          <w:tab/>
          <w:t>1</w:t>
        </w:r>
      </w:hyperlink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8717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三、适用范围</w:t>
          <w:tab/>
          <w:t>1</w:t>
        </w:r>
      </w:hyperlink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5787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四、应急工作原则</w:t>
          <w:tab/>
          <w:t>1</w:t>
        </w:r>
      </w:hyperlink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30319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五、工程概况</w:t>
          <w:tab/>
          <w:t>2</w:t>
        </w:r>
      </w:hyperlink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6934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六、人工挖孔桩紧急源辨识与分析</w:t>
          <w:tab/>
          <w:t>3</w:t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24653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1、施工紧急源的识别</w:t>
          <w:tab/>
          <w:t>3</w:t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bCs/>
          <w:sz w:val="28"/>
          <w:szCs w:val="28"/>
        </w:rPr>
      </w:pPr>
      <w:hyperlink w:anchor="_Toc30616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2、对紧急源的评价</w:t>
          <w:tab/>
          <w:t>4</w:t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30616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3、平安预防措施</w:t>
          <w:tab/>
          <w:t>5</w:t>
        </w:r>
      </w:hyperlink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6934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七、应急组织机构与职责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0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24653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1、人工挖孔桩事故平安应急救援领导小组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  <w:lang w:val="en-US" w:eastAsia="zh-CN"/>
        </w:rPr>
        <w:t>1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bCs/>
          <w:sz w:val="28"/>
          <w:szCs w:val="28"/>
        </w:rPr>
      </w:pPr>
      <w:hyperlink w:anchor="_Toc30616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2、应急领导小组职责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1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30616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3、应急抢险救援组织机构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1</w:t>
      </w:r>
    </w:p>
    <w:p>
      <w:pPr>
        <w:pStyle w:val="TOC2"/>
        <w:tabs>
          <w:tab w:val="right" w:leader="dot" w:pos="8306"/>
        </w:tabs>
      </w:pPr>
      <w:hyperlink w:anchor="_Toc30616" w:history="1">
        <w:r>
          <w:rPr>
            <w:rFonts w:ascii="华文中宋" w:eastAsia="华文中宋" w:hAnsi="华文中宋" w:cs="华文中宋" w:hint="eastAsia"/>
            <w:bCs/>
            <w:color w:val="000000"/>
            <w:sz w:val="26"/>
            <w:szCs w:val="28"/>
          </w:rPr>
          <w:t>4、应急抢险救援组织职责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  <w:lang w:val="en-US" w:eastAsia="zh-CN"/>
        </w:rPr>
        <w:t>2</w:t>
      </w:r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bCs/>
          <w:sz w:val="28"/>
          <w:szCs w:val="28"/>
        </w:rPr>
      </w:pPr>
      <w:hyperlink w:anchor="_Toc2097" w:history="1">
        <w:r>
          <w:rPr>
            <w:rFonts w:ascii="华文中宋" w:eastAsia="华文中宋" w:hAnsi="华文中宋" w:cs="华文中宋" w:hint="eastAsia"/>
            <w:bCs/>
            <w:color w:val="000000"/>
            <w:sz w:val="26"/>
            <w:szCs w:val="28"/>
            <w:lang w:eastAsia="zh-CN"/>
          </w:rPr>
          <w:t>八</w:t>
        </w:r>
        <w:r>
          <w:rPr>
            <w:rFonts w:ascii="华文中宋" w:eastAsia="华文中宋" w:hAnsi="华文中宋" w:cs="华文中宋" w:hint="eastAsia"/>
            <w:bCs/>
            <w:color w:val="000000"/>
            <w:sz w:val="26"/>
            <w:szCs w:val="28"/>
          </w:rPr>
          <w:t>、预防与预警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3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  <w:sectPr>
          <w:pgSz w:w="11906" w:h="16838"/>
          <w:pgMar w:top="1440" w:right="1800" w:bottom="1440" w:left="1800" w:header="851" w:footer="992" w:gutter="0"/>
          <w:pgNumType w:start="1"/>
          <w:cols w:num="1" w:space="425"/>
          <w:docGrid w:type="lines" w:linePitch="312" w:charSpace="0"/>
        </w:sectPr>
      </w:pPr>
      <w:hyperlink w:anchor="_Toc15845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1、紧急源监控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3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6128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2、预警行动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3</w:t>
      </w:r>
    </w:p>
    <w:p>
      <w:pPr>
        <w:pStyle w:val="TOC1"/>
        <w:tabs>
          <w:tab w:val="right" w:leader="dot" w:pos="8306"/>
        </w:tabs>
      </w:pPr>
      <w:hyperlink w:anchor="_Toc2097" w:history="1">
        <w:r>
          <w:rPr>
            <w:rFonts w:ascii="华文中宋" w:eastAsia="华文中宋" w:hAnsi="华文中宋" w:cs="华文中宋" w:hint="eastAsia"/>
            <w:color w:val="000000"/>
            <w:sz w:val="26"/>
            <w:lang w:eastAsia="zh-CN"/>
          </w:rPr>
          <w:t>九</w:t>
        </w:r>
        <w:r>
          <w:rPr>
            <w:rFonts w:ascii="华文中宋" w:eastAsia="华文中宋" w:hAnsi="华文中宋" w:cs="华文中宋" w:hint="eastAsia"/>
            <w:bCs/>
            <w:color w:val="000000"/>
            <w:sz w:val="26"/>
            <w:szCs w:val="28"/>
          </w:rPr>
          <w:t>、</w:t>
        </w:r>
        <w:r>
          <w:rPr>
            <w:rFonts w:ascii="华文中宋" w:eastAsia="华文中宋" w:hAnsi="华文中宋" w:cs="华文中宋" w:hint="eastAsia"/>
            <w:bCs/>
            <w:color w:val="000000"/>
            <w:sz w:val="26"/>
            <w:szCs w:val="28"/>
            <w:lang w:eastAsia="zh-CN"/>
          </w:rPr>
          <w:t>信息报告</w:t>
        </w:r>
        <w:r>
          <w:rPr>
            <w:rFonts w:ascii="华文中宋" w:eastAsia="华文中宋" w:hAnsi="华文中宋" w:cs="华文中宋" w:hint="eastAsia"/>
            <w:bCs/>
            <w:color w:val="000000"/>
            <w:sz w:val="26"/>
            <w:szCs w:val="28"/>
          </w:rPr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  <w:lang w:val="en-US" w:eastAsia="zh-CN"/>
        </w:rPr>
        <w:t>4</w:t>
      </w:r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2181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eastAsia="zh-CN"/>
          </w:rPr>
          <w:t>十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、应急响应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  <w:lang w:val="en-US" w:eastAsia="zh-CN"/>
        </w:rPr>
        <w:t>5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8572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1、响应分级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  <w:lang w:val="en-US" w:eastAsia="zh-CN"/>
        </w:rPr>
        <w:t>5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9938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2、响应程序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5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9938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3、响应程序</w:t>
          <w:tab/>
          <w:t>1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8</w:t>
      </w:r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9938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4、响应程序</w:t>
          <w:tab/>
          <w:t>2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</w:rPr>
        <w:t>0</w:t>
      </w:r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30239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十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eastAsia="zh-CN"/>
          </w:rPr>
          <w:t>一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、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eastAsia="zh-CN"/>
          </w:rPr>
          <w:t>应急处置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ab/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begin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instrText xml:space="preserve"> PAGEREF _Toc30239 </w:instrTex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separate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val="en-US" w:eastAsia="zh-CN"/>
          </w:rPr>
          <w:t>1</w: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end"/>
        </w:r>
      </w:hyperlink>
    </w:p>
    <w:p>
      <w:pPr>
        <w:pStyle w:val="TOC1"/>
        <w:tabs>
          <w:tab w:val="right" w:leader="dot" w:pos="8306"/>
        </w:tabs>
        <w:ind w:firstLine="420" w:firstLineChars="200"/>
        <w:rPr>
          <w:rFonts w:ascii="仿宋_GB2312" w:eastAsia="仿宋_GB2312" w:hAnsi="仿宋_GB2312" w:cs="仿宋_GB2312" w:hint="eastAsia"/>
          <w:bCs/>
          <w:sz w:val="28"/>
          <w:szCs w:val="28"/>
        </w:rPr>
      </w:pPr>
      <w:hyperlink w:anchor="_Toc19938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val="en-US" w:eastAsia="zh-CN"/>
          </w:rPr>
          <w:t>1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、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eastAsia="zh-CN"/>
          </w:rPr>
          <w:t>现场应急处</w:t>
        </w:r>
        <w:bookmarkStart w:id="1" w:name="_GoBack"/>
        <w:bookmarkEnd w:id="1"/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eastAsia="zh-CN"/>
          </w:rPr>
          <w:t>置措施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ab/>
          <w:t>2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  <w:lang w:val="en-US" w:eastAsia="zh-CN"/>
        </w:rPr>
        <w:t>1</w:t>
      </w:r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30239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十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eastAsia="zh-CN"/>
          </w:rPr>
          <w:t>二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、保障措施</w:t>
          <w:tab/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begin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instrText xml:space="preserve"> PAGEREF _Toc30239 </w:instrTex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separate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28</w: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7507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1、应急救援物资与装备保障</w:t>
          <w:tab/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begin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instrText xml:space="preserve"> PAGEREF _Toc17507 </w:instrTex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separate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28</w: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6492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2、现场医疗保障</w:t>
          <w:tab/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begin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instrText xml:space="preserve"> PAGEREF _Toc6492 </w:instrTex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separate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29</w: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22099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3、交通运输保障</w:t>
          <w:tab/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begin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instrText xml:space="preserve"> PAGEREF _Toc22099 </w:instrTex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separate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29</w: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4906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4、通讯联络保障</w:t>
          <w:tab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val="en-US" w:eastAsia="zh-CN"/>
          </w:rPr>
          <w:t>3</w:t>
        </w:r>
      </w:hyperlink>
      <w:r>
        <w:rPr>
          <w:rFonts w:ascii="华文中宋" w:eastAsia="华文中宋" w:hAnsi="华文中宋" w:cs="华文中宋" w:hint="eastAsia"/>
          <w:color w:val="000000"/>
          <w:sz w:val="26"/>
          <w:szCs w:val="28"/>
          <w:lang w:val="en-US" w:eastAsia="zh-CN"/>
        </w:rPr>
        <w:t>0</w:t>
      </w:r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4814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十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eastAsia="zh-CN"/>
          </w:rPr>
          <w:t>三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、培训与演练</w:t>
          <w:tab/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begin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instrText xml:space="preserve"> PAGEREF _Toc4814 </w:instrTex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separate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31</w: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5915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1、培训</w:t>
          <w:tab/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begin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instrText xml:space="preserve"> PAGEREF _Toc15915 </w:instrTex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separate"/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31</w:t>
        </w:r>
        <w:r>
          <w:rPr>
            <w:rFonts w:ascii="仿宋_GB2312" w:eastAsia="仿宋_GB2312" w:hAnsi="仿宋_GB2312" w:cs="仿宋_GB2312" w:hint="eastAsia"/>
            <w:sz w:val="28"/>
            <w:szCs w:val="28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5882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2、演练</w:t>
          <w:tab/>
          <w:t>3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  <w:lang w:val="en-US" w:eastAsia="zh-CN"/>
        </w:rPr>
        <w:t>1</w:t>
      </w:r>
    </w:p>
    <w:p>
      <w:pPr>
        <w:pStyle w:val="TOC1"/>
        <w:tabs>
          <w:tab w:val="right" w:leader="dot" w:pos="8306"/>
        </w:tabs>
        <w:rPr>
          <w:rFonts w:ascii="仿宋_GB2312" w:eastAsia="仿宋_GB2312" w:hAnsi="仿宋_GB2312" w:cs="仿宋_GB2312"/>
          <w:sz w:val="28"/>
          <w:szCs w:val="28"/>
        </w:rPr>
      </w:pPr>
      <w:hyperlink w:anchor="_Toc19788" w:history="1"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十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  <w:lang w:eastAsia="zh-CN"/>
          </w:rPr>
          <w:t>四</w:t>
        </w:r>
        <w:r>
          <w:rPr>
            <w:rFonts w:ascii="华文中宋" w:eastAsia="华文中宋" w:hAnsi="华文中宋" w:cs="华文中宋" w:hint="eastAsia"/>
            <w:color w:val="000000"/>
            <w:sz w:val="26"/>
            <w:szCs w:val="28"/>
          </w:rPr>
          <w:t>、奖罚</w:t>
          <w:tab/>
          <w:t>3</w:t>
        </w:r>
      </w:hyperlink>
      <w:r>
        <w:rPr>
          <w:rFonts w:ascii="华文中宋" w:eastAsia="华文中宋" w:hAnsi="华文中宋" w:cs="华文中宋" w:hint="eastAsia"/>
          <w:bCs/>
          <w:color w:val="000000"/>
          <w:sz w:val="26"/>
          <w:szCs w:val="28"/>
          <w:lang w:val="en-US" w:eastAsia="zh-CN"/>
        </w:rPr>
        <w:t>1</w:t>
      </w: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fldChar w:fldCharType="end"/>
      </w: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</w:p>
    <w:p>
      <w:pPr>
        <w:jc w:val="center"/>
        <w:rPr>
          <w:rFonts w:ascii="仿宋_GB2312" w:eastAsia="仿宋_GB2312" w:hAnsi="仿宋_GB2312" w:cs="仿宋_GB2312" w:hint="eastAsia"/>
          <w:b/>
          <w:bCs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</w:p>
    <w:p>
      <w:pPr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28"/>
        </w:rPr>
        <w:t>人工挖孔桩应急救援预案</w:t>
      </w:r>
      <w:bookmarkEnd w:id="0"/>
    </w:p>
    <w:p>
      <w:pPr>
        <w:widowControl/>
        <w:spacing w:line="450" w:lineRule="atLeast"/>
        <w:rPr>
          <w:rFonts w:ascii="仿宋_GB2312" w:eastAsia="仿宋_GB2312" w:hAnsi="仿宋_GB2312" w:cs="仿宋_GB2312"/>
          <w:b/>
          <w:bCs/>
          <w:color w:val="000000"/>
          <w:sz w:val="28"/>
          <w:szCs w:val="28"/>
        </w:rPr>
      </w:pPr>
      <w:bookmarkStart w:id="2" w:name="_Toc1296"/>
      <w:bookmarkStart w:id="3" w:name="_Toc24100"/>
      <w:bookmarkStart w:id="4" w:name="_Toc481420553"/>
      <w:bookmarkStart w:id="5" w:name="_Toc11937"/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28"/>
        </w:rPr>
        <w:t>一、编制目的</w:t>
      </w:r>
      <w:bookmarkEnd w:id="2"/>
      <w:bookmarkEnd w:id="3"/>
      <w:bookmarkEnd w:id="4"/>
      <w:bookmarkEnd w:id="5"/>
    </w:p>
    <w:p>
      <w:pPr>
        <w:widowControl/>
        <w:spacing w:line="450" w:lineRule="atLeast"/>
        <w:ind w:firstLine="520" w:firstLineChars="200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pacing w:val="20"/>
          <w:sz w:val="26"/>
          <w:szCs w:val="28"/>
        </w:rPr>
        <w:t>为了防止人工挖孔桩平安事故，削减和降低事故中人员伤亡和财产损失，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有效预防、主动应对、与时限制突发事务，有效地实施应急救援工作，最大限度削减人员伤亡和财产损失。</w:t>
      </w:r>
      <w:r>
        <w:rPr>
          <w:rFonts w:ascii="华文中宋" w:eastAsia="华文中宋" w:hAnsi="华文中宋" w:cs="华文中宋" w:hint="eastAsia"/>
          <w:color w:val="000000"/>
          <w:spacing w:val="20"/>
          <w:sz w:val="26"/>
          <w:szCs w:val="28"/>
        </w:rPr>
        <w:t>全面贯彻</w:t>
      </w:r>
      <w:r>
        <w:rPr>
          <w:rFonts w:ascii="华文中宋" w:eastAsia="华文中宋" w:hAnsi="华文中宋" w:cs="华文中宋" w:hint="eastAsia"/>
          <w:color w:val="000000"/>
          <w:spacing w:val="20"/>
          <w:sz w:val="26"/>
          <w:szCs w:val="28"/>
        </w:rPr>
        <w:t>“</w:t>
      </w:r>
      <w:r>
        <w:rPr>
          <w:rFonts w:ascii="华文中宋" w:eastAsia="华文中宋" w:hAnsi="华文中宋" w:cs="华文中宋" w:hint="eastAsia"/>
          <w:color w:val="000000"/>
          <w:spacing w:val="20"/>
          <w:sz w:val="26"/>
          <w:szCs w:val="28"/>
        </w:rPr>
        <w:t>平安第一，预防为主，综合治理</w:t>
      </w:r>
      <w:r>
        <w:rPr>
          <w:rFonts w:ascii="华文中宋" w:eastAsia="华文中宋" w:hAnsi="华文中宋" w:cs="华文中宋" w:hint="eastAsia"/>
          <w:color w:val="000000"/>
          <w:spacing w:val="20"/>
          <w:sz w:val="26"/>
          <w:szCs w:val="28"/>
        </w:rPr>
        <w:t>”</w:t>
      </w:r>
      <w:r>
        <w:rPr>
          <w:rFonts w:ascii="华文中宋" w:eastAsia="华文中宋" w:hAnsi="华文中宋" w:cs="华文中宋" w:hint="eastAsia"/>
          <w:color w:val="000000"/>
          <w:spacing w:val="20"/>
          <w:sz w:val="26"/>
          <w:szCs w:val="28"/>
        </w:rPr>
        <w:t>的方针，并有针对性地实行救援措施，防止事故的进一步扩大，削减人员伤亡和财产损失，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结合我项目人工挖孔桩施工实际状况，制订本预案。</w:t>
      </w:r>
    </w:p>
    <w:p>
      <w:pPr>
        <w:widowControl/>
        <w:spacing w:line="450" w:lineRule="atLeast"/>
        <w:rPr>
          <w:rFonts w:ascii="仿宋_GB2312" w:eastAsia="仿宋_GB2312" w:hAnsi="仿宋_GB2312" w:cs="仿宋_GB2312"/>
          <w:b/>
          <w:bCs/>
          <w:color w:val="000000"/>
          <w:sz w:val="28"/>
          <w:szCs w:val="28"/>
        </w:rPr>
      </w:pPr>
      <w:bookmarkStart w:id="6" w:name="_Toc481420554"/>
      <w:bookmarkStart w:id="7" w:name="_Toc19113"/>
      <w:bookmarkStart w:id="8" w:name="_Toc4679"/>
      <w:bookmarkStart w:id="9" w:name="_Toc16177"/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28"/>
        </w:rPr>
        <w:t>二、编制依据</w:t>
      </w:r>
      <w:bookmarkEnd w:id="6"/>
      <w:bookmarkEnd w:id="7"/>
      <w:bookmarkEnd w:id="8"/>
      <w:bookmarkEnd w:id="9"/>
    </w:p>
    <w:p>
      <w:pPr>
        <w:widowControl/>
        <w:spacing w:line="450" w:lineRule="atLeast"/>
        <w:ind w:firstLine="560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1.《中华人民共和国平安生产法》</w:t>
      </w:r>
    </w:p>
    <w:p>
      <w:pPr>
        <w:widowControl/>
        <w:spacing w:line="450" w:lineRule="atLeast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kern w:val="0"/>
          <w:sz w:val="26"/>
          <w:szCs w:val="28"/>
        </w:rPr>
        <w:t xml:space="preserve">    2.《中华人民共和国突发事务应对法》</w:t>
      </w:r>
    </w:p>
    <w:p>
      <w:pPr>
        <w:widowControl/>
        <w:spacing w:line="450" w:lineRule="atLeast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 xml:space="preserve">    3.《建设工程平安生产管理条例》</w:t>
      </w:r>
    </w:p>
    <w:p>
      <w:pPr>
        <w:widowControl/>
        <w:spacing w:line="450" w:lineRule="atLeast"/>
        <w:ind w:firstLine="560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4.《生产经营单位平安生产事故应急预案编制导则》</w:t>
      </w:r>
    </w:p>
    <w:p>
      <w:pPr>
        <w:widowControl/>
        <w:spacing w:line="450" w:lineRule="atLeast"/>
        <w:ind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5.《中华人民共和国消防法》</w:t>
      </w:r>
    </w:p>
    <w:p>
      <w:pPr>
        <w:tabs>
          <w:tab w:val="left" w:pos="0"/>
        </w:tabs>
        <w:ind w:firstLine="523" w:firstLineChars="201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6.《生产平安事故报告和调查处理条例》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 </w:t>
      </w:r>
    </w:p>
    <w:p>
      <w:pPr>
        <w:widowControl/>
        <w:spacing w:line="450" w:lineRule="atLeast"/>
        <w:rPr>
          <w:rFonts w:ascii="仿宋_GB2312" w:eastAsia="仿宋_GB2312" w:hAnsi="仿宋_GB2312" w:cs="仿宋_GB2312"/>
          <w:b/>
          <w:bCs/>
          <w:color w:val="000000"/>
          <w:sz w:val="28"/>
          <w:szCs w:val="28"/>
        </w:rPr>
      </w:pPr>
      <w:bookmarkStart w:id="10" w:name="_Toc8717"/>
      <w:bookmarkStart w:id="11" w:name="_Toc20454"/>
      <w:bookmarkStart w:id="12" w:name="_Toc31805"/>
      <w:bookmarkStart w:id="13" w:name="_Toc481420555"/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28"/>
        </w:rPr>
        <w:t>三、 适用范围</w:t>
      </w:r>
      <w:bookmarkEnd w:id="10"/>
      <w:bookmarkEnd w:id="11"/>
      <w:bookmarkEnd w:id="12"/>
      <w:bookmarkEnd w:id="13"/>
    </w:p>
    <w:p>
      <w:pPr>
        <w:tabs>
          <w:tab w:val="left" w:pos="0"/>
        </w:tabs>
        <w:ind w:firstLine="523" w:firstLineChars="201"/>
        <w:rPr>
          <w:rFonts w:ascii="仿宋" w:eastAsia="仿宋" w:hAnsi="仿宋"/>
          <w:sz w:val="32"/>
          <w:szCs w:val="32"/>
        </w:rPr>
        <w:sectPr>
          <w:pgSz w:w="11906" w:h="16838"/>
          <w:pgMar w:top="1440" w:right="1800" w:bottom="1440" w:left="1800" w:header="851" w:footer="992" w:gutter="0"/>
          <w:pgNumType w:fmt="decimal" w:start="1"/>
          <w:cols w:num="1" w:space="425"/>
          <w:docGrid w:type="lines" w:linePitch="312" w:charSpace="0"/>
        </w:sect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本预案适用于仁寿至屏山新市公路LJ12标段施工现场人工挖孔桩施工中发生的高坠、机械损害、淹溺、物体打击、触电、坍塌、中毒窒息等各类突发平安事故的应急救援。</w:t>
      </w:r>
    </w:p>
    <w:p>
      <w:pPr>
        <w:widowControl/>
        <w:spacing w:line="450" w:lineRule="atLeast"/>
        <w:rPr>
          <w:rFonts w:ascii="仿宋_GB2312" w:eastAsia="仿宋_GB2312" w:hAnsi="仿宋_GB2312" w:cs="仿宋_GB2312"/>
          <w:b/>
          <w:bCs/>
          <w:color w:val="000000"/>
          <w:sz w:val="28"/>
          <w:szCs w:val="28"/>
        </w:rPr>
      </w:pPr>
      <w:bookmarkStart w:id="14" w:name="_Toc15787"/>
      <w:bookmarkStart w:id="15" w:name="_Toc31369"/>
      <w:bookmarkStart w:id="16" w:name="_Toc481420557"/>
      <w:bookmarkStart w:id="17" w:name="_Toc16907"/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28"/>
        </w:rPr>
        <w:t>四、应急工作原则</w:t>
      </w:r>
      <w:bookmarkEnd w:id="14"/>
      <w:bookmarkEnd w:id="15"/>
      <w:bookmarkEnd w:id="16"/>
      <w:bookmarkEnd w:id="17"/>
    </w:p>
    <w:p>
      <w:pPr>
        <w:tabs>
          <w:tab w:val="left" w:pos="0"/>
        </w:tabs>
        <w:ind w:firstLine="523" w:firstLineChars="201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1、以人为本，削减危害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 </w:t>
      </w:r>
    </w:p>
    <w:p>
      <w:pPr>
        <w:tabs>
          <w:tab w:val="left" w:pos="0"/>
        </w:tabs>
        <w:ind w:firstLine="523" w:firstLineChars="201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把保障施工人员生命平安作为首要任务，最大程度地削减突发事务与其造成的人员伤亡和危害。</w:t>
      </w:r>
    </w:p>
    <w:p>
      <w:pPr>
        <w:tabs>
          <w:tab w:val="left" w:pos="0"/>
        </w:tabs>
        <w:ind w:firstLine="523" w:firstLineChars="201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2、常备不懈，居安思危，预防为主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 </w:t>
      </w:r>
    </w:p>
    <w:p>
      <w:pPr>
        <w:tabs>
          <w:tab w:val="left" w:pos="0"/>
        </w:tabs>
        <w:ind w:firstLine="523" w:firstLineChars="201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高度重视，常抓不懈，常态与特殊态相结合，做好应对突发事务的各项准备工作</w:t>
      </w:r>
    </w:p>
    <w:p>
      <w:pPr>
        <w:tabs>
          <w:tab w:val="left" w:pos="0"/>
        </w:tabs>
        <w:ind w:firstLine="523" w:firstLineChars="201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3、统一指挥、分级负责、单位自救和社会救援相结合</w:t>
      </w:r>
    </w:p>
    <w:p>
      <w:pPr>
        <w:tabs>
          <w:tab w:val="left" w:pos="0"/>
        </w:tabs>
        <w:ind w:firstLine="523" w:firstLineChars="201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4、快速、高效、精确</w:t>
      </w:r>
    </w:p>
    <w:p>
      <w:pPr>
        <w:autoSpaceDE w:val="0"/>
        <w:autoSpaceDN w:val="0"/>
        <w:adjustRightInd w:val="0"/>
        <w:spacing w:line="360" w:lineRule="auto"/>
        <w:rPr>
          <w:rFonts w:ascii="仿宋_GB2312" w:eastAsia="仿宋_GB2312" w:hAnsi="仿宋_GB2312" w:cs="仿宋_GB2312"/>
          <w:b/>
          <w:bCs/>
          <w:color w:val="000000"/>
          <w:sz w:val="28"/>
          <w:szCs w:val="28"/>
        </w:rPr>
      </w:pPr>
      <w:bookmarkStart w:id="18" w:name="_Toc485307673"/>
      <w:bookmarkStart w:id="19" w:name="_Toc15423"/>
      <w:r>
        <w:rPr>
          <w:rFonts w:ascii="华文中宋" w:eastAsia="华文中宋" w:hAnsi="华文中宋" w:cs="华文中宋" w:hint="eastAsia"/>
          <w:b/>
          <w:bCs/>
          <w:color w:val="000000"/>
          <w:sz w:val="26"/>
          <w:szCs w:val="28"/>
        </w:rPr>
        <w:t>五、工程概况</w:t>
      </w:r>
      <w:bookmarkEnd w:id="18"/>
      <w:bookmarkEnd w:id="19"/>
    </w:p>
    <w:p>
      <w:pPr>
        <w:spacing w:line="360" w:lineRule="auto"/>
        <w:ind w:firstLine="520" w:firstLineChars="20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1、工程概况</w:t>
      </w:r>
    </w:p>
    <w:p>
      <w:pPr>
        <w:spacing w:line="360" w:lineRule="auto"/>
        <w:ind w:firstLine="520" w:firstLineChars="20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我标段负责承建仁寿至屏山新市高速公路LJ12合同段，路途起点里程为K119+012，终点里程为K127+494，路途全长8.506公里。本项目按双向四车道高速公路标准建设，整体式路基宽25.5m，分别式路基宽12.75m，全线设计速度接受80Km/h，桥涵设计汽车荷载接受公路-I级，其余技术标准和指标按交通部颁发《公路工程技术标准》（JTGB01-2003）执行。本标段包括桥梁19座，其中桩基为560根，直径分别为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φ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1.2、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φ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1.4、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φ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1.6、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φ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1.8、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φ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2.0、</w:t>
      </w:r>
      <w:r>
        <w:rPr>
          <w:rFonts w:ascii="华文中宋" w:eastAsia="华文中宋" w:hAnsi="华文中宋" w:cs="华文中宋" w:hint="eastAsia"/>
          <w:color w:val="000000"/>
          <w:sz w:val="26"/>
          <w:szCs w:val="28"/>
        </w:rPr>
        <w:t>φ</w:t>
      </w:r>
      <w:r>
        <w:rPr>
          <w:rFonts w:ascii="仿宋_GB2312" w:eastAsia="仿宋_GB2312" w:hAnsi="仿宋_GB2312" w:cs="仿宋_GB2312"/>
          <w:sz w:val="28"/>
          <w:szCs w:val="28"/>
        </w:rPr>
        <w:br/>
      </w:r>
      <w:r>
        <w:rPr>
          <w:rFonts w:ascii="仿宋_GB2312" w:eastAsia="仿宋_GB2312" w:hAnsi="仿宋_GB2312" w:cs="仿宋_GB2312"/>
          <w:sz w:val="28"/>
          <w:szCs w:val="28"/>
        </w:rP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https://d.book118.com/827131133015006034</w:t>
        </w:r>
      </w:hyperlink>
    </w:p>
    <w:p>
      <w:pPr>
        <w:spacing w:line="360" w:lineRule="auto"/>
        <w:ind w:firstLine="560" w:firstLineChars="200"/>
        <w:rPr>
          <w:rFonts w:ascii="仿宋_GB2312" w:eastAsia="仿宋_GB2312" w:hAnsi="仿宋_GB2312" w:cs="仿宋_GB2312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fmt="decimal" w:start="2"/>
      <w:cols w:num="1" w:space="425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alibri Light">
    <w:altName w:val="Calibri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roman"/>
    <w:pitch w:val="default"/>
    <w:sig w:usb0="80000287" w:usb1="280F3C52" w:usb2="00000016" w:usb3="00000000" w:csb0="0004001F" w:csb1="00000000"/>
  </w:font>
  <w:font w:name="MS PGothic">
    <w:panose1 w:val="020B0600070205080204"/>
    <w:charset w:val="80"/>
    <w:family w:val="auto"/>
    <w:pitch w:val="default"/>
    <w:sig w:usb0="A00002BF" w:usb1="68C7FCFB" w:usb2="00000010" w:usb3="00000000" w:csb0="4002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080E0000" w:usb2="00000000" w:usb3="00000000" w:csb0="00040001" w:csb1="00000000"/>
  </w:font>
  <w:font w:name="小标宋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Verdana">
    <w:panose1 w:val="020B0604030504040204"/>
    <w:charset w:val="00"/>
    <w:family w:val="swiss"/>
    <w:pitch w:val="default"/>
    <w:sig w:usb0="00000287" w:usb1="00000000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彩云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ZapfHumnst BT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altName w:val="楷体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微软简标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Kozuka Gothic Pro B">
    <w:altName w:val="MS Gothic"/>
    <w:panose1 w:val="00000000000000000000"/>
    <w:charset w:val="80"/>
    <w:family w:val="swiss"/>
    <w:pitch w:val="default"/>
    <w:sig w:usb0="00000000" w:usb1="00000000" w:usb2="00000010" w:usb3="00000000" w:csb0="00020005" w:csb1="00000000"/>
  </w:font>
  <w:font w:name="MS Gothic">
    <w:panose1 w:val="020B0609070205080204"/>
    <w:charset w:val="80"/>
    <w:family w:val="auto"/>
    <w:pitch w:val="default"/>
    <w:sig w:usb0="A00002BF" w:usb1="68C7FCFB" w:usb2="00000010" w:usb3="00000000" w:csb0="4002009F" w:csb1="DFD70000"/>
  </w:font>
  <w:font w:name="金梅特黑體">
    <w:altName w:val="黑体"/>
    <w:panose1 w:val="02010609000101010101"/>
    <w:charset w:val="88"/>
    <w:family w:val="modern"/>
    <w:pitch w:val="default"/>
    <w:sig w:usb0="00000000" w:usb1="00000000" w:usb2="00000000" w:usb3="00000000" w:csb0="00140001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仿宋">
    <w:altName w:val="仿宋_GB2312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等线 Light">
    <w:altName w:val="Latha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atha">
    <w:panose1 w:val="02000400000000000000"/>
    <w:charset w:val="00"/>
    <w:family w:val="auto"/>
    <w:pitch w:val="default"/>
    <w:sig w:usb0="00100000" w:usb1="00000000" w:usb2="00000000" w:usb3="00000000" w:csb0="00000001" w:csb1="00000000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ingLiU">
    <w:panose1 w:val="02020309000000000000"/>
    <w:charset w:val="88"/>
    <w:family w:val="modern"/>
    <w:pitch w:val="default"/>
    <w:sig w:usb0="00000003" w:usb1="082E0000" w:usb2="00000016" w:usb3="00000000" w:csb0="00100001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Century Schoolbook">
    <w:altName w:val="Bookman Old Style"/>
    <w:panose1 w:val="02040604050505020304"/>
    <w:charset w:val="00"/>
    <w:family w:val="roman"/>
    <w:pitch w:val="default"/>
    <w:sig w:usb0="00000000" w:usb1="00000000" w:usb2="00000000" w:usb3="00000000" w:csb0="0000009F" w:csb1="00000000"/>
  </w:font>
  <w:font w:name="文鼎大标宋简">
    <w:altName w:val="宋体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金桥简粗姚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_x001A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CommercialPi BT">
    <w:altName w:val="微软雅黑"/>
    <w:panose1 w:val="05020102010206080802"/>
    <w:charset w:val="02"/>
    <w:family w:val="roman"/>
    <w:pitch w:val="default"/>
    <w:sig w:usb0="00000000" w:usb1="00000000" w:usb2="00000000" w:usb3="00000000" w:csb0="80040001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Candara">
    <w:panose1 w:val="020E0502030303020204"/>
    <w:charset w:val="00"/>
    <w:family w:val="swiss"/>
    <w:pitch w:val="default"/>
    <w:sig w:usb0="A00002EF" w:usb1="4000204B" w:usb2="00000000" w:usb3="00000000" w:csb0="2000009F" w:csb1="00000000"/>
  </w:font>
  <w:font w:name="Trebuchet MS">
    <w:panose1 w:val="020B0603020202020204"/>
    <w:charset w:val="00"/>
    <w:family w:val="swiss"/>
    <w:pitch w:val="default"/>
    <w:sig w:usb0="00000287" w:usb1="00000000" w:usb2="00000000" w:usb3="00000000" w:csb0="2000009F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FKai-SB">
    <w:altName w:val="MingLiU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方正仿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Malgun Gothic">
    <w:altName w:val="Gulim"/>
    <w:panose1 w:val="020B0503020000020004"/>
    <w:charset w:val="81"/>
    <w:family w:val="auto"/>
    <w:pitch w:val="default"/>
    <w:sig w:usb0="00000000" w:usb1="00000000" w:usb2="00000012" w:usb3="00000000" w:csb0="00080001" w:csb1="00000000"/>
  </w:font>
  <w:font w:name="Meiryo">
    <w:altName w:val="MS UI Gothic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Meiryo UI">
    <w:altName w:val="MS UI Gothic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Microsoft JhengHei">
    <w:altName w:val="PMingLiU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MingLiU_HKSCS-ExtB">
    <w:altName w:val="PMingLiU"/>
    <w:panose1 w:val="02020500000000000000"/>
    <w:charset w:val="88"/>
    <w:family w:val="auto"/>
    <w:pitch w:val="default"/>
    <w:sig w:usb0="00000000" w:usb1="00000000" w:usb2="00000000" w:usb3="00000000" w:csb0="00100001" w:csb1="00000000"/>
  </w:font>
  <w:font w:name="MS UI Gothic">
    <w:panose1 w:val="020B0600070205080204"/>
    <w:charset w:val="80"/>
    <w:family w:val="auto"/>
    <w:pitch w:val="default"/>
    <w:sig w:usb0="A00002BF" w:usb1="68C7FCFB" w:usb2="00000010" w:usb3="00000000" w:csb0="4002009F" w:csb1="DFD70000"/>
  </w:font>
  <w:font w:name="PMingLiU-ExtB">
    <w:altName w:val="PMingLiU"/>
    <w:panose1 w:val="02020500000000000000"/>
    <w:charset w:val="88"/>
    <w:family w:val="auto"/>
    <w:pitch w:val="default"/>
    <w:sig w:usb0="00000000" w:usb1="00000000" w:usb2="00000000" w:usb3="00000000" w:csb0="00100001" w:csb1="00000000"/>
  </w:font>
  <w:font w:name="SimSun-ExtB">
    <w:altName w:val="宋体"/>
    <w:panose1 w:val="02010609060101010101"/>
    <w:charset w:val="86"/>
    <w:family w:val="auto"/>
    <w:pitch w:val="default"/>
    <w:sig w:usb0="00000000" w:usb1="00000000" w:usb2="00000000" w:usb3="00000000" w:csb0="00040001" w:csb1="00000000"/>
  </w:font>
  <w:font w:name="04b_21">
    <w:altName w:val="Latha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Aharoni">
    <w:altName w:val="Shruti"/>
    <w:panose1 w:val="02010803020104030203"/>
    <w:charset w:val="00"/>
    <w:family w:val="auto"/>
    <w:pitch w:val="default"/>
    <w:sig w:usb0="00000000" w:usb1="00000000" w:usb2="00000000" w:usb3="00000000" w:csb0="00000021" w:csb1="00200000"/>
  </w:font>
  <w:font w:name="AmdtSymbols">
    <w:altName w:val="Shruti"/>
    <w:panose1 w:val="02000500000000020004"/>
    <w:charset w:val="00"/>
    <w:family w:val="auto"/>
    <w:pitch w:val="default"/>
    <w:sig w:usb0="00000000" w:usb1="00000000" w:usb2="00000000" w:usb3="00000000" w:csb0="00000001" w:csb1="00000000"/>
  </w:font>
  <w:font w:name="Andalus">
    <w:altName w:val="Times New Roman"/>
    <w:panose1 w:val="02020603050405020304"/>
    <w:charset w:val="00"/>
    <w:family w:val="auto"/>
    <w:pitch w:val="default"/>
    <w:sig w:usb0="00000000" w:usb1="00000000" w:usb2="00000008" w:usb3="00000000" w:csb0="00000041" w:csb1="20080000"/>
  </w:font>
  <w:font w:name="Angsana New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rabic Typesetting">
    <w:altName w:val="Estrangelo Edessa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BankGothic Lt BT">
    <w:altName w:val="Shruti"/>
    <w:panose1 w:val="020B0607020203060204"/>
    <w:charset w:val="00"/>
    <w:family w:val="auto"/>
    <w:pitch w:val="default"/>
    <w:sig w:usb0="00000000" w:usb1="00000000" w:usb2="00000000" w:usb3="00000000" w:csb0="00000001" w:csb1="00000000"/>
  </w:font>
  <w:font w:name="BankGothic Md BT">
    <w:altName w:val="Shruti"/>
    <w:panose1 w:val="020B0807020203060204"/>
    <w:charset w:val="00"/>
    <w:family w:val="auto"/>
    <w:pitch w:val="default"/>
    <w:sig w:usb0="00000000" w:usb1="00000000" w:usb2="00000000" w:usb3="00000000" w:csb0="00000001" w:csb1="00000000"/>
  </w:font>
  <w:font w:name="Browallia New">
    <w:altName w:val="Microsoft Sans Serif"/>
    <w:panose1 w:val="020B0604020202020204"/>
    <w:charset w:val="00"/>
    <w:family w:val="auto"/>
    <w:pitch w:val="default"/>
    <w:sig w:usb0="00000000" w:usb1="00000000" w:usb2="00000000" w:usb3="00000000" w:csb0="00010001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1" w:csb1="00000000"/>
  </w:font>
  <w:font w:name="Cambria Math">
    <w:panose1 w:val="02040503050406030204"/>
    <w:charset w:val="00"/>
    <w:family w:val="auto"/>
    <w:pitch w:val="default"/>
    <w:sig w:usb0="A00002EF" w:usb1="420020EB" w:usb2="00000000" w:usb3="00000000" w:csb0="2000009F" w:csb1="00000000"/>
  </w:font>
  <w:font w:name="CityBlueprint">
    <w:altName w:val="Latha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Comic Sans MS">
    <w:panose1 w:val="030F0702030302020204"/>
    <w:charset w:val="00"/>
    <w:family w:val="auto"/>
    <w:pitch w:val="default"/>
    <w:sig w:usb0="00000287" w:usb1="00000000" w:usb2="00000000" w:usb3="00000000" w:csb0="2000009F" w:csb1="00000000"/>
  </w:font>
  <w:font w:name="Complex">
    <w:altName w:val="Latha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Consolas">
    <w:panose1 w:val="020B0609020204030204"/>
    <w:charset w:val="00"/>
    <w:family w:val="auto"/>
    <w:pitch w:val="default"/>
    <w:sig w:usb0="A00002EF" w:usb1="4000204B" w:usb2="00000000" w:usb3="00000000" w:csb0="2000009F" w:csb1="0000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09F" w:csb1="00000000"/>
  </w:font>
  <w:font w:name="Corbel">
    <w:panose1 w:val="020B0503020204020204"/>
    <w:charset w:val="00"/>
    <w:family w:val="auto"/>
    <w:pitch w:val="default"/>
    <w:sig w:usb0="A00002EF" w:usb1="4000204B" w:usb2="00000000" w:usb3="00000000" w:csb0="2000009F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1" w:csb1="00000000"/>
  </w:font>
  <w:font w:name="Estrangelo Edessa">
    <w:panose1 w:val="03080600000000000000"/>
    <w:charset w:val="00"/>
    <w:family w:val="auto"/>
    <w:pitch w:val="default"/>
    <w:sig w:usb0="80006040" w:usb1="00000000" w:usb2="00000080" w:usb3="00000000" w:csb0="00000001" w:csb1="00000000"/>
  </w:font>
  <w:font w:name="Microsoft Sans Serif">
    <w:panose1 w:val="020B0604020202020204"/>
    <w:charset w:val="00"/>
    <w:family w:val="auto"/>
    <w:pitch w:val="default"/>
    <w:sig w:usb0="61007BDF" w:usb1="80000000" w:usb2="00000008" w:usb3="00000000" w:csb0="200101FF" w:csb1="20280000"/>
  </w:font>
  <w:font w:name="昆仑仿宋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,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New Gulim">
    <w:altName w:val="Gulim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MS PMincho">
    <w:panose1 w:val="02020600040205080304"/>
    <w:charset w:val="80"/>
    <w:family w:val="auto"/>
    <w:pitch w:val="default"/>
    <w:sig w:usb0="A00002BF" w:usb1="68C7FCFB" w:usb2="00000010" w:usb3="00000000" w:csb0="4002009F" w:csb1="DFD70000"/>
  </w:font>
  <w:font w:name="Century Gothic">
    <w:altName w:val="Trebuchet MS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..ì.">
    <w:altName w:val="仿宋_GB2312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书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9EFAF"/>
    <w:multiLevelType w:val="singleLevel"/>
    <w:tmpl w:val="59A9EFAF"/>
    <w:lvl w:ilvl="0">
      <w:start w:val="2"/>
      <w:numFmt w:val="decimal"/>
      <w:suff w:val="nothing"/>
      <w:lvlText w:val="%1、"/>
      <w:lvlJc w:val="left"/>
    </w:lvl>
  </w:abstractNum>
  <w:abstractNum w:abstractNumId="1">
    <w:nsid w:val="59FB1C8A"/>
    <w:multiLevelType w:val="singleLevel"/>
    <w:tmpl w:val="59FB1C8A"/>
    <w:lvl w:ilvl="0">
      <w:start w:val="1"/>
      <w:numFmt w:val="decimal"/>
      <w:suff w:val="nothing"/>
      <w:lvlText w:val="%1、"/>
      <w:lvlJc w:val="left"/>
    </w:lvl>
  </w:abstractNum>
  <w:abstractNum w:abstractNumId="2">
    <w:nsid w:val="59FB1FA9"/>
    <w:multiLevelType w:val="singleLevel"/>
    <w:tmpl w:val="59FB1FA9"/>
    <w:lvl w:ilvl="0">
      <w:start w:val="3"/>
      <w:numFmt w:val="decimal"/>
      <w:suff w:val="nothing"/>
      <w:lvlText w:val="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289"/>
    <w:rsid w:val="00152A02"/>
    <w:rsid w:val="0017791D"/>
    <w:rsid w:val="00640E4E"/>
    <w:rsid w:val="006725B5"/>
    <w:rsid w:val="00996D09"/>
    <w:rsid w:val="00A60E03"/>
    <w:rsid w:val="00AF378D"/>
    <w:rsid w:val="00B90289"/>
    <w:rsid w:val="00D654FD"/>
    <w:rsid w:val="00F6654E"/>
    <w:rsid w:val="01301186"/>
    <w:rsid w:val="01CD374C"/>
    <w:rsid w:val="02AC0949"/>
    <w:rsid w:val="06C27CFE"/>
    <w:rsid w:val="06CC2DA0"/>
    <w:rsid w:val="06F21F0A"/>
    <w:rsid w:val="0B0E0864"/>
    <w:rsid w:val="0B9D1C17"/>
    <w:rsid w:val="0DFC03C8"/>
    <w:rsid w:val="0E106A47"/>
    <w:rsid w:val="0E5924DA"/>
    <w:rsid w:val="0E840F07"/>
    <w:rsid w:val="109A1A07"/>
    <w:rsid w:val="119075C3"/>
    <w:rsid w:val="12F90053"/>
    <w:rsid w:val="13314E19"/>
    <w:rsid w:val="13F632CA"/>
    <w:rsid w:val="14DB3323"/>
    <w:rsid w:val="15877386"/>
    <w:rsid w:val="17201276"/>
    <w:rsid w:val="18C45DB6"/>
    <w:rsid w:val="18C97305"/>
    <w:rsid w:val="1A3D7B9C"/>
    <w:rsid w:val="1B763CA7"/>
    <w:rsid w:val="1C127D00"/>
    <w:rsid w:val="1C912C26"/>
    <w:rsid w:val="1DA974A5"/>
    <w:rsid w:val="1E5D1E90"/>
    <w:rsid w:val="208A2082"/>
    <w:rsid w:val="23242442"/>
    <w:rsid w:val="23D2690D"/>
    <w:rsid w:val="24074D04"/>
    <w:rsid w:val="245818C7"/>
    <w:rsid w:val="24C6585B"/>
    <w:rsid w:val="25811F8A"/>
    <w:rsid w:val="26236766"/>
    <w:rsid w:val="26BD294B"/>
    <w:rsid w:val="29B5564A"/>
    <w:rsid w:val="2A696D2B"/>
    <w:rsid w:val="2A933F5B"/>
    <w:rsid w:val="2C0C0E2F"/>
    <w:rsid w:val="305A2070"/>
    <w:rsid w:val="30FE3855"/>
    <w:rsid w:val="319161E1"/>
    <w:rsid w:val="33B61CD2"/>
    <w:rsid w:val="36D74C6F"/>
    <w:rsid w:val="373334A5"/>
    <w:rsid w:val="39AC1117"/>
    <w:rsid w:val="3A1E508F"/>
    <w:rsid w:val="3C8C27FE"/>
    <w:rsid w:val="3D737ACE"/>
    <w:rsid w:val="3D893665"/>
    <w:rsid w:val="3D8F701C"/>
    <w:rsid w:val="402B25CF"/>
    <w:rsid w:val="417C41E7"/>
    <w:rsid w:val="4204297F"/>
    <w:rsid w:val="4274682A"/>
    <w:rsid w:val="42877F5B"/>
    <w:rsid w:val="4291512D"/>
    <w:rsid w:val="44242E43"/>
    <w:rsid w:val="44842CB2"/>
    <w:rsid w:val="46037353"/>
    <w:rsid w:val="48A53390"/>
    <w:rsid w:val="493C1330"/>
    <w:rsid w:val="497B313D"/>
    <w:rsid w:val="4BB11EB9"/>
    <w:rsid w:val="4C4B1078"/>
    <w:rsid w:val="4DA32047"/>
    <w:rsid w:val="4E106F51"/>
    <w:rsid w:val="4F0D2291"/>
    <w:rsid w:val="52CD2705"/>
    <w:rsid w:val="54224FDA"/>
    <w:rsid w:val="546A4863"/>
    <w:rsid w:val="56D25237"/>
    <w:rsid w:val="579305CE"/>
    <w:rsid w:val="57C4250E"/>
    <w:rsid w:val="58335BFC"/>
    <w:rsid w:val="584473BF"/>
    <w:rsid w:val="5D3D7585"/>
    <w:rsid w:val="5E725F5F"/>
    <w:rsid w:val="5EB65EE0"/>
    <w:rsid w:val="600A69C7"/>
    <w:rsid w:val="620E598C"/>
    <w:rsid w:val="62812D56"/>
    <w:rsid w:val="63E1793A"/>
    <w:rsid w:val="667B0F06"/>
    <w:rsid w:val="66A75585"/>
    <w:rsid w:val="6728342E"/>
    <w:rsid w:val="67E569CA"/>
    <w:rsid w:val="68EB57B1"/>
    <w:rsid w:val="6A146CC7"/>
    <w:rsid w:val="6B6356A2"/>
    <w:rsid w:val="6E2C32FB"/>
    <w:rsid w:val="6EFF1AC4"/>
    <w:rsid w:val="6F8709AE"/>
    <w:rsid w:val="6F975F8D"/>
    <w:rsid w:val="718C3677"/>
    <w:rsid w:val="73AC01FB"/>
    <w:rsid w:val="73B24ADD"/>
    <w:rsid w:val="756601F1"/>
    <w:rsid w:val="784205BB"/>
    <w:rsid w:val="785B651E"/>
    <w:rsid w:val="79BB1446"/>
    <w:rsid w:val="7A2F6F22"/>
    <w:rsid w:val="7A6C583A"/>
    <w:rsid w:val="7BCF5D92"/>
    <w:rsid w:val="7D4726B1"/>
    <w:rsid w:val="7D5C7096"/>
    <w:rsid w:val="7DAE2FFD"/>
    <w:rsid w:val="7F38771B"/>
    <w:rsid w:val="7FE579B5"/>
    <w:rsid w:val="7FF6689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 w:qFormat="1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 w:qFormat="1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200" w:line="276" w:lineRule="auto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576" w:lineRule="auto"/>
      <w:outlineLvl w:val="0"/>
    </w:pPr>
    <w:rPr>
      <w:rFonts w:eastAsia="仿宋_GB2312"/>
      <w:b/>
      <w:kern w:val="44"/>
      <w:sz w:val="28"/>
    </w:rPr>
  </w:style>
  <w:style w:type="paragraph" w:styleId="Heading2">
    <w:name w:val="heading 2"/>
    <w:basedOn w:val="Normal"/>
    <w:next w:val="Normal"/>
    <w:link w:val="2Char"/>
    <w:unhideWhenUsed/>
    <w:qFormat/>
    <w:pPr>
      <w:keepNext/>
      <w:keepLines/>
      <w:spacing w:before="260" w:after="260" w:line="416" w:lineRule="auto"/>
      <w:outlineLvl w:val="1"/>
    </w:pPr>
    <w:rPr>
      <w:rFonts w:ascii="Arial" w:eastAsia="仿宋_GB2312" w:hAnsi="Arial"/>
      <w:b/>
      <w:bCs/>
      <w:sz w:val="28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qFormat/>
    <w:pPr>
      <w:spacing w:after="120"/>
    </w:pPr>
  </w:style>
  <w:style w:type="paragraph" w:styleId="Date">
    <w:name w:val="Date"/>
    <w:basedOn w:val="Normal"/>
    <w:next w:val="Normal"/>
    <w:qFormat/>
    <w:pPr>
      <w:adjustRightInd w:val="0"/>
      <w:snapToGrid w:val="0"/>
      <w:ind w:left="100" w:leftChars="2500"/>
    </w:pPr>
    <w:rPr>
      <w:rFonts w:ascii="仿宋_GB2312" w:eastAsia="仿宋_GB2312"/>
      <w:b/>
      <w:bCs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Normal"/>
    <w:next w:val="Normal"/>
    <w:qFormat/>
  </w:style>
  <w:style w:type="paragraph" w:styleId="TOC2">
    <w:name w:val="toc 2"/>
    <w:basedOn w:val="Normal"/>
    <w:next w:val="Normal"/>
    <w:qFormat/>
    <w:pPr>
      <w:ind w:left="420" w:leftChars="200"/>
    </w:pPr>
  </w:style>
  <w:style w:type="paragraph" w:styleId="BodyText2">
    <w:name w:val="Body Text 2"/>
    <w:basedOn w:val="Normal"/>
    <w:qFormat/>
    <w:pPr>
      <w:spacing w:after="120" w:line="480" w:lineRule="auto"/>
    </w:pPr>
  </w:style>
  <w:style w:type="paragraph" w:styleId="NormalWeb">
    <w:name w:val="Normal (Web)"/>
    <w:basedOn w:val="Normal"/>
    <w:qFormat/>
    <w:rPr>
      <w:sz w:val="24"/>
    </w:rPr>
  </w:style>
  <w:style w:type="character" w:customStyle="1" w:styleId="2Char">
    <w:name w:val="标题 2 Char"/>
    <w:link w:val="Heading2"/>
    <w:qFormat/>
    <w:rPr>
      <w:rFonts w:ascii="Arial" w:eastAsia="仿宋_GB2312" w:hAnsi="Arial"/>
      <w:b/>
      <w:bCs/>
      <w:sz w:val="28"/>
      <w:szCs w:val="32"/>
    </w:rPr>
  </w:style>
  <w:style w:type="paragraph" w:customStyle="1" w:styleId="21">
    <w:name w:val="正文文本缩进 21"/>
    <w:basedOn w:val="Normal"/>
    <w:qFormat/>
    <w:pPr>
      <w:spacing w:after="120" w:line="480" w:lineRule="auto"/>
      <w:ind w:left="420" w:leftChars="200"/>
    </w:pPr>
  </w:style>
  <w:style w:type="paragraph" w:customStyle="1" w:styleId="k2">
    <w:name w:val="k 2级"/>
    <w:basedOn w:val="k"/>
    <w:next w:val="k"/>
    <w:qFormat/>
    <w:pPr>
      <w:ind w:firstLine="0" w:firstLineChars="0"/>
      <w:jc w:val="center"/>
      <w:outlineLvl w:val="1"/>
    </w:pPr>
    <w:rPr>
      <w:b/>
      <w:sz w:val="28"/>
    </w:rPr>
  </w:style>
  <w:style w:type="paragraph" w:customStyle="1" w:styleId="k">
    <w:name w:val="k 正文"/>
    <w:basedOn w:val="Normal"/>
    <w:qFormat/>
    <w:pPr>
      <w:spacing w:line="360" w:lineRule="auto"/>
      <w:ind w:firstLine="200" w:firstLineChars="200"/>
    </w:pPr>
    <w:rPr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27131133015006034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0" textRotate="1"/>
    <customShpInfo spid="_x0000_s1026"/>
    <customShpInfo spid="_x0000_s1121"/>
    <customShpInfo spid="_x0000_s1120"/>
    <customShpInfo spid="_x0000_s1119"/>
    <customShpInfo spid="_x0000_s1118"/>
    <customShpInfo spid="_x0000_s1117"/>
    <customShpInfo spid="_x0000_s1116"/>
    <customShpInfo spid="_x0000_s1115"/>
    <customShpInfo spid="_x0000_s1114"/>
    <customShpInfo spid="_x0000_s1113"/>
    <customShpInfo spid="_x0000_s1112"/>
    <customShpInfo spid="_x0000_s1111"/>
    <customShpInfo spid="_x0000_s1110"/>
    <customShpInfo spid="_x0000_s1109"/>
    <customShpInfo spid="_x0000_s1108"/>
    <customShpInfo spid="_x0000_s1107"/>
    <customShpInfo spid="_x0000_s1106"/>
    <customShpInfo spid="_x0000_s1105"/>
    <customShpInfo spid="_x0000_s1104"/>
    <customShpInfo spid="_x0000_s1103"/>
    <customShpInfo spid="_x0000_s1102"/>
    <customShpInfo spid="_x0000_s1101"/>
    <customShpInfo spid="_x0000_s1100"/>
    <customShpInfo spid="_x0000_s1339"/>
    <customShpInfo spid="_x0000_s1337"/>
    <customShpInfo spid="_x0000_s1267"/>
    <customShpInfo spid="_x0000_s1268"/>
    <customShpInfo spid="_x0000_s1269"/>
    <customShpInfo spid="_x0000_s1270"/>
    <customShpInfo spid="_x0000_s1271"/>
    <customShpInfo spid="_x0000_s1272"/>
    <customShpInfo spid="_x0000_s1273"/>
    <customShpInfo spid="_x0000_s1274"/>
    <customShpInfo spid="_x0000_s1275"/>
    <customShpInfo spid="_x0000_s1276"/>
    <customShpInfo spid="_x0000_s1277"/>
    <customShpInfo spid="_x0000_s1278"/>
    <customShpInfo spid="_x0000_s1279"/>
    <customShpInfo spid="_x0000_s1280"/>
    <customShpInfo spid="_x0000_s1281"/>
    <customShpInfo spid="_x0000_s1282"/>
    <customShpInfo spid="_x0000_s1283"/>
    <customShpInfo spid="_x0000_s1284"/>
    <customShpInfo spid="_x0000_s1285"/>
    <customShpInfo spid="_x0000_s1286"/>
    <customShpInfo spid="_x0000_s1287"/>
    <customShpInfo spid="_x0000_s1288"/>
    <customShpInfo spid="_x0000_s1289"/>
    <customShpInfo spid="_x0000_s1290"/>
    <customShpInfo spid="_x0000_s1291"/>
    <customShpInfo spid="_x0000_s1292"/>
    <customShpInfo spid="_x0000_s1293"/>
    <customShpInfo spid="_x0000_s1294"/>
    <customShpInfo spid="_x0000_s1295"/>
    <customShpInfo spid="_x0000_s1296"/>
    <customShpInfo spid="_x0000_s1297"/>
    <customShpInfo spid="_x0000_s1298"/>
    <customShpInfo spid="_x0000_s1299"/>
    <customShpInfo spid="_x0000_s1300"/>
    <customShpInfo spid="_x0000_s1301"/>
    <customShpInfo spid="_x0000_s1302"/>
    <customShpInfo spid="_x0000_s1303"/>
    <customShpInfo spid="_x0000_s1304"/>
    <customShpInfo spid="_x0000_s1305"/>
    <customShpInfo spid="_x0000_s1306"/>
    <customShpInfo spid="_x0000_s1307"/>
    <customShpInfo spid="_x0000_s1308"/>
    <customShpInfo spid="_x0000_s1309"/>
    <customShpInfo spid="_x0000_s1310"/>
    <customShpInfo spid="_x0000_s1311"/>
    <customShpInfo spid="_x0000_s1312"/>
    <customShpInfo spid="_x0000_s1313"/>
    <customShpInfo spid="_x0000_s1314"/>
    <customShpInfo spid="_x0000_s1315"/>
    <customShpInfo spid="_x0000_s1316"/>
    <customShpInfo spid="_x0000_s1317"/>
    <customShpInfo spid="_x0000_s1318"/>
    <customShpInfo spid="_x0000_s1319"/>
    <customShpInfo spid="_x0000_s1320"/>
    <customShpInfo spid="_x0000_s1321"/>
    <customShpInfo spid="_x0000_s1322"/>
    <customShpInfo spid="_x0000_s1323"/>
    <customShpInfo spid="_x0000_s1324"/>
    <customShpInfo spid="_x0000_s1325"/>
    <customShpInfo spid="_x0000_s1326"/>
    <customShpInfo spid="_x0000_s1327"/>
    <customShpInfo spid="_x0000_s1328"/>
    <customShpInfo spid="_x0000_s1329"/>
    <customShpInfo spid="_x0000_s1330"/>
    <customShpInfo spid="_x0000_s1331"/>
    <customShpInfo spid="_x0000_s1332"/>
    <customShpInfo spid="_x0000_s1333"/>
    <customShpInfo spid="_x0000_s1334"/>
    <customShpInfo spid="_x0000_s1335"/>
    <customShpInfo spid="_x0000_s1336"/>
    <customShpInfo spid="_x0000_s133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14027</Words>
  <Characters>2569</Characters>
  <Application>Microsoft Office Word</Application>
  <DocSecurity>0</DocSecurity>
  <Lines>21</Lines>
  <Paragraphs>33</Paragraphs>
  <ScaleCrop>false</ScaleCrop>
  <Company/>
  <LinksUpToDate>false</LinksUpToDate>
  <CharactersWithSpaces>16563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</cp:revision>
  <cp:lastPrinted>2017-11-13T10:55:34Z</cp:lastPrinted>
  <dcterms:created xsi:type="dcterms:W3CDTF">2014-10-29T12:08:00Z</dcterms:created>
  <dcterms:modified xsi:type="dcterms:W3CDTF">2017-11-13T10:58:19Z</dcterms:modified>
</cp:coreProperties>
</file>