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086">
      <w:r>
        <w:t>企业安全隐患检查表(全)(同名18068)</w:t>
      </w:r>
    </w:p>
    <w:p w:rsidR="00881086">
      <w:pPr>
        <w:sectPr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881086">
      <w:pPr>
        <w:keepNext/>
        <w:keepLines/>
        <w:spacing w:line="360" w:lineRule="auto"/>
        <w:jc w:val="center"/>
        <w:outlineLvl w:val="0"/>
        <w:rPr>
          <w:rFonts w:ascii="Times New Roman" w:eastAsia="仿宋_GB2312" w:hAnsi="Times New Roman" w:hint="eastAsia"/>
          <w:bCs/>
          <w:kern w:val="0"/>
          <w:sz w:val="36"/>
          <w:szCs w:val="44"/>
        </w:rPr>
      </w:pPr>
      <w:bookmarkStart w:id="0" w:name="_Toc176589710"/>
      <w:r>
        <w:rPr>
          <w:rFonts w:ascii="Times New Roman" w:eastAsia="仿宋_GB2312" w:hAnsi="Times New Roman" w:hint="eastAsia"/>
          <w:bCs/>
          <w:kern w:val="0"/>
          <w:sz w:val="36"/>
          <w:szCs w:val="44"/>
        </w:rPr>
        <w:t>安全隐患检查表</w:t>
      </w:r>
      <w:bookmarkEnd w:id="0"/>
    </w:p>
    <w:p w:rsidR="00881086">
      <w:pPr>
        <w:autoSpaceDE w:val="0"/>
        <w:autoSpaceDN w:val="0"/>
        <w:adjustRightInd w:val="0"/>
        <w:spacing w:line="240" w:lineRule="atLeast"/>
        <w:rPr>
          <w:rFonts w:ascii="黑体" w:eastAsia="黑体" w:hAnsi="Times New Roman" w:hint="eastAsia"/>
          <w:color w:val="000000"/>
          <w:kern w:val="0"/>
          <w:lang w:val="zh-CN"/>
        </w:rPr>
      </w:pPr>
      <w:r>
        <w:rPr>
          <w:rFonts w:ascii="黑体" w:eastAsia="黑体" w:hAnsi="Times New Roman" w:hint="eastAsia"/>
          <w:color w:val="000000"/>
          <w:kern w:val="0"/>
          <w:lang w:val="zh-CN"/>
        </w:rPr>
        <w:t xml:space="preserve">                           </w:t>
      </w:r>
    </w:p>
    <w:p w:rsidR="00881086">
      <w:pPr>
        <w:autoSpaceDE w:val="0"/>
        <w:autoSpaceDN w:val="0"/>
        <w:adjustRightInd w:val="0"/>
        <w:spacing w:line="360" w:lineRule="auto"/>
        <w:ind w:right="-340" w:rightChars="-85"/>
        <w:rPr>
          <w:rFonts w:ascii="黑体" w:eastAsia="黑体" w:hAnsi="Times New Roman"/>
          <w:color w:val="000000"/>
          <w:kern w:val="0"/>
          <w:szCs w:val="21"/>
          <w:lang w:val="zh-CN"/>
        </w:rPr>
      </w:pPr>
      <w:r>
        <w:rPr>
          <w:rFonts w:ascii="黑体" w:eastAsia="黑体" w:hAnsi="Times New Roman"/>
          <w:color w:val="000000"/>
          <w:kern w:val="0"/>
          <w:lang w:val="zh-CN"/>
        </w:rPr>
        <w:t xml:space="preserve">  </w:t>
      </w:r>
      <w:r>
        <w:rPr>
          <w:rFonts w:ascii="黑体" w:eastAsia="黑体" w:hAnsi="Times New Roman" w:hint="eastAsia"/>
          <w:color w:val="000000"/>
          <w:kern w:val="0"/>
        </w:rPr>
        <w:t>企业名称：</w:t>
      </w:r>
      <w:r>
        <w:rPr>
          <w:rFonts w:ascii="黑体" w:eastAsia="黑体" w:hAnsi="Times New Roman"/>
          <w:color w:val="000000"/>
          <w:kern w:val="0"/>
          <w:lang w:val="zh-CN"/>
        </w:rPr>
        <w:t xml:space="preserve">                    </w:t>
      </w:r>
      <w:r>
        <w:rPr>
          <w:rFonts w:ascii="黑体" w:eastAsia="黑体" w:hAnsi="Times New Roman" w:hint="eastAsia"/>
          <w:color w:val="000000"/>
          <w:kern w:val="0"/>
          <w:lang w:val="zh-CN"/>
        </w:rPr>
        <w:t xml:space="preserve">        </w:t>
      </w:r>
      <w:r>
        <w:rPr>
          <w:rFonts w:ascii="黑体" w:eastAsia="黑体" w:hAnsi="Times New Roman" w:hint="eastAsia"/>
          <w:color w:val="000000"/>
          <w:kern w:val="0"/>
        </w:rPr>
        <w:t xml:space="preserve">             </w:t>
      </w:r>
      <w:r>
        <w:rPr>
          <w:rFonts w:ascii="黑体" w:eastAsia="黑体" w:hAnsi="Times New Roman" w:hint="eastAsia"/>
          <w:color w:val="000000"/>
          <w:kern w:val="0"/>
          <w:szCs w:val="21"/>
          <w:lang w:val="zh-CN"/>
        </w:rPr>
        <w:t>检查日期：</w:t>
      </w:r>
      <w:r>
        <w:rPr>
          <w:rFonts w:ascii="黑体" w:eastAsia="黑体" w:hAnsi="Times New Roman"/>
          <w:color w:val="000000"/>
          <w:kern w:val="0"/>
          <w:szCs w:val="21"/>
          <w:lang w:val="zh-CN"/>
        </w:rPr>
        <w:t xml:space="preserve">    </w:t>
      </w:r>
      <w:r>
        <w:rPr>
          <w:rFonts w:ascii="黑体" w:eastAsia="黑体" w:hAnsi="Times New Roman" w:hint="eastAsia"/>
          <w:color w:val="000000"/>
          <w:kern w:val="0"/>
          <w:szCs w:val="21"/>
          <w:lang w:val="zh-CN"/>
        </w:rPr>
        <w:t>年</w:t>
      </w:r>
      <w:r>
        <w:rPr>
          <w:rFonts w:ascii="黑体" w:eastAsia="黑体" w:hAnsi="Times New Roman"/>
          <w:color w:val="000000"/>
          <w:kern w:val="0"/>
          <w:szCs w:val="21"/>
          <w:lang w:val="zh-CN"/>
        </w:rPr>
        <w:t xml:space="preserve">   </w:t>
      </w:r>
      <w:r>
        <w:rPr>
          <w:rFonts w:ascii="黑体" w:eastAsia="黑体" w:hAnsi="Times New Roman" w:hint="eastAsia"/>
          <w:color w:val="000000"/>
          <w:kern w:val="0"/>
          <w:szCs w:val="21"/>
          <w:lang w:val="zh-CN"/>
        </w:rPr>
        <w:t>月</w:t>
      </w:r>
      <w:r>
        <w:rPr>
          <w:rFonts w:ascii="黑体" w:eastAsia="黑体" w:hAnsi="Times New Roman"/>
          <w:color w:val="000000"/>
          <w:kern w:val="0"/>
          <w:szCs w:val="21"/>
          <w:lang w:val="zh-CN"/>
        </w:rPr>
        <w:t xml:space="preserve">    </w:t>
      </w:r>
      <w:r>
        <w:rPr>
          <w:rFonts w:ascii="黑体" w:eastAsia="黑体" w:hAnsi="Times New Roman" w:hint="eastAsia"/>
          <w:color w:val="000000"/>
          <w:kern w:val="0"/>
          <w:szCs w:val="21"/>
          <w:lang w:val="zh-CN"/>
        </w:rPr>
        <w:t>日</w:t>
      </w:r>
    </w:p>
    <w:tbl>
      <w:tblPr>
        <w:tblStyle w:val="TableNormal"/>
        <w:tblW w:w="9741" w:type="dxa"/>
        <w:jc w:val="center"/>
        <w:tblInd w:w="15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76"/>
        <w:gridCol w:w="1056"/>
        <w:gridCol w:w="7008"/>
        <w:gridCol w:w="1101"/>
      </w:tblGrid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trHeight w:val="449"/>
          <w:jc w:val="center"/>
        </w:trPr>
        <w:tc>
          <w:tcPr>
            <w:tcW w:w="5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序</w:t>
            </w:r>
          </w:p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号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检查</w:t>
            </w:r>
          </w:p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项目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检查内容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检查结果</w:t>
            </w:r>
          </w:p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szCs w:val="21"/>
              </w:rPr>
              <w:t>（</w:t>
            </w:r>
            <w:r>
              <w:rPr>
                <w:rFonts w:ascii="黑体" w:eastAsia="黑体" w:hint="eastAsia"/>
                <w:szCs w:val="21"/>
              </w:rPr>
              <w:t>√</w:t>
            </w:r>
            <w:r>
              <w:rPr>
                <w:rFonts w:ascii="黑体" w:eastAsia="黑体" w:hint="eastAsia"/>
                <w:szCs w:val="21"/>
              </w:rPr>
              <w:t>/</w:t>
            </w:r>
            <w:r>
              <w:rPr>
                <w:rFonts w:ascii="黑体" w:eastAsia="黑体" w:hint="eastAsia"/>
                <w:szCs w:val="21"/>
              </w:rPr>
              <w:t>×</w:t>
            </w:r>
            <w:r>
              <w:rPr>
                <w:rFonts w:ascii="黑体" w:eastAsia="黑体" w:hint="eastAsia"/>
                <w:szCs w:val="21"/>
              </w:rPr>
              <w:t>）</w:t>
            </w: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288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1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责任制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1.企业按规定层层签订安全生产责任书，有安全奖惩。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288"/>
          <w:jc w:val="center"/>
        </w:trPr>
        <w:tc>
          <w:tcPr>
            <w:tcW w:w="576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rFonts w:hint="eastAsia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color w:val="000000"/>
                <w:kern w:val="0"/>
                <w:szCs w:val="21"/>
              </w:rPr>
              <w:t>.</w:t>
            </w:r>
            <w:r>
              <w:rPr>
                <w:rFonts w:hint="eastAsia"/>
                <w:szCs w:val="21"/>
              </w:rPr>
              <w:t>建立了安全组织机构，配备了安全管理人员。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108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2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安全机构设置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1.生产组织机构健全，并正常开展工作。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2.按规定配有专（兼职）安全主任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3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安全</w:t>
            </w:r>
          </w:p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教育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left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1.对新职工进行了三级安全教育。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left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2.特种作业人员持证上岗。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left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3.对中层及中层以上干部进行了安全教育。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left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4.对变换工种，复工等进行了安全教育。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</w:tbl>
    <w:p w:rsidR="001C01F1">
      <w:pPr>
        <w:autoSpaceDE w:val="0"/>
        <w:autoSpaceDN w:val="0"/>
        <w:adjustRightInd w:val="0"/>
        <w:jc w:val="center"/>
        <w:rPr>
          <w:color w:val="000000"/>
          <w:kern w:val="0"/>
          <w:szCs w:val="21"/>
          <w:lang w:val="zh-CN"/>
        </w:rPr>
        <w:sectPr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440" w:right="1287" w:bottom="1134" w:left="1797" w:header="851" w:footer="992" w:gutter="0"/>
          <w:pgNumType w:start="2"/>
          <w:cols w:space="720"/>
          <w:docGrid w:type="lines" w:linePitch="312"/>
        </w:sectPr>
      </w:pPr>
    </w:p>
    <w:p w:rsidR="001C01F1">
      <w:pPr>
        <w:autoSpaceDE w:val="0"/>
        <w:autoSpaceDN w:val="0"/>
        <w:adjustRightInd w:val="0"/>
        <w:jc w:val="center"/>
        <w:rPr>
          <w:color w:val="000000"/>
          <w:kern w:val="0"/>
          <w:szCs w:val="21"/>
          <w:lang w:val="zh-CN"/>
        </w:rPr>
        <w:sectPr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287" w:bottom="1134" w:left="1797" w:header="851" w:footer="992" w:gutter="0"/>
          <w:pgNumType w:start="3"/>
          <w:cols w:space="720"/>
          <w:docGrid w:type="lines" w:linePitch="312"/>
        </w:sectPr>
      </w:pPr>
    </w:p>
    <w:tbl>
      <w:tblPr>
        <w:tblStyle w:val="TableNormal"/>
        <w:tblW w:w="9741" w:type="dxa"/>
        <w:jc w:val="center"/>
        <w:tblInd w:w="15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76"/>
        <w:gridCol w:w="1056"/>
        <w:gridCol w:w="7008"/>
        <w:gridCol w:w="1101"/>
      </w:tblGrid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5" type="#_x0000_t75" style="width:593.45pt;height:841.9pt;margin-top:0;margin-left:0;mso-height-relative:margin;mso-position-horizontal-relative:page;mso-position-vertical-relative:page;mso-width-relative:margin;position:absolute;z-index:251658240" stroked="f">
                  <v:imagedata r:id="rId17" o:title="7a697ad5-1815-4682-a2bf-28aff9368dc8"/>
                </v:shape>
              </w:pict>
            </w:r>
          </w:p>
        </w:tc>
        <w:tc>
          <w:tcPr>
            <w:tcW w:w="10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left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left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left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left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left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left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left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left"/>
              <w:rPr>
                <w:rFonts w:hint="eastAsia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rPr>
                <w:szCs w:val="21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rPr>
                <w:rFonts w:hint="eastAsia"/>
                <w:szCs w:val="21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9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rPr>
                <w:rFonts w:hint="eastAsia"/>
                <w:szCs w:val="21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rPr>
                <w:rFonts w:hint="eastAsia"/>
                <w:szCs w:val="21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6</w:t>
            </w:r>
          </w:p>
        </w:tc>
        <w:tc>
          <w:tcPr>
            <w:tcW w:w="105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设备</w:t>
            </w:r>
          </w:p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设施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1.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气瓶检验期外观颜色、安全附件、储存符合要求并安全使用。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270"/>
          <w:jc w:val="center"/>
        </w:trPr>
        <w:tc>
          <w:tcPr>
            <w:tcW w:w="57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2.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危险化学品库要分类分区，电气设备防爆、消防通道符合要求。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3.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有应急预案，油库、</w:t>
            </w:r>
            <w:r>
              <w:rPr>
                <w:rFonts w:hint="eastAsia"/>
                <w:color w:val="000000"/>
                <w:kern w:val="0"/>
                <w:szCs w:val="21"/>
              </w:rPr>
              <w:t>天然气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设施完好齐全，标志是否醒目。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5.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锅炉、空压机完好，完备。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rFonts w:hint="eastAsia"/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6.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工业管道颜色、流向指示、资料完好</w:t>
            </w:r>
            <w:r>
              <w:rPr>
                <w:color w:val="000000"/>
                <w:kern w:val="0"/>
                <w:szCs w:val="21"/>
                <w:lang w:val="zh-CN"/>
              </w:rPr>
              <w:t>,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完备。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</w:tbl>
    <w:p>
      <w:pPr>
        <w:sectPr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/>
          <w:pgMar w:top="1440" w:right="1287" w:bottom="1134" w:left="1797" w:header="851" w:footer="992" w:gutter="0"/>
          <w:pgNumType w:start="4"/>
          <w:cols w:space="720"/>
          <w:docGrid w:type="lines" w:linePitch="312"/>
        </w:sectPr>
      </w:pPr>
    </w:p>
    <w:tbl>
      <w:tblPr>
        <w:tblStyle w:val="TableNormal"/>
        <w:tblW w:w="9741" w:type="dxa"/>
        <w:jc w:val="center"/>
        <w:tblInd w:w="15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76"/>
        <w:gridCol w:w="1056"/>
        <w:gridCol w:w="7008"/>
        <w:gridCol w:w="1101"/>
      </w:tblGrid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 w:val="restart"/>
            <w:tcBorders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7.压力容器、锅炉定期检测，安全附件完好。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rFonts w:hint="eastAsia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8.</w:t>
            </w:r>
            <w:r>
              <w:rPr>
                <w:rFonts w:hint="eastAsia"/>
                <w:szCs w:val="21"/>
              </w:rPr>
              <w:t>应急救援物资、设备配备完善。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210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7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易燃物品材料场所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1.料场堆放整齐稳定可靠，道路畅通。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2.在入口及重点位置设置了防火安全标志。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3.消防设施齐全完备，电气设备符合要求，防火间距达到要求。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hint="eastAsia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8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工厂建筑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1.符合耐火等级要求，无危险建筑。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2.有疏散通道和指示标识。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ind w:firstLine="400" w:firstLineChars="100"/>
              <w:rPr>
                <w:rFonts w:hint="eastAsia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9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szCs w:val="21"/>
              </w:rPr>
              <w:t>劳动保护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szCs w:val="21"/>
              </w:rPr>
              <w:t>1</w:t>
            </w:r>
            <w:r>
              <w:rPr>
                <w:rFonts w:hint="eastAsia"/>
                <w:color w:val="000000"/>
                <w:kern w:val="0"/>
                <w:szCs w:val="21"/>
              </w:rPr>
              <w:t>.</w:t>
            </w:r>
            <w:r>
              <w:rPr>
                <w:rFonts w:hint="eastAsia"/>
                <w:szCs w:val="21"/>
              </w:rPr>
              <w:t>按规定为员工配备劳动防护用品。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szCs w:val="21"/>
              </w:rPr>
              <w:t>2</w:t>
            </w:r>
            <w:r>
              <w:rPr>
                <w:rFonts w:hint="eastAsia"/>
                <w:color w:val="000000"/>
                <w:kern w:val="0"/>
                <w:szCs w:val="21"/>
              </w:rPr>
              <w:t>.</w:t>
            </w:r>
            <w:r>
              <w:rPr>
                <w:rFonts w:hint="eastAsia"/>
                <w:szCs w:val="21"/>
              </w:rPr>
              <w:t>超过</w:t>
            </w: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米以上的登高作业，制订了作业规程和防范措施。</w:t>
            </w:r>
            <w:r>
              <w:rPr>
                <w:szCs w:val="21"/>
              </w:rPr>
              <w:t xml:space="preserve">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szCs w:val="21"/>
              </w:rPr>
              <w:t>3</w:t>
            </w:r>
            <w:r>
              <w:rPr>
                <w:rFonts w:hint="eastAsia"/>
                <w:color w:val="000000"/>
                <w:kern w:val="0"/>
                <w:szCs w:val="21"/>
              </w:rPr>
              <w:t>.</w:t>
            </w:r>
            <w:r>
              <w:rPr>
                <w:rFonts w:hint="eastAsia"/>
                <w:szCs w:val="21"/>
              </w:rPr>
              <w:t>职业卫生符合国家规定的标准。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hint="eastAsia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10</w:t>
            </w:r>
          </w:p>
        </w:tc>
        <w:tc>
          <w:tcPr>
            <w:tcW w:w="10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tbRlV"/>
            <w:vAlign w:val="center"/>
          </w:tcPr>
          <w:p w:rsidR="00881086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黑体" w:eastAsia="黑体"/>
                <w:color w:val="000000"/>
                <w:spacing w:val="60"/>
                <w:szCs w:val="21"/>
                <w:lang w:val="zh-CN"/>
              </w:rPr>
            </w:pPr>
            <w:r>
              <w:rPr>
                <w:rFonts w:ascii="黑体" w:eastAsia="黑体" w:hint="eastAsia"/>
                <w:spacing w:val="60"/>
                <w:szCs w:val="21"/>
              </w:rPr>
              <w:t>机械设备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rPr>
                <w:szCs w:val="21"/>
              </w:rPr>
            </w:pP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.建立机械设备及其各种保护装置使用管理制度，现场设备前张贴安全操作规程或操作指引。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rPr>
                <w:szCs w:val="21"/>
              </w:rPr>
            </w:pP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.定期进行机械设备及其各种保护装置安全检查和维修保养（查检查和维修保养记录）。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rPr>
                <w:szCs w:val="21"/>
              </w:rPr>
            </w:pPr>
            <w:r>
              <w:rPr>
                <w:szCs w:val="21"/>
              </w:rPr>
              <w:t>3</w:t>
            </w:r>
            <w:r>
              <w:rPr>
                <w:rFonts w:hint="eastAsia"/>
                <w:szCs w:val="21"/>
              </w:rPr>
              <w:t>.对机械设备及其各种保护装置进行班前检查。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</w:tbl>
    <w:p>
      <w:pPr>
        <w:sectPr>
          <w:headerReference w:type="even" r:id="rId24"/>
          <w:headerReference w:type="default" r:id="rId25"/>
          <w:footerReference w:type="even" r:id="rId26"/>
          <w:footerReference w:type="default" r:id="rId27"/>
          <w:headerReference w:type="first" r:id="rId28"/>
          <w:footerReference w:type="first" r:id="rId29"/>
          <w:type w:val="nextPage"/>
          <w:pgSz w:w="11906" w:h="16838"/>
          <w:pgMar w:top="1440" w:right="1287" w:bottom="1134" w:left="1797" w:header="851" w:footer="992" w:gutter="0"/>
          <w:pgNumType w:start="5"/>
          <w:cols w:space="720"/>
          <w:titlePg w:val="0"/>
          <w:docGrid w:type="lines" w:linePitch="312"/>
        </w:sectPr>
      </w:pPr>
    </w:p>
    <w:tbl>
      <w:tblPr>
        <w:tblStyle w:val="TableNormal"/>
        <w:tblW w:w="9741" w:type="dxa"/>
        <w:jc w:val="center"/>
        <w:tblInd w:w="15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76"/>
        <w:gridCol w:w="1056"/>
        <w:gridCol w:w="7008"/>
        <w:gridCol w:w="1101"/>
      </w:tblGrid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rPr>
                <w:szCs w:val="21"/>
              </w:rPr>
            </w:pPr>
            <w:r>
              <w:rPr>
                <w:szCs w:val="21"/>
              </w:rPr>
              <w:t>4</w:t>
            </w:r>
            <w:r>
              <w:rPr>
                <w:rFonts w:hint="eastAsia"/>
                <w:szCs w:val="21"/>
              </w:rPr>
              <w:t>.操作者经培训合格（现场抽查和检查培训考核记录相结合）。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szCs w:val="21"/>
              </w:rPr>
              <w:t>5</w:t>
            </w:r>
            <w:r>
              <w:rPr>
                <w:rFonts w:hint="eastAsia"/>
                <w:szCs w:val="21"/>
              </w:rPr>
              <w:t>.危险设备按规定配备安全防护装置，其防护装置可靠有效。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szCs w:val="21"/>
              </w:rPr>
              <w:t>6</w:t>
            </w:r>
            <w:r>
              <w:rPr>
                <w:rFonts w:hint="eastAsia"/>
                <w:szCs w:val="21"/>
              </w:rPr>
              <w:t>.机械设备其运动（转动）部件、传动（传输）装置安装有防护装置，或采取了其他有效的防护措施。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186"/>
          <w:jc w:val="center"/>
        </w:trPr>
        <w:tc>
          <w:tcPr>
            <w:tcW w:w="576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6" w:space="0" w:color="000000"/>
              <w:right w:val="single" w:sz="6" w:space="0" w:color="auto"/>
            </w:tcBorders>
            <w:textDirection w:val="tbRlV"/>
            <w:vAlign w:val="center"/>
          </w:tcPr>
          <w:p w:rsidR="00881086">
            <w:pPr>
              <w:ind w:left="113" w:right="113"/>
              <w:jc w:val="center"/>
              <w:rPr>
                <w:rFonts w:ascii="黑体" w:eastAsia="黑体"/>
                <w:spacing w:val="40"/>
                <w:szCs w:val="21"/>
              </w:rPr>
            </w:pPr>
            <w:r>
              <w:rPr>
                <w:rFonts w:ascii="Times New Roman" w:hAnsi="Times New Roman" w:hint="eastAsia"/>
                <w:spacing w:val="40"/>
                <w:szCs w:val="21"/>
              </w:rPr>
              <w:t>变配电</w:t>
            </w:r>
            <w:r>
              <w:rPr>
                <w:rFonts w:ascii="Times New Roman" w:hAnsi="Times New Roman" w:hint="eastAsia"/>
                <w:spacing w:val="40"/>
                <w:kern w:val="0"/>
                <w:szCs w:val="21"/>
              </w:rPr>
              <w:t>系统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szCs w:val="21"/>
              </w:rPr>
              <w:t>1.</w:t>
            </w:r>
            <w:r>
              <w:rPr>
                <w:rFonts w:hint="eastAsia"/>
                <w:szCs w:val="21"/>
              </w:rPr>
              <w:t>变配电站（室）环境具有足够的消防通道。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454"/>
          <w:jc w:val="center"/>
        </w:trPr>
        <w:tc>
          <w:tcPr>
            <w:tcW w:w="57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jc w:val="center"/>
              <w:rPr>
                <w:rFonts w:ascii="黑体" w:eastAsia="黑体"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szCs w:val="21"/>
              </w:rPr>
              <w:t>2.</w:t>
            </w:r>
            <w:r>
              <w:rPr>
                <w:rFonts w:hint="eastAsia"/>
                <w:szCs w:val="21"/>
              </w:rPr>
              <w:t>变配电间的门向外开启，高压室门向低压室开，相邻配电间应双向开，门窗孔小于</w:t>
            </w:r>
            <w:r>
              <w:rPr>
                <w:szCs w:val="21"/>
              </w:rPr>
              <w:t>10</w:t>
            </w:r>
            <w:r>
              <w:rPr>
                <w:rFonts w:hint="eastAsia"/>
                <w:szCs w:val="21"/>
              </w:rPr>
              <w:t>×</w:t>
            </w:r>
            <w:r>
              <w:rPr>
                <w:szCs w:val="21"/>
              </w:rPr>
              <w:t>10</w:t>
            </w:r>
            <w:r>
              <w:rPr>
                <w:rFonts w:hint="eastAsia"/>
                <w:szCs w:val="21"/>
              </w:rPr>
              <w:t>毫米。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autoSpaceDE w:val="0"/>
              <w:autoSpaceDN w:val="0"/>
              <w:adjustRightInd w:val="0"/>
              <w:rPr>
                <w:rFonts w:hint="eastAsia"/>
                <w:color w:val="000000"/>
                <w:kern w:val="0"/>
                <w:szCs w:val="21"/>
                <w:lang w:val="zh-CN"/>
              </w:rPr>
            </w:pPr>
            <w:r>
              <w:rPr>
                <w:szCs w:val="21"/>
              </w:rPr>
              <w:t>3</w:t>
            </w:r>
            <w:r>
              <w:rPr>
                <w:rFonts w:hint="eastAsia"/>
                <w:szCs w:val="21"/>
              </w:rPr>
              <w:t>.</w:t>
            </w:r>
            <w:r>
              <w:rPr>
                <w:rFonts w:hint="eastAsia"/>
                <w:szCs w:val="21"/>
              </w:rPr>
              <w:t>发电机油标指示清晰，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490"/>
          <w:jc w:val="center"/>
        </w:trPr>
        <w:tc>
          <w:tcPr>
            <w:tcW w:w="57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autoSpaceDE w:val="0"/>
              <w:autoSpaceDN w:val="0"/>
              <w:adjustRightInd w:val="0"/>
              <w:rPr>
                <w:szCs w:val="21"/>
              </w:rPr>
            </w:pPr>
            <w:r>
              <w:rPr>
                <w:rFonts w:hint="eastAsia"/>
                <w:szCs w:val="21"/>
              </w:rPr>
              <w:t>4.变压器油有定期绝缘测试报告，绝缘、接地故障保护完好并有定期测试资料。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autoSpaceDE w:val="0"/>
              <w:autoSpaceDN w:val="0"/>
              <w:adjustRightInd w:val="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5.有警示标志和遮拦。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317"/>
          <w:jc w:val="center"/>
        </w:trPr>
        <w:tc>
          <w:tcPr>
            <w:tcW w:w="57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autoSpaceDE w:val="0"/>
              <w:autoSpaceDN w:val="0"/>
              <w:adjustRightInd w:val="0"/>
              <w:rPr>
                <w:rFonts w:hint="eastAsia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szCs w:val="21"/>
              </w:rPr>
              <w:t>6.相线之间，电容器之间、控制装置等清洁，所有瓷瓶无裂纹。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133"/>
          <w:jc w:val="center"/>
        </w:trPr>
        <w:tc>
          <w:tcPr>
            <w:tcW w:w="576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autoSpaceDE w:val="0"/>
              <w:autoSpaceDN w:val="0"/>
              <w:adjustRightInd w:val="0"/>
              <w:rPr>
                <w:szCs w:val="21"/>
              </w:rPr>
            </w:pPr>
            <w:r>
              <w:rPr>
                <w:rFonts w:hint="eastAsia"/>
                <w:szCs w:val="21"/>
              </w:rPr>
              <w:t>7.所有母线相序标志明显，连接规范可靠。各种设备、器件符合制造、安装、使用的图标规范要求。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</w:tbl>
    <w:p>
      <w:pPr>
        <w:sectPr>
          <w:headerReference w:type="even" r:id="rId30"/>
          <w:headerReference w:type="default" r:id="rId31"/>
          <w:footerReference w:type="even" r:id="rId32"/>
          <w:footerReference w:type="default" r:id="rId33"/>
          <w:headerReference w:type="first" r:id="rId34"/>
          <w:footerReference w:type="first" r:id="rId35"/>
          <w:type w:val="nextPage"/>
          <w:pgSz w:w="11906" w:h="16838"/>
          <w:pgMar w:top="1440" w:right="1287" w:bottom="1134" w:left="1797" w:header="851" w:footer="992" w:gutter="0"/>
          <w:pgNumType w:start="6"/>
          <w:cols w:space="720"/>
          <w:titlePg w:val="0"/>
          <w:docGrid w:type="lines" w:linePitch="312"/>
        </w:sectPr>
      </w:pPr>
    </w:p>
    <w:tbl>
      <w:tblPr>
        <w:tblStyle w:val="TableNormal"/>
        <w:tblW w:w="9741" w:type="dxa"/>
        <w:jc w:val="center"/>
        <w:tblInd w:w="15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76"/>
        <w:gridCol w:w="1056"/>
        <w:gridCol w:w="7008"/>
        <w:gridCol w:w="1101"/>
      </w:tblGrid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jc w:val="center"/>
              <w:rPr>
                <w:rFonts w:ascii="黑体" w:eastAsia="黑体"/>
                <w:szCs w:val="21"/>
              </w:rPr>
            </w:pPr>
            <w:r>
              <w:rPr>
                <w:rFonts w:ascii="黑体" w:eastAsia="黑体" w:hint="eastAsia"/>
                <w:szCs w:val="21"/>
              </w:rPr>
              <w:t>动力（照明）配电箱（柜、板）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1.箱（柜、板）符合作业要求，内外整洁，无杂物，无积水。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autoSpaceDE w:val="0"/>
              <w:autoSpaceDN w:val="0"/>
              <w:adjustRightInd w:val="0"/>
              <w:rPr>
                <w:rFonts w:hint="eastAsia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szCs w:val="21"/>
              </w:rPr>
              <w:t>2.有足够的操作空间，</w:t>
            </w:r>
            <w:r>
              <w:rPr>
                <w:szCs w:val="21"/>
              </w:rPr>
              <w:t>PE</w:t>
            </w:r>
            <w:r>
              <w:rPr>
                <w:rFonts w:hint="eastAsia"/>
                <w:szCs w:val="21"/>
              </w:rPr>
              <w:t>可靠。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autoSpaceDE w:val="0"/>
              <w:autoSpaceDN w:val="0"/>
              <w:adjustRightInd w:val="0"/>
              <w:rPr>
                <w:rFonts w:hint="eastAsia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szCs w:val="21"/>
              </w:rPr>
              <w:t>3.各种元件及线路接触良好，保护装置齐全，与负荷匹配合理，编号、标识齐全醒目。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59"/>
          <w:jc w:val="center"/>
        </w:trPr>
        <w:tc>
          <w:tcPr>
            <w:tcW w:w="5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13</w:t>
            </w:r>
          </w:p>
        </w:tc>
        <w:tc>
          <w:tcPr>
            <w:tcW w:w="10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ascii="黑体" w:eastAsia="黑体"/>
                <w:szCs w:val="21"/>
              </w:rPr>
            </w:pPr>
            <w:r>
              <w:rPr>
                <w:rFonts w:ascii="黑体" w:eastAsia="黑体" w:hint="eastAsia"/>
                <w:szCs w:val="21"/>
              </w:rPr>
              <w:t>防雷接地装置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1.防雷技术措施符合要求，保护范围有效。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59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autoSpaceDE w:val="0"/>
              <w:autoSpaceDN w:val="0"/>
              <w:adjustRightInd w:val="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2.防雷装置完好，接闪器无损坏，</w:t>
            </w:r>
            <w:r>
              <w:rPr>
                <w:rFonts w:hint="eastAsia"/>
                <w:color w:val="000000"/>
                <w:szCs w:val="21"/>
              </w:rPr>
              <w:t>引下线焊</w:t>
            </w:r>
            <w:r>
              <w:rPr>
                <w:rFonts w:hint="eastAsia"/>
                <w:szCs w:val="21"/>
              </w:rPr>
              <w:t>接可靠，检测资料齐全。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59"/>
          <w:jc w:val="center"/>
        </w:trPr>
        <w:tc>
          <w:tcPr>
            <w:tcW w:w="5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14</w:t>
            </w:r>
          </w:p>
        </w:tc>
        <w:tc>
          <w:tcPr>
            <w:tcW w:w="105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ascii="黑体" w:eastAsia="黑体"/>
                <w:szCs w:val="21"/>
              </w:rPr>
            </w:pPr>
            <w:r>
              <w:rPr>
                <w:rFonts w:ascii="黑体" w:eastAsia="黑体" w:hint="eastAsia"/>
                <w:szCs w:val="21"/>
              </w:rPr>
              <w:t>电焊机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1.电源线、焊接电缆与焊机连接处有可靠屏护。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95"/>
          <w:jc w:val="center"/>
        </w:trPr>
        <w:tc>
          <w:tcPr>
            <w:tcW w:w="57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autoSpaceDE w:val="0"/>
              <w:autoSpaceDN w:val="0"/>
              <w:adjustRightInd w:val="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2.焊机外壳</w:t>
            </w:r>
            <w:r>
              <w:rPr>
                <w:szCs w:val="21"/>
              </w:rPr>
              <w:t>PE</w:t>
            </w:r>
            <w:r>
              <w:rPr>
                <w:rFonts w:hint="eastAsia"/>
                <w:szCs w:val="21"/>
              </w:rPr>
              <w:t>线接线正确，焊机一侧电源线不超过</w:t>
            </w:r>
            <w:r>
              <w:rPr>
                <w:szCs w:val="21"/>
              </w:rPr>
              <w:t>3</w:t>
            </w:r>
            <w:r>
              <w:rPr>
                <w:rFonts w:hint="eastAsia"/>
                <w:szCs w:val="21"/>
              </w:rPr>
              <w:t>米，没有拖地使用。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59"/>
          <w:jc w:val="center"/>
        </w:trPr>
        <w:tc>
          <w:tcPr>
            <w:tcW w:w="57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autoSpaceDE w:val="0"/>
              <w:autoSpaceDN w:val="0"/>
              <w:adjustRightInd w:val="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3.焊机二次接线连接良好，接头不超过</w:t>
            </w:r>
            <w:r>
              <w:rPr>
                <w:szCs w:val="21"/>
              </w:rPr>
              <w:t>3</w:t>
            </w:r>
            <w:r>
              <w:rPr>
                <w:rFonts w:hint="eastAsia"/>
                <w:szCs w:val="21"/>
              </w:rPr>
              <w:t>个。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59"/>
          <w:jc w:val="center"/>
        </w:trPr>
        <w:tc>
          <w:tcPr>
            <w:tcW w:w="5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05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autoSpaceDE w:val="0"/>
              <w:autoSpaceDN w:val="0"/>
              <w:adjustRightInd w:val="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4.焊机使用场所清洁，无严重粉尘，周围无易燃易爆物。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trHeight w:val="59"/>
          <w:jc w:val="center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15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ascii="黑体" w:eastAsia="黑体"/>
                <w:szCs w:val="21"/>
              </w:rPr>
            </w:pPr>
            <w:r>
              <w:rPr>
                <w:rFonts w:ascii="黑体" w:eastAsia="黑体" w:hint="eastAsia"/>
                <w:szCs w:val="21"/>
              </w:rPr>
              <w:t>手持电动工具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装有漏电保护装置，符合安全使用标准并定期进行绝缘检测。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</w:tbl>
    <w:p>
      <w:pPr>
        <w:sectPr>
          <w:headerReference w:type="even" r:id="rId36"/>
          <w:headerReference w:type="default" r:id="rId37"/>
          <w:footerReference w:type="even" r:id="rId38"/>
          <w:footerReference w:type="default" r:id="rId39"/>
          <w:headerReference w:type="first" r:id="rId40"/>
          <w:footerReference w:type="first" r:id="rId41"/>
          <w:type w:val="nextPage"/>
          <w:pgSz w:w="11906" w:h="16838"/>
          <w:pgMar w:top="1440" w:right="1287" w:bottom="1134" w:left="1797" w:header="851" w:footer="992" w:gutter="0"/>
          <w:pgNumType w:start="7"/>
          <w:cols w:space="720"/>
          <w:titlePg w:val="0"/>
          <w:docGrid w:type="lines" w:linePitch="312"/>
        </w:sectPr>
      </w:pPr>
    </w:p>
    <w:tbl>
      <w:tblPr>
        <w:tblStyle w:val="TableNormal"/>
        <w:tblW w:w="9741" w:type="dxa"/>
        <w:jc w:val="center"/>
        <w:tblInd w:w="15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76"/>
        <w:gridCol w:w="1056"/>
        <w:gridCol w:w="7008"/>
        <w:gridCol w:w="1101"/>
      </w:tblGrid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184"/>
          <w:jc w:val="center"/>
        </w:trPr>
        <w:tc>
          <w:tcPr>
            <w:tcW w:w="5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16</w:t>
            </w:r>
          </w:p>
        </w:tc>
        <w:tc>
          <w:tcPr>
            <w:tcW w:w="10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tbRlV"/>
            <w:vAlign w:val="center"/>
          </w:tcPr>
          <w:p w:rsidR="00881086">
            <w:pPr>
              <w:ind w:left="113" w:right="113"/>
              <w:jc w:val="center"/>
              <w:rPr>
                <w:rFonts w:ascii="黑体" w:eastAsia="黑体"/>
                <w:spacing w:val="60"/>
                <w:szCs w:val="21"/>
              </w:rPr>
            </w:pPr>
            <w:r>
              <w:rPr>
                <w:rFonts w:ascii="黑体" w:eastAsia="黑体" w:hint="eastAsia"/>
                <w:spacing w:val="60"/>
                <w:szCs w:val="21"/>
              </w:rPr>
              <w:t>用电安全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1.电气设备、电源线路由专业施工队安装、敷设。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rFonts w:hint="eastAsia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2.没有</w:t>
            </w:r>
            <w:r>
              <w:rPr>
                <w:color w:val="000000"/>
                <w:kern w:val="0"/>
                <w:szCs w:val="21"/>
              </w:rPr>
              <w:t>增大电气装置的额定容量</w:t>
            </w:r>
            <w:r>
              <w:rPr>
                <w:rFonts w:hint="eastAsia"/>
                <w:color w:val="000000"/>
                <w:kern w:val="0"/>
                <w:szCs w:val="21"/>
              </w:rPr>
              <w:t>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3.没有</w:t>
            </w:r>
            <w:r>
              <w:rPr>
                <w:color w:val="000000"/>
                <w:kern w:val="0"/>
                <w:szCs w:val="21"/>
              </w:rPr>
              <w:t>任意改动保护装置的整定值和保护元件的规格。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4.</w:t>
            </w:r>
            <w:r>
              <w:rPr>
                <w:color w:val="000000"/>
                <w:kern w:val="0"/>
                <w:szCs w:val="21"/>
              </w:rPr>
              <w:t>电气装置</w:t>
            </w:r>
            <w:r>
              <w:rPr>
                <w:rFonts w:hint="eastAsia"/>
                <w:color w:val="000000"/>
                <w:kern w:val="0"/>
                <w:szCs w:val="21"/>
              </w:rPr>
              <w:t>没有</w:t>
            </w:r>
            <w:r>
              <w:rPr>
                <w:color w:val="000000"/>
                <w:kern w:val="0"/>
                <w:szCs w:val="21"/>
              </w:rPr>
              <w:t>超负荷运行或带故障使用。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5.在</w:t>
            </w:r>
            <w:r>
              <w:rPr>
                <w:color w:val="000000"/>
                <w:kern w:val="0"/>
                <w:szCs w:val="21"/>
              </w:rPr>
              <w:t>用电设备和电气线路的周围留有足够的安全通道和工作空间。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6.</w:t>
            </w:r>
            <w:r>
              <w:rPr>
                <w:color w:val="000000"/>
                <w:kern w:val="0"/>
                <w:szCs w:val="21"/>
              </w:rPr>
              <w:t>使用的电气线路有足够的绝缘强度、机械强度和导电能力并定期检查。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45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7.</w:t>
            </w:r>
            <w:r>
              <w:rPr>
                <w:color w:val="000000"/>
                <w:kern w:val="0"/>
                <w:szCs w:val="21"/>
              </w:rPr>
              <w:t>移动使用的配电箱(板)采用完整的、带保护线的多股铜芯橡皮护套软电缆或护套软线作电源线，同时装设</w:t>
            </w:r>
            <w:r>
              <w:rPr>
                <w:rFonts w:hint="eastAsia"/>
                <w:color w:val="000000"/>
                <w:kern w:val="0"/>
                <w:szCs w:val="21"/>
              </w:rPr>
              <w:t>了</w:t>
            </w:r>
            <w:r>
              <w:rPr>
                <w:color w:val="000000"/>
                <w:kern w:val="0"/>
                <w:szCs w:val="21"/>
              </w:rPr>
              <w:t>漏电保护器。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8.</w:t>
            </w:r>
            <w:r>
              <w:rPr>
                <w:color w:val="000000"/>
                <w:kern w:val="0"/>
                <w:szCs w:val="21"/>
              </w:rPr>
              <w:t>临时用电经有关主管部门审查批准，并有专人负责管理，限期拆除。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9.</w:t>
            </w:r>
            <w:r>
              <w:rPr>
                <w:color w:val="000000"/>
                <w:kern w:val="0"/>
                <w:szCs w:val="21"/>
              </w:rPr>
              <w:t>露天使用的用电设备、配电装置应采取防雨、防雪、防雾和防尘的措施。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45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10</w:t>
            </w:r>
            <w:r>
              <w:rPr>
                <w:rFonts w:hint="eastAsia"/>
                <w:szCs w:val="21"/>
              </w:rPr>
              <w:t>.电气设备、开关、插座不得安装在可燃材料上，电线下放不得堆放可燃物资。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</w:tbl>
    <w:p>
      <w:pPr>
        <w:sectPr>
          <w:headerReference w:type="even" r:id="rId42"/>
          <w:headerReference w:type="default" r:id="rId43"/>
          <w:footerReference w:type="even" r:id="rId44"/>
          <w:footerReference w:type="default" r:id="rId45"/>
          <w:headerReference w:type="first" r:id="rId46"/>
          <w:footerReference w:type="first" r:id="rId47"/>
          <w:type w:val="nextPage"/>
          <w:pgSz w:w="11906" w:h="16838"/>
          <w:pgMar w:top="1440" w:right="1287" w:bottom="1134" w:left="1797" w:header="851" w:footer="992" w:gutter="0"/>
          <w:pgNumType w:start="8"/>
          <w:cols w:space="720"/>
          <w:titlePg w:val="0"/>
          <w:docGrid w:type="lines" w:linePitch="312"/>
        </w:sectPr>
      </w:pPr>
    </w:p>
    <w:tbl>
      <w:tblPr>
        <w:tblStyle w:val="TableNormal"/>
        <w:tblW w:w="9741" w:type="dxa"/>
        <w:jc w:val="center"/>
        <w:tblInd w:w="15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76"/>
        <w:gridCol w:w="1056"/>
        <w:gridCol w:w="7008"/>
        <w:gridCol w:w="1101"/>
      </w:tblGrid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11</w:t>
            </w:r>
            <w:r>
              <w:rPr>
                <w:rFonts w:hint="eastAsia"/>
                <w:szCs w:val="21"/>
              </w:rPr>
              <w:t>.机床局部照</w:t>
            </w:r>
            <w:r>
              <w:rPr>
                <w:rFonts w:hint="eastAsia"/>
                <w:szCs w:val="21"/>
              </w:rPr>
              <w:t>明及使用行灯采用安全电压。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454"/>
          <w:jc w:val="center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  <w:r>
              <w:rPr>
                <w:rFonts w:hint="eastAsia"/>
                <w:szCs w:val="21"/>
              </w:rPr>
              <w:t>.使用手持电动工具等移动电气设备，应装设漏电保护器，是金属外壳的，是否进行保护接地或接零。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40</w:t>
            </w:r>
          </w:p>
        </w:tc>
        <w:tc>
          <w:tcPr>
            <w:tcW w:w="10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ascii="黑体" w:eastAsia="黑体"/>
                <w:szCs w:val="21"/>
              </w:rPr>
            </w:pPr>
            <w:r>
              <w:rPr>
                <w:rFonts w:ascii="黑体" w:eastAsia="黑体" w:hint="eastAsia"/>
                <w:szCs w:val="21"/>
              </w:rPr>
              <w:t>厂区环境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1.厂貌整洁，布局合理，</w:t>
            </w:r>
            <w:r>
              <w:rPr>
                <w:szCs w:val="21"/>
              </w:rPr>
              <w:t xml:space="preserve">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ascii="黑体" w:eastAsia="黑体"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2.厂区通道照明，厂区消防、消防通道符合要求。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41</w:t>
            </w:r>
          </w:p>
        </w:tc>
        <w:tc>
          <w:tcPr>
            <w:tcW w:w="10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ascii="黑体" w:eastAsia="黑体" w:hint="eastAsia"/>
                <w:szCs w:val="21"/>
              </w:rPr>
            </w:pPr>
            <w:r>
              <w:rPr>
                <w:rFonts w:ascii="黑体" w:eastAsia="黑体" w:hint="eastAsia"/>
                <w:szCs w:val="21"/>
              </w:rPr>
              <w:t>车间作业环境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1.实行定置摆放。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ascii="黑体" w:eastAsia="黑体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2.车间通道、地面、通风、采光消防及疏散、设备布局合理。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42</w:t>
            </w:r>
          </w:p>
        </w:tc>
        <w:tc>
          <w:tcPr>
            <w:tcW w:w="10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ascii="黑体" w:eastAsia="黑体"/>
                <w:szCs w:val="21"/>
              </w:rPr>
            </w:pPr>
            <w:r>
              <w:rPr>
                <w:rFonts w:ascii="黑体" w:eastAsia="黑体" w:hint="eastAsia"/>
                <w:szCs w:val="21"/>
              </w:rPr>
              <w:t>仓库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1.仓库通道畅通。采光符合要求。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ascii="黑体" w:eastAsia="黑体"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2.消防设施完好、有效；有专人管理。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ascii="黑体" w:eastAsia="黑体"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3.物品摆放符合要求。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ascii="黑体" w:eastAsia="黑体"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4.仓库内除了固定照明外，没有使用其它电器；可燃</w:t>
            </w:r>
            <w:r>
              <w:rPr>
                <w:rFonts w:hint="eastAsia"/>
                <w:szCs w:val="21"/>
              </w:rPr>
              <w:t>物品库房，没有使用碘钨灯或超过</w:t>
            </w:r>
            <w:r>
              <w:rPr>
                <w:szCs w:val="21"/>
              </w:rPr>
              <w:t>60</w:t>
            </w:r>
            <w:r>
              <w:rPr>
                <w:rFonts w:hint="eastAsia"/>
                <w:szCs w:val="21"/>
              </w:rPr>
              <w:t>瓦的白炽灯，照明开关设在库外.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</w:tbl>
    <w:p>
      <w:pPr>
        <w:sectPr>
          <w:headerReference w:type="even" r:id="rId48"/>
          <w:headerReference w:type="default" r:id="rId49"/>
          <w:footerReference w:type="even" r:id="rId50"/>
          <w:footerReference w:type="default" r:id="rId51"/>
          <w:headerReference w:type="first" r:id="rId52"/>
          <w:footerReference w:type="first" r:id="rId53"/>
          <w:type w:val="nextPage"/>
          <w:pgSz w:w="11906" w:h="16838"/>
          <w:pgMar w:top="1440" w:right="1287" w:bottom="1134" w:left="1797" w:header="851" w:footer="992" w:gutter="0"/>
          <w:pgNumType w:start="9"/>
          <w:cols w:space="720"/>
          <w:titlePg w:val="0"/>
          <w:docGrid w:type="lines" w:linePitch="312"/>
        </w:sectPr>
      </w:pPr>
    </w:p>
    <w:tbl>
      <w:tblPr>
        <w:tblStyle w:val="TableNormal"/>
        <w:tblW w:w="9741" w:type="dxa"/>
        <w:jc w:val="center"/>
        <w:tblInd w:w="15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76"/>
        <w:gridCol w:w="1056"/>
        <w:gridCol w:w="7008"/>
        <w:gridCol w:w="1101"/>
      </w:tblGrid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ascii="黑体" w:eastAsia="黑体"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.库存物品分类、分堆储存，每堆占地不大于</w:t>
            </w:r>
            <w:r>
              <w:rPr>
                <w:szCs w:val="21"/>
              </w:rPr>
              <w:t>100</w:t>
            </w:r>
            <w:r>
              <w:rPr>
                <w:rFonts w:hint="eastAsia"/>
                <w:szCs w:val="21"/>
              </w:rPr>
              <w:t>平方米，堆与堆间距不小于</w:t>
            </w: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米、堆与墙间距不小于</w:t>
            </w:r>
            <w:r>
              <w:rPr>
                <w:szCs w:val="21"/>
              </w:rPr>
              <w:t>0.5</w:t>
            </w:r>
            <w:r>
              <w:rPr>
                <w:rFonts w:hint="eastAsia"/>
                <w:szCs w:val="21"/>
              </w:rPr>
              <w:t>米</w:t>
            </w:r>
            <w:r>
              <w:rPr>
                <w:szCs w:val="21"/>
              </w:rPr>
              <w:t>,</w:t>
            </w:r>
            <w:r>
              <w:rPr>
                <w:rFonts w:hint="eastAsia"/>
                <w:szCs w:val="21"/>
              </w:rPr>
              <w:t>堆与顶（梁）、柱间距不小于０</w:t>
            </w:r>
            <w:r>
              <w:rPr>
                <w:szCs w:val="21"/>
              </w:rPr>
              <w:t>.</w:t>
            </w:r>
            <w:r>
              <w:rPr>
                <w:rFonts w:hint="eastAsia"/>
                <w:szCs w:val="21"/>
              </w:rPr>
              <w:t>３米，灯的垂直下方与物品水平间距不小于</w:t>
            </w:r>
            <w:r>
              <w:rPr>
                <w:szCs w:val="21"/>
              </w:rPr>
              <w:t>0.5</w:t>
            </w:r>
            <w:r>
              <w:rPr>
                <w:rFonts w:hint="eastAsia"/>
                <w:szCs w:val="21"/>
              </w:rPr>
              <w:t>米，主通道宽度不小于２米。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ascii="黑体" w:eastAsia="黑体"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  <w:r>
              <w:rPr>
                <w:rFonts w:hint="eastAsia"/>
                <w:szCs w:val="21"/>
              </w:rPr>
              <w:t>.普通物资仓库不准存入危化品。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  <w:r>
              <w:rPr>
                <w:szCs w:val="21"/>
              </w:rPr>
              <w:t>4</w:t>
            </w: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10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ascii="黑体" w:eastAsia="黑体"/>
                <w:szCs w:val="21"/>
              </w:rPr>
            </w:pPr>
            <w:r>
              <w:rPr>
                <w:rFonts w:ascii="黑体" w:eastAsia="黑体" w:hint="eastAsia"/>
                <w:szCs w:val="21"/>
              </w:rPr>
              <w:t>危险品使用现场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1.储存、使用符合要求。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ascii="黑体" w:eastAsia="黑体"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2.建立有事故预防预案。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ascii="黑体" w:eastAsia="黑体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3.设有应急救护设施。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  <w:r>
              <w:rPr>
                <w:szCs w:val="21"/>
              </w:rPr>
              <w:t>4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ascii="黑体" w:eastAsia="黑体"/>
                <w:szCs w:val="21"/>
              </w:rPr>
            </w:pPr>
            <w:r>
              <w:rPr>
                <w:rFonts w:ascii="黑体" w:eastAsia="黑体" w:hint="eastAsia"/>
                <w:szCs w:val="21"/>
              </w:rPr>
              <w:t>职业危害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1.对危害因素监测建档、并采取了防护措施、配备防护用具。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ascii="黑体" w:eastAsia="黑体"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2.定期对防护设备、设施进行检查，建有相关的管理制度。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ascii="黑体" w:eastAsia="黑体" w:hint="eastAsia"/>
                <w:szCs w:val="21"/>
              </w:rPr>
            </w:pP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3.对从业人员进行了职业健康知识培训。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trHeight w:val="56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jc w:val="center"/>
              <w:rPr>
                <w:rFonts w:ascii="黑体" w:eastAsia="黑体" w:hint="eastAsia"/>
                <w:szCs w:val="21"/>
              </w:rPr>
            </w:pPr>
            <w:r>
              <w:rPr>
                <w:rFonts w:ascii="黑体" w:eastAsia="黑体" w:hint="eastAsia"/>
                <w:szCs w:val="21"/>
              </w:rPr>
              <w:t>其他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1086">
            <w:pPr>
              <w:jc w:val="center"/>
              <w:rPr>
                <w:rFonts w:ascii="黑体" w:eastAsia="黑体" w:hint="eastAsia"/>
                <w:szCs w:val="21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 w:rsidTr="001C01F1">
        <w:tblPrEx>
          <w:tblW w:w="9741" w:type="dxa"/>
          <w:jc w:val="center"/>
          <w:tblInd w:w="151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trHeight w:val="124"/>
          <w:jc w:val="center"/>
        </w:trPr>
        <w:tc>
          <w:tcPr>
            <w:tcW w:w="97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hint="eastAsia"/>
                <w:szCs w:val="21"/>
              </w:rPr>
              <w:t>备注：</w:t>
            </w:r>
            <w:r>
              <w:rPr>
                <w:rFonts w:hint="eastAsia"/>
                <w:szCs w:val="21"/>
              </w:rPr>
              <w:t>常用机械设备有冲剪压、注塑、木工加工机械、金属切削机床、砂轮机等。</w:t>
            </w:r>
          </w:p>
        </w:tc>
      </w:tr>
    </w:tbl>
    <w:p w:rsidR="00881086">
      <w:pPr>
        <w:tabs>
          <w:tab w:val="left" w:pos="5505"/>
        </w:tabs>
        <w:autoSpaceDE w:val="0"/>
        <w:autoSpaceDN w:val="0"/>
        <w:adjustRightInd w:val="0"/>
        <w:rPr>
          <w:rFonts w:ascii="Times New Roman" w:eastAsia="黑体" w:hAnsi="Times New Roman" w:hint="eastAsia"/>
          <w:szCs w:val="21"/>
        </w:rPr>
        <w:sectPr>
          <w:headerReference w:type="even" r:id="rId54"/>
          <w:headerReference w:type="default" r:id="rId55"/>
          <w:footerReference w:type="even" r:id="rId56"/>
          <w:footerReference w:type="default" r:id="rId57"/>
          <w:headerReference w:type="first" r:id="rId58"/>
          <w:footerReference w:type="first" r:id="rId59"/>
          <w:type w:val="nextPage"/>
          <w:pgSz w:w="11906" w:h="16838"/>
          <w:pgMar w:top="1440" w:right="1287" w:bottom="1134" w:left="1797" w:header="851" w:footer="992" w:gutter="0"/>
          <w:pgNumType w:start="10"/>
          <w:cols w:space="720"/>
          <w:titlePg w:val="0"/>
          <w:docGrid w:type="lines" w:linePitch="312"/>
        </w:sectPr>
      </w:pPr>
      <w:r>
        <w:rPr>
          <w:rFonts w:ascii="Times New Roman" w:eastAsia="黑体" w:hAnsi="Times New Roman" w:hint="eastAsia"/>
          <w:szCs w:val="21"/>
        </w:rPr>
        <w:t>检查人员：</w:t>
      </w:r>
      <w:bookmarkStart w:id="1" w:name="_Toc176589708"/>
    </w:p>
    <w:p w:rsidR="00881086">
      <w:pPr>
        <w:ind w:right="601"/>
        <w:rPr>
          <w:rFonts w:ascii="黑体" w:eastAsia="黑体" w:hAnsi="Times New Roman" w:hint="eastAsia"/>
          <w:color w:val="000000"/>
          <w:kern w:val="0"/>
          <w:lang w:val="zh-CN"/>
        </w:rPr>
      </w:pPr>
      <w:r>
        <w:rPr>
          <w:rFonts w:ascii="黑体" w:eastAsia="黑体" w:hAnsi="Times New Roman" w:hint="eastAsia"/>
          <w:color w:val="000000"/>
          <w:kern w:val="0"/>
          <w:lang w:val="zh-CN"/>
        </w:rPr>
        <w:t>表号：02</w:t>
      </w:r>
    </w:p>
    <w:p w:rsidR="00881086">
      <w:pPr>
        <w:keepNext/>
        <w:keepLines/>
        <w:spacing w:line="360" w:lineRule="auto"/>
        <w:jc w:val="center"/>
        <w:outlineLvl w:val="0"/>
        <w:rPr>
          <w:rFonts w:ascii="方正小标宋简体" w:eastAsia="方正小标宋简体" w:hAnsi="Times New Roman" w:hint="eastAsia"/>
          <w:kern w:val="0"/>
          <w:sz w:val="36"/>
          <w:szCs w:val="44"/>
        </w:rPr>
      </w:pPr>
      <w:r>
        <w:rPr>
          <w:rFonts w:ascii="仿宋_GB2312" w:eastAsia="仿宋_GB2312" w:hAnsi="Times New Roman" w:hint="eastAsia"/>
          <w:bCs/>
          <w:kern w:val="0"/>
          <w:sz w:val="36"/>
          <w:szCs w:val="44"/>
        </w:rPr>
        <w:t>商贸</w:t>
      </w:r>
      <w:r>
        <w:rPr>
          <w:rFonts w:ascii="仿宋_GB2312" w:eastAsia="仿宋_GB2312" w:hAnsi="Times New Roman"/>
          <w:bCs/>
          <w:kern w:val="0"/>
          <w:sz w:val="36"/>
          <w:szCs w:val="44"/>
        </w:rPr>
        <w:t>(</w:t>
      </w:r>
      <w:r>
        <w:rPr>
          <w:rFonts w:ascii="仿宋_GB2312" w:eastAsia="仿宋_GB2312" w:hAnsi="Times New Roman" w:hint="eastAsia"/>
          <w:bCs/>
          <w:kern w:val="0"/>
          <w:sz w:val="36"/>
          <w:szCs w:val="44"/>
        </w:rPr>
        <w:t>仓储</w:t>
      </w:r>
      <w:r>
        <w:rPr>
          <w:rFonts w:ascii="仿宋_GB2312" w:eastAsia="仿宋_GB2312" w:hAnsi="Times New Roman"/>
          <w:bCs/>
          <w:kern w:val="0"/>
          <w:sz w:val="36"/>
          <w:szCs w:val="44"/>
        </w:rPr>
        <w:t>)</w:t>
      </w:r>
      <w:r>
        <w:rPr>
          <w:rFonts w:ascii="仿宋_GB2312" w:eastAsia="仿宋_GB2312" w:hAnsi="Times New Roman" w:hint="eastAsia"/>
          <w:bCs/>
          <w:kern w:val="0"/>
          <w:sz w:val="36"/>
          <w:szCs w:val="44"/>
        </w:rPr>
        <w:t>企业安全隐患检查</w:t>
      </w:r>
      <w:r>
        <w:rPr>
          <w:rFonts w:ascii="方正小标宋简体" w:eastAsia="方正小标宋简体" w:hAnsi="Times New Roman" w:hint="eastAsia"/>
          <w:kern w:val="0"/>
          <w:sz w:val="36"/>
          <w:szCs w:val="44"/>
        </w:rPr>
        <w:t>表</w:t>
      </w:r>
    </w:p>
    <w:p w:rsidR="00881086">
      <w:pPr>
        <w:autoSpaceDE w:val="0"/>
        <w:autoSpaceDN w:val="0"/>
        <w:adjustRightInd w:val="0"/>
        <w:spacing w:line="240" w:lineRule="atLeast"/>
        <w:rPr>
          <w:rFonts w:ascii="黑体" w:eastAsia="黑体" w:hAnsi="Times New Roman" w:hint="eastAsia"/>
          <w:color w:val="000000"/>
          <w:kern w:val="0"/>
          <w:lang w:val="zh-CN"/>
        </w:rPr>
      </w:pPr>
      <w:r>
        <w:rPr>
          <w:rFonts w:ascii="黑体" w:eastAsia="黑体" w:hAnsi="Times New Roman" w:hint="eastAsia"/>
          <w:color w:val="000000"/>
          <w:kern w:val="0"/>
          <w:lang w:val="zh-CN"/>
        </w:rPr>
        <w:t xml:space="preserve">企业名称：                              </w:t>
      </w:r>
      <w:r>
        <w:rPr>
          <w:rFonts w:ascii="Times New Roman" w:eastAsia="黑体" w:hAnsi="Times New Roman" w:hint="eastAsia"/>
          <w:szCs w:val="21"/>
        </w:rPr>
        <w:t>企业负责人签名：</w:t>
      </w:r>
    </w:p>
    <w:p w:rsidR="00881086">
      <w:pPr>
        <w:autoSpaceDE w:val="0"/>
        <w:autoSpaceDN w:val="0"/>
        <w:adjustRightInd w:val="0"/>
        <w:spacing w:line="360" w:lineRule="auto"/>
        <w:rPr>
          <w:rFonts w:hAnsi="Times New Roman" w:hint="eastAsia"/>
          <w:bCs/>
          <w:color w:val="000000"/>
          <w:kern w:val="0"/>
          <w:lang w:val="zh-CN"/>
        </w:rPr>
      </w:pPr>
      <w:r>
        <w:rPr>
          <w:rFonts w:ascii="黑体" w:eastAsia="黑体" w:hAnsi="Times New Roman" w:hint="eastAsia"/>
          <w:color w:val="000000"/>
          <w:kern w:val="0"/>
          <w:lang w:val="zh-CN"/>
        </w:rPr>
        <w:t>单位地址：</w:t>
      </w:r>
      <w:r>
        <w:rPr>
          <w:rFonts w:ascii="黑体" w:eastAsia="黑体" w:hAnsi="Times New Roman"/>
          <w:color w:val="000000"/>
          <w:kern w:val="0"/>
          <w:lang w:val="zh-CN"/>
        </w:rPr>
        <w:t xml:space="preserve">                            </w:t>
      </w:r>
      <w:r>
        <w:rPr>
          <w:rFonts w:ascii="黑体" w:eastAsia="黑体" w:hAnsi="Times New Roman" w:hint="eastAsia"/>
          <w:color w:val="000000"/>
          <w:kern w:val="0"/>
          <w:lang w:val="zh-CN"/>
        </w:rPr>
        <w:t xml:space="preserve"> </w:t>
      </w:r>
      <w:r>
        <w:rPr>
          <w:rFonts w:ascii="Times New Roman" w:eastAsia="黑体" w:hAnsi="Times New Roman" w:hint="eastAsia"/>
          <w:szCs w:val="21"/>
        </w:rPr>
        <w:t xml:space="preserve">  </w:t>
      </w:r>
      <w:r>
        <w:rPr>
          <w:rFonts w:ascii="黑体" w:eastAsia="黑体" w:hAnsi="Times New Roman" w:hint="eastAsia"/>
          <w:color w:val="000000"/>
          <w:kern w:val="0"/>
          <w:lang w:val="zh-CN"/>
        </w:rPr>
        <w:t>联系电话：</w:t>
      </w:r>
      <w:r>
        <w:rPr>
          <w:rFonts w:ascii="Times New Roman" w:eastAsia="黑体" w:hAnsi="Times New Roman" w:hint="eastAsia"/>
          <w:szCs w:val="21"/>
        </w:rPr>
        <w:t xml:space="preserve">        </w:t>
      </w:r>
      <w:r>
        <w:rPr>
          <w:rFonts w:ascii="黑体" w:eastAsia="黑体" w:hAnsi="Times New Roman" w:hint="eastAsia"/>
          <w:color w:val="000000"/>
          <w:kern w:val="0"/>
          <w:lang w:val="zh-CN"/>
        </w:rPr>
        <w:t>检查日期：</w:t>
      </w:r>
      <w:r>
        <w:rPr>
          <w:rFonts w:ascii="黑体" w:eastAsia="黑体" w:hAnsi="Times New Roman"/>
          <w:color w:val="000000"/>
          <w:kern w:val="0"/>
          <w:lang w:val="zh-CN"/>
        </w:rPr>
        <w:t xml:space="preserve">    </w:t>
      </w:r>
      <w:r>
        <w:rPr>
          <w:rFonts w:ascii="黑体" w:eastAsia="黑体" w:hAnsi="Times New Roman" w:hint="eastAsia"/>
          <w:color w:val="000000"/>
          <w:kern w:val="0"/>
          <w:lang w:val="zh-CN"/>
        </w:rPr>
        <w:t>年</w:t>
      </w:r>
      <w:r>
        <w:rPr>
          <w:rFonts w:ascii="黑体" w:eastAsia="黑体" w:hAnsi="Times New Roman"/>
          <w:color w:val="000000"/>
          <w:kern w:val="0"/>
          <w:lang w:val="zh-CN"/>
        </w:rPr>
        <w:t xml:space="preserve">   </w:t>
      </w:r>
      <w:r>
        <w:rPr>
          <w:rFonts w:ascii="黑体" w:eastAsia="黑体" w:hAnsi="Times New Roman" w:hint="eastAsia"/>
          <w:color w:val="000000"/>
          <w:kern w:val="0"/>
          <w:lang w:val="zh-CN"/>
        </w:rPr>
        <w:t>月</w:t>
      </w:r>
      <w:r>
        <w:rPr>
          <w:rFonts w:ascii="黑体" w:eastAsia="黑体" w:hAnsi="Times New Roman"/>
          <w:color w:val="000000"/>
          <w:kern w:val="0"/>
          <w:lang w:val="zh-CN"/>
        </w:rPr>
        <w:t xml:space="preserve">    </w:t>
      </w:r>
      <w:r>
        <w:rPr>
          <w:rFonts w:ascii="黑体" w:eastAsia="黑体" w:hAnsi="Times New Roman" w:hint="eastAsia"/>
          <w:color w:val="000000"/>
          <w:kern w:val="0"/>
          <w:lang w:val="zh-CN"/>
        </w:rPr>
        <w:t>日</w:t>
      </w:r>
    </w:p>
    <w:tbl>
      <w:tblPr>
        <w:tblStyle w:val="TableNormal"/>
        <w:tblW w:w="0" w:type="auto"/>
        <w:jc w:val="center"/>
        <w:tblInd w:w="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6"/>
        <w:gridCol w:w="1246"/>
        <w:gridCol w:w="6585"/>
        <w:gridCol w:w="1130"/>
      </w:tblGrid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trHeight w:val="395"/>
          <w:jc w:val="center"/>
        </w:trPr>
        <w:tc>
          <w:tcPr>
            <w:tcW w:w="43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bookmarkEnd w:id="1"/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序</w:t>
            </w:r>
          </w:p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号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检查</w:t>
            </w:r>
          </w:p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项目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检查内容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检查结果</w:t>
            </w:r>
            <w:r>
              <w:rPr>
                <w:rFonts w:ascii="黑体" w:eastAsia="黑体" w:hint="eastAsia"/>
                <w:szCs w:val="21"/>
              </w:rPr>
              <w:t>（</w:t>
            </w:r>
            <w:r>
              <w:rPr>
                <w:rFonts w:ascii="黑体" w:eastAsia="黑体" w:hint="eastAsia"/>
                <w:szCs w:val="21"/>
              </w:rPr>
              <w:t>√</w:t>
            </w:r>
            <w:r>
              <w:rPr>
                <w:rFonts w:ascii="黑体" w:eastAsia="黑体" w:hint="eastAsia"/>
                <w:szCs w:val="21"/>
              </w:rPr>
              <w:t>/</w:t>
            </w:r>
            <w:r>
              <w:rPr>
                <w:rFonts w:ascii="黑体" w:eastAsia="黑体" w:hint="eastAsia"/>
                <w:szCs w:val="21"/>
              </w:rPr>
              <w:t>×</w:t>
            </w:r>
            <w:r>
              <w:rPr>
                <w:rFonts w:ascii="黑体" w:eastAsia="黑体" w:hint="eastAsia"/>
                <w:szCs w:val="21"/>
              </w:rPr>
              <w:t>）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1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企业负责人安全生产</w:t>
            </w:r>
          </w:p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职责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1.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企业按规定层层签订安全生产责任书。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2.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企业的负责人和安全生产直接责任人取得安全资格，持证上岗。重点防火单位的消防安全责任人取得消防安全培训上岗证。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3.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安全生产工作计划有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“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三同时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”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内容。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4.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企业主要负责人每年参加或组织安全生产活动。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79"/>
          <w:jc w:val="center"/>
        </w:trPr>
        <w:tc>
          <w:tcPr>
            <w:tcW w:w="436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安全机构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1.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安全生产组织机构建全。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</w:tbl>
    <w:p>
      <w:pPr>
        <w:sectPr>
          <w:headerReference w:type="even" r:id="rId60"/>
          <w:headerReference w:type="default" r:id="rId61"/>
          <w:footerReference w:type="even" r:id="rId62"/>
          <w:footerReference w:type="default" r:id="rId63"/>
          <w:headerReference w:type="first" r:id="rId64"/>
          <w:footerReference w:type="first" r:id="rId65"/>
          <w:type w:val="nextPage"/>
          <w:pgSz w:w="11906" w:h="16838"/>
          <w:pgMar w:top="1440" w:right="1287" w:bottom="1134" w:left="1797" w:header="851" w:footer="992" w:gutter="0"/>
          <w:pgNumType w:start="11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6"/>
        <w:gridCol w:w="1246"/>
        <w:gridCol w:w="6585"/>
        <w:gridCol w:w="1130"/>
      </w:tblGrid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79"/>
          <w:jc w:val="center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/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设置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/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/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2.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有专（兼职）安全主任。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395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3.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安委会定期召开安全生产专题会议，并督促落实各项安全生产工作和措施。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3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auto"/>
            </w:tcBorders>
            <w:textDirection w:val="tbRlV"/>
            <w:vAlign w:val="center"/>
          </w:tcPr>
          <w:p w:rsidR="00881086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黑体" w:eastAsia="黑体"/>
                <w:color w:val="000000"/>
                <w:spacing w:val="2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spacing w:val="20"/>
                <w:kern w:val="0"/>
                <w:szCs w:val="21"/>
                <w:lang w:val="zh-CN"/>
              </w:rPr>
              <w:t>安全管理制度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1.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建立健全各级安全生产责任制。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2.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建立有完善的安全生产日常管理制度，并认真贯彻落实。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395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3.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有专项及设备安全管理制度（包括防火安全，用电安全，厂内交通安全，消防设备、设施、装置、器材维护保养，应急救援设备、设施、器材、物质、通道管理以及防雷、防台风、防洪等设备设施的安全管理制度）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395"/>
          <w:jc w:val="center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4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auto"/>
            </w:tcBorders>
            <w:textDirection w:val="tbRlV"/>
            <w:vAlign w:val="center"/>
          </w:tcPr>
          <w:p w:rsidR="00881086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黑体" w:eastAsia="黑体"/>
                <w:color w:val="000000"/>
                <w:spacing w:val="2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spacing w:val="20"/>
                <w:kern w:val="0"/>
                <w:szCs w:val="21"/>
                <w:lang w:val="zh-CN"/>
              </w:rPr>
              <w:t>安全生产教育、培训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1.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企业与从业人员依法签订劳动合同，并明确双方安全责任、权利，义务等。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2.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企业依法为从业人员缴纳社会工伤保险费。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3.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对新进厂员工进行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了三级安全教育。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395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4.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消防控制室的值班、操作人员、从事具有火灾危险性作业人员、仓库管理员、从事易燃易爆物品经营、储存、装卸、运输的工作人员经过有资质的专业培训单位组织的消防安全培训，持证上岗。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</w:tbl>
    <w:p>
      <w:pPr>
        <w:sectPr>
          <w:headerReference w:type="even" r:id="rId66"/>
          <w:headerReference w:type="default" r:id="rId67"/>
          <w:footerReference w:type="even" r:id="rId68"/>
          <w:footerReference w:type="default" r:id="rId69"/>
          <w:headerReference w:type="first" r:id="rId70"/>
          <w:footerReference w:type="first" r:id="rId71"/>
          <w:type w:val="nextPage"/>
          <w:pgSz w:w="11906" w:h="16838"/>
          <w:pgMar w:top="1440" w:right="1287" w:bottom="1134" w:left="1797" w:header="851" w:footer="992" w:gutter="0"/>
          <w:pgNumType w:start="12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6"/>
        <w:gridCol w:w="1246"/>
        <w:gridCol w:w="6585"/>
        <w:gridCol w:w="1130"/>
      </w:tblGrid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1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5.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特种作业人员经过专门的安全作业培训合格，并定期参加年审。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6.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各岗位作业人员掌握紧急情况下应急措施的操作。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5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事故处理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1.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有事故管理制度，并按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“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四不放过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”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的原则处理事故。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395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2.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有重大危险源的企业；对重大危险源实行监控、登记建档并定期评估。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3.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有事故应急救援预案并定期演练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395"/>
          <w:jc w:val="center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6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安全生产</w:t>
            </w:r>
          </w:p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投入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1.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有年度安全生产项目专项经费预算及购置、更新、改造、维修安全设施的开支计划。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2.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保证对重大危险源评估和事故隐患整改的投入。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3.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有购买劳保用品，职工体检和教育培训的投入。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395"/>
          <w:jc w:val="center"/>
        </w:trPr>
        <w:tc>
          <w:tcPr>
            <w:tcW w:w="43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7</w:t>
            </w:r>
          </w:p>
        </w:tc>
        <w:tc>
          <w:tcPr>
            <w:tcW w:w="124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承包与租赁管理</w:t>
            </w:r>
          </w:p>
        </w:tc>
        <w:tc>
          <w:tcPr>
            <w:tcW w:w="6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1.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企业生产营项目、场所、设备没有发包（外包）或者租赁给不具备安全生产条件或者相应资质的单位和个人。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2.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与承包单位、承租单位签订了专门的安全生产管理协议。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</w:tbl>
    <w:p>
      <w:pPr>
        <w:sectPr>
          <w:headerReference w:type="even" r:id="rId72"/>
          <w:headerReference w:type="default" r:id="rId73"/>
          <w:footerReference w:type="even" r:id="rId74"/>
          <w:footerReference w:type="default" r:id="rId75"/>
          <w:headerReference w:type="first" r:id="rId76"/>
          <w:footerReference w:type="first" r:id="rId77"/>
          <w:type w:val="nextPage"/>
          <w:pgSz w:w="11906" w:h="16838"/>
          <w:pgMar w:top="1440" w:right="1287" w:bottom="1134" w:left="1797" w:header="851" w:footer="992" w:gutter="0"/>
          <w:pgNumType w:start="13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6"/>
        <w:gridCol w:w="1246"/>
        <w:gridCol w:w="6585"/>
        <w:gridCol w:w="1130"/>
      </w:tblGrid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149"/>
          <w:jc w:val="center"/>
        </w:trPr>
        <w:tc>
          <w:tcPr>
            <w:tcW w:w="1" w:type="dxa"/>
            <w:vMerge w:val="restart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 w:val="restart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3.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企业定期或不定期对承包单位、承租单位进行安全生产检查，履行安全生产责任主体的职责。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8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安全技术</w:t>
            </w:r>
          </w:p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设施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1.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建筑物符合国家相关规定，并经有关部门验收合格。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59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2.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仓储设施符合建筑防火规范要求。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59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3.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安全通道符合消防安全要求，并保持畅通。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59"/>
          <w:jc w:val="center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9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机电设备</w:t>
            </w:r>
          </w:p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车辆安全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1.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特种设备经定期检验合格。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395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2.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机械设备的选用及安装符合国家标准和有关规定，技术档案完整，安全防护、保险、信号等安全装置无缺陷。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59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3.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电气设备的选用及安装符合国家标准和有关部门规定。</w:t>
            </w:r>
            <w:r>
              <w:rPr>
                <w:color w:val="000000"/>
                <w:kern w:val="0"/>
                <w:szCs w:val="21"/>
                <w:lang w:val="zh-CN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59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4.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建立有完善的车辆管理制度和档案；叉车等特种车辆定期检测。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59"/>
          <w:jc w:val="center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10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auto"/>
            </w:tcBorders>
            <w:textDirection w:val="tbRlV"/>
            <w:vAlign w:val="center"/>
          </w:tcPr>
          <w:p w:rsidR="00881086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黑体" w:eastAsia="黑体"/>
                <w:color w:val="000000"/>
                <w:spacing w:val="4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spacing w:val="40"/>
                <w:kern w:val="0"/>
                <w:szCs w:val="21"/>
                <w:lang w:val="zh-CN"/>
              </w:rPr>
              <w:t>劳动保护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1.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作业场所有醒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目的安全警示标志。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59"/>
          <w:jc w:val="center"/>
        </w:trPr>
        <w:tc>
          <w:tcPr>
            <w:tcW w:w="1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2.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易燃、易爆、易腐蚀、剧毒等危险品与其他物品分隔存放。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59"/>
          <w:jc w:val="center"/>
        </w:trPr>
        <w:tc>
          <w:tcPr>
            <w:tcW w:w="1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3.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对易产生粉尘、蒸气、腐蚀性气体的作业场所采取了防护措施。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</w:tbl>
    <w:p>
      <w:pPr>
        <w:sectPr>
          <w:headerReference w:type="even" r:id="rId78"/>
          <w:headerReference w:type="default" r:id="rId79"/>
          <w:footerReference w:type="even" r:id="rId80"/>
          <w:footerReference w:type="default" r:id="rId81"/>
          <w:headerReference w:type="first" r:id="rId82"/>
          <w:footerReference w:type="first" r:id="rId83"/>
          <w:type w:val="nextPage"/>
          <w:pgSz w:w="11906" w:h="16838"/>
          <w:pgMar w:top="1440" w:right="1287" w:bottom="1134" w:left="1797" w:header="851" w:footer="992" w:gutter="0"/>
          <w:pgNumType w:start="14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6"/>
        <w:gridCol w:w="1246"/>
        <w:gridCol w:w="6585"/>
        <w:gridCol w:w="1130"/>
      </w:tblGrid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395"/>
          <w:jc w:val="center"/>
        </w:trPr>
        <w:tc>
          <w:tcPr>
            <w:tcW w:w="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 w:val="restart"/>
            <w:tcBorders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4.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为从业人员提供符合国家标准或行业标准的劳动保护用品；从业人员按规定使用，佩戴。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395"/>
          <w:jc w:val="center"/>
        </w:trPr>
        <w:tc>
          <w:tcPr>
            <w:tcW w:w="1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5.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按规定对从事可能导致职业危害的从业人员，组织了上岗前，在岗期间和离岗时的职业健康检查。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395"/>
          <w:jc w:val="center"/>
        </w:trPr>
        <w:tc>
          <w:tcPr>
            <w:tcW w:w="1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kern w:val="0"/>
                <w:szCs w:val="21"/>
                <w:lang w:val="zh-CN"/>
              </w:rPr>
            </w:pPr>
            <w:r>
              <w:rPr>
                <w:szCs w:val="21"/>
              </w:rPr>
              <w:t>6</w:t>
            </w:r>
            <w:r>
              <w:rPr>
                <w:kern w:val="0"/>
                <w:szCs w:val="21"/>
                <w:lang w:val="zh-CN"/>
              </w:rPr>
              <w:t>.</w:t>
            </w:r>
            <w:r>
              <w:rPr>
                <w:rFonts w:hint="eastAsia"/>
                <w:szCs w:val="21"/>
              </w:rPr>
              <w:t>经常进行装卸、搬运作业的场所，设有工人休息的处所和供应足够的饮料（水），并备有简单的医疗和急救设备。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395"/>
          <w:jc w:val="center"/>
        </w:trPr>
        <w:tc>
          <w:tcPr>
            <w:tcW w:w="1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left w:val="single" w:sz="6" w:space="0" w:color="000000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  <w:r>
              <w:rPr>
                <w:rFonts w:hint="eastAsia"/>
                <w:szCs w:val="21"/>
              </w:rPr>
              <w:t>．装卸场地和堆场能保证装卸人员、装卸机械和车辆有足够的活动范围和必要</w:t>
            </w:r>
            <w:r>
              <w:rPr>
                <w:rFonts w:hint="eastAsia"/>
                <w:szCs w:val="21"/>
              </w:rPr>
              <w:t>的安全距离。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6" w:space="0" w:color="000000"/>
              <w:bottom w:val="nil"/>
              <w:right w:val="single" w:sz="4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11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生产场所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1.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作业场所的通风、光照度符合要求。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nil"/>
              <w:right w:val="single" w:sz="4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2.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生产材料成品半成品和废料堆放整齐，不堵塞过道、安全出口；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1" w:type="dxa"/>
            <w:vMerge/>
            <w:tcBorders>
              <w:top w:val="nil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3.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生产区域内地面平坦、整洁，功能区划分恰当。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color w:val="000000"/>
                <w:kern w:val="0"/>
                <w:szCs w:val="21"/>
                <w:lang w:val="zh-CN"/>
              </w:rPr>
              <w:t>12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/>
                <w:color w:val="000000"/>
                <w:kern w:val="0"/>
                <w:szCs w:val="21"/>
                <w:lang w:val="zh-CN"/>
              </w:rPr>
            </w:pPr>
            <w:r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  <w:t>储存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rFonts w:hint="eastAsia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1</w:t>
            </w:r>
            <w:r>
              <w:rPr>
                <w:color w:val="000000"/>
                <w:kern w:val="0"/>
                <w:szCs w:val="21"/>
                <w:lang w:val="zh-CN"/>
              </w:rPr>
              <w:t>.</w:t>
            </w: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储存场所通过消防部门的验收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CellMar>
            <w:left w:w="30" w:type="dxa"/>
            <w:right w:w="30" w:type="dxa"/>
          </w:tblCellMar>
          <w:tblLook w:val="0000"/>
        </w:tblPrEx>
        <w:trPr>
          <w:cantSplit/>
          <w:trHeight w:val="64"/>
          <w:jc w:val="center"/>
        </w:trPr>
        <w:tc>
          <w:tcPr>
            <w:tcW w:w="1" w:type="dxa"/>
            <w:vMerge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rFonts w:ascii="黑体" w:eastAsia="黑体" w:hint="eastAsia"/>
                <w:color w:val="000000"/>
                <w:kern w:val="0"/>
                <w:szCs w:val="21"/>
                <w:lang w:val="zh-CN"/>
              </w:rPr>
            </w:pPr>
          </w:p>
        </w:tc>
        <w:tc>
          <w:tcPr>
            <w:tcW w:w="6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rPr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zh-CN"/>
              </w:rPr>
              <w:t>2.普通物资仓库没有存入危化品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1086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0"/>
                <w:szCs w:val="21"/>
                <w:lang w:val="zh-CN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4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https://d.book118.com/827134132116006024</w:t>
        </w:r>
      </w:hyperlink>
    </w:p>
    <w:p/>
    <w:sectPr>
      <w:headerReference w:type="even" r:id="rId85"/>
      <w:headerReference w:type="default" r:id="rId86"/>
      <w:footerReference w:type="even" r:id="rId87"/>
      <w:footerReference w:type="default" r:id="rId88"/>
      <w:headerReference w:type="first" r:id="rId89"/>
      <w:footerReference w:type="first" r:id="rId90"/>
      <w:type w:val="nextPage"/>
      <w:pgSz w:w="11906" w:h="16838"/>
      <w:pgMar w:top="1440" w:right="1287" w:bottom="1134" w:left="1797" w:header="851" w:footer="992" w:gutter="0"/>
      <w:pgNumType w:start="15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仿宋_GB2312">
    <w:altName w:val="微软雅黑"/>
    <w:panose1 w:val="00000000000000000000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8108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 w:rsidR="0088108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81086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3</w:t>
    </w:r>
    <w:r>
      <w:fldChar w:fldCharType="end"/>
    </w:r>
  </w:p>
  <w:p w:rsidR="00881086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81086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881086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81086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5</w:t>
    </w:r>
    <w:r>
      <w:fldChar w:fldCharType="end"/>
    </w:r>
  </w:p>
  <w:p w:rsidR="00881086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81086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6</w:t>
    </w:r>
    <w:r>
      <w:fldChar w:fldCharType="end"/>
    </w:r>
  </w:p>
  <w:p w:rsidR="00881086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81086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7</w:t>
    </w:r>
    <w:r>
      <w:fldChar w:fldCharType="end"/>
    </w:r>
  </w:p>
  <w:p w:rsidR="00881086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81086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8</w:t>
    </w:r>
    <w:r>
      <w:fldChar w:fldCharType="end"/>
    </w:r>
  </w:p>
  <w:p w:rsidR="00881086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81086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9</w:t>
    </w:r>
    <w:r>
      <w:fldChar w:fldCharType="end"/>
    </w:r>
  </w:p>
  <w:p w:rsidR="00881086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81086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10</w:t>
    </w:r>
    <w:r>
      <w:fldChar w:fldCharType="end"/>
    </w:r>
  </w:p>
  <w:p w:rsidR="00881086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81086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11</w:t>
    </w:r>
    <w:r>
      <w:fldChar w:fldCharType="end"/>
    </w:r>
  </w:p>
  <w:p w:rsidR="00881086">
    <w:pPr>
      <w:pStyle w:val="Footer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81086">
    <w:pPr>
      <w:pStyle w:val="Footer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13</w:t>
    </w:r>
    <w:r>
      <w:fldChar w:fldCharType="end"/>
    </w:r>
  </w:p>
  <w:p w:rsidR="00881086">
    <w:pPr>
      <w:pStyle w:val="Footer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81086">
    <w:pPr>
      <w:pStyle w:val="Footer"/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13</w:t>
    </w:r>
    <w:r>
      <w:fldChar w:fldCharType="end"/>
    </w:r>
  </w:p>
  <w:p w:rsidR="00881086">
    <w:pPr>
      <w:pStyle w:val="Footer"/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</w:pP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81086">
    <w:pPr>
      <w:pStyle w:val="Footer"/>
    </w:pP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14</w:t>
    </w:r>
    <w:r>
      <w:fldChar w:fldCharType="end"/>
    </w:r>
  </w:p>
  <w:p w:rsidR="00881086">
    <w:pPr>
      <w:pStyle w:val="Footer"/>
    </w:pP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</w:pP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81086">
    <w:pPr>
      <w:pStyle w:val="Footer"/>
    </w:pP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15</w:t>
    </w:r>
    <w:r>
      <w:fldChar w:fldCharType="end"/>
    </w:r>
  </w:p>
  <w:p w:rsidR="00881086">
    <w:pPr>
      <w:pStyle w:val="Footer"/>
    </w:pP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  <w:pBdr>
        <w:bottom w:val="none" w:sz="0" w:space="0" w:color="auto"/>
      </w:pBd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  <w:pBdr>
        <w:bottom w:val="none" w:sz="0" w:space="0" w:color="auto"/>
      </w:pBd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  <w:pBdr>
        <w:bottom w:val="none" w:sz="0" w:space="0" w:color="auto"/>
      </w:pBd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  <w:pBdr>
        <w:bottom w:val="none" w:sz="0" w:space="0" w:color="auto"/>
      </w:pBd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  <w:pBdr>
        <w:bottom w:val="none" w:sz="0" w:space="0" w:color="auto"/>
      </w:pBd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  <w:pBdr>
        <w:bottom w:val="none" w:sz="0" w:space="0" w:color="auto"/>
      </w:pBd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  <w:pBdr>
        <w:bottom w:val="none" w:sz="0" w:space="0" w:color="auto"/>
      </w:pBd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  <w:pBdr>
        <w:bottom w:val="none" w:sz="0" w:space="0" w:color="auto"/>
      </w:pBdr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  <w:pBdr>
        <w:bottom w:val="none" w:sz="0" w:space="0" w:color="auto"/>
      </w:pBdr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  <w:pBdr>
        <w:bottom w:val="none" w:sz="0" w:space="0" w:color="auto"/>
      </w:pBdr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  <w:pBdr>
        <w:bottom w:val="none" w:sz="0" w:space="0" w:color="auto"/>
      </w:pBdr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  <w:pBdr>
        <w:bottom w:val="none" w:sz="0" w:space="0" w:color="auto"/>
      </w:pBdr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  <w:pBdr>
        <w:bottom w:val="none" w:sz="0" w:space="0" w:color="auto"/>
      </w:pBdr>
    </w:pP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  <w:pBdr>
        <w:bottom w:val="none" w:sz="0" w:space="0" w:color="auto"/>
      </w:pBdr>
    </w:pP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08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01F1"/>
    <w:rsid w:val="001C01F1"/>
    <w:rsid w:val="00881086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paragraph" w:styleId="Heading1">
    <w:name w:val="heading 1"/>
    <w:basedOn w:val="Normal"/>
    <w:next w:val="Normal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PageNumber">
    <w:name w:val="page number"/>
    <w:basedOn w:val="DefaultParagraphFont"/>
  </w:style>
  <w:style w:type="paragraph" w:customStyle="1" w:styleId="xl26">
    <w:name w:val="xl26"/>
    <w:basedOn w:val="Normal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kern w:val="0"/>
      <w:szCs w:val="21"/>
    </w:rPr>
  </w:style>
  <w:style w:type="paragraph" w:styleId="TOC1">
    <w:name w:val="toc 1"/>
    <w:basedOn w:val="Normal"/>
    <w:next w:val="Normal"/>
    <w:semiHidden/>
    <w:pPr>
      <w:jc w:val="center"/>
    </w:pPr>
    <w:rPr>
      <w:rFonts w:ascii="黑体" w:eastAsia="黑体" w:hAnsi="宋体"/>
      <w:szCs w:val="21"/>
    </w:rPr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BodyText3">
    <w:name w:val="Body Text 3"/>
    <w:basedOn w:val="Normal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1">
    <w:name w:val="正文1"/>
    <w:rPr>
      <w:rFonts w:ascii="宋体" w:hAnsi="宋体"/>
    </w:rPr>
  </w:style>
  <w:style w:type="paragraph" w:styleId="BodyText">
    <w:name w:val="Body Text"/>
    <w:basedOn w:val="Normal"/>
    <w:pPr>
      <w:jc w:val="center"/>
    </w:pPr>
    <w:rPr>
      <w:rFonts w:ascii="宋体" w:hAnsi="宋体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5.xml" /><Relationship Id="rId12" Type="http://schemas.openxmlformats.org/officeDocument/2006/relationships/header" Target="header6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7.xml" /><Relationship Id="rId16" Type="http://schemas.openxmlformats.org/officeDocument/2006/relationships/footer" Target="footer6.xml" /><Relationship Id="rId17" Type="http://schemas.openxmlformats.org/officeDocument/2006/relationships/image" Target="media/image2.jpeg" /><Relationship Id="rId18" Type="http://schemas.openxmlformats.org/officeDocument/2006/relationships/header" Target="header8.xml" /><Relationship Id="rId19" Type="http://schemas.openxmlformats.org/officeDocument/2006/relationships/header" Target="header9.xml" /><Relationship Id="rId2" Type="http://schemas.openxmlformats.org/officeDocument/2006/relationships/webSettings" Target="webSettings.xml" /><Relationship Id="rId20" Type="http://schemas.openxmlformats.org/officeDocument/2006/relationships/footer" Target="footer7.xml" /><Relationship Id="rId21" Type="http://schemas.openxmlformats.org/officeDocument/2006/relationships/footer" Target="footer8.xml" /><Relationship Id="rId22" Type="http://schemas.openxmlformats.org/officeDocument/2006/relationships/header" Target="header10.xml" /><Relationship Id="rId23" Type="http://schemas.openxmlformats.org/officeDocument/2006/relationships/footer" Target="footer9.xml" /><Relationship Id="rId24" Type="http://schemas.openxmlformats.org/officeDocument/2006/relationships/header" Target="header11.xml" /><Relationship Id="rId25" Type="http://schemas.openxmlformats.org/officeDocument/2006/relationships/header" Target="header12.xml" /><Relationship Id="rId26" Type="http://schemas.openxmlformats.org/officeDocument/2006/relationships/footer" Target="footer10.xml" /><Relationship Id="rId27" Type="http://schemas.openxmlformats.org/officeDocument/2006/relationships/footer" Target="footer11.xml" /><Relationship Id="rId28" Type="http://schemas.openxmlformats.org/officeDocument/2006/relationships/header" Target="header13.xml" /><Relationship Id="rId29" Type="http://schemas.openxmlformats.org/officeDocument/2006/relationships/footer" Target="footer12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header" Target="header15.xml" /><Relationship Id="rId32" Type="http://schemas.openxmlformats.org/officeDocument/2006/relationships/footer" Target="footer13.xml" /><Relationship Id="rId33" Type="http://schemas.openxmlformats.org/officeDocument/2006/relationships/footer" Target="footer14.xml" /><Relationship Id="rId34" Type="http://schemas.openxmlformats.org/officeDocument/2006/relationships/header" Target="header16.xml" /><Relationship Id="rId35" Type="http://schemas.openxmlformats.org/officeDocument/2006/relationships/footer" Target="footer15.xml" /><Relationship Id="rId36" Type="http://schemas.openxmlformats.org/officeDocument/2006/relationships/header" Target="header17.xml" /><Relationship Id="rId37" Type="http://schemas.openxmlformats.org/officeDocument/2006/relationships/header" Target="header18.xml" /><Relationship Id="rId38" Type="http://schemas.openxmlformats.org/officeDocument/2006/relationships/footer" Target="footer16.xml" /><Relationship Id="rId39" Type="http://schemas.openxmlformats.org/officeDocument/2006/relationships/footer" Target="footer17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footer" Target="footer18.xml" /><Relationship Id="rId42" Type="http://schemas.openxmlformats.org/officeDocument/2006/relationships/header" Target="header20.xml" /><Relationship Id="rId43" Type="http://schemas.openxmlformats.org/officeDocument/2006/relationships/header" Target="header21.xml" /><Relationship Id="rId44" Type="http://schemas.openxmlformats.org/officeDocument/2006/relationships/footer" Target="footer19.xml" /><Relationship Id="rId45" Type="http://schemas.openxmlformats.org/officeDocument/2006/relationships/footer" Target="footer20.xml" /><Relationship Id="rId46" Type="http://schemas.openxmlformats.org/officeDocument/2006/relationships/header" Target="header22.xml" /><Relationship Id="rId47" Type="http://schemas.openxmlformats.org/officeDocument/2006/relationships/footer" Target="footer21.xml" /><Relationship Id="rId48" Type="http://schemas.openxmlformats.org/officeDocument/2006/relationships/header" Target="header23.xml" /><Relationship Id="rId49" Type="http://schemas.openxmlformats.org/officeDocument/2006/relationships/header" Target="header24.xml" /><Relationship Id="rId5" Type="http://schemas.openxmlformats.org/officeDocument/2006/relationships/header" Target="header2.xml" /><Relationship Id="rId50" Type="http://schemas.openxmlformats.org/officeDocument/2006/relationships/footer" Target="footer22.xml" /><Relationship Id="rId51" Type="http://schemas.openxmlformats.org/officeDocument/2006/relationships/footer" Target="footer23.xml" /><Relationship Id="rId52" Type="http://schemas.openxmlformats.org/officeDocument/2006/relationships/header" Target="header25.xml" /><Relationship Id="rId53" Type="http://schemas.openxmlformats.org/officeDocument/2006/relationships/footer" Target="footer24.xml" /><Relationship Id="rId54" Type="http://schemas.openxmlformats.org/officeDocument/2006/relationships/header" Target="header26.xml" /><Relationship Id="rId55" Type="http://schemas.openxmlformats.org/officeDocument/2006/relationships/header" Target="header27.xml" /><Relationship Id="rId56" Type="http://schemas.openxmlformats.org/officeDocument/2006/relationships/footer" Target="footer25.xml" /><Relationship Id="rId57" Type="http://schemas.openxmlformats.org/officeDocument/2006/relationships/footer" Target="footer26.xml" /><Relationship Id="rId58" Type="http://schemas.openxmlformats.org/officeDocument/2006/relationships/header" Target="header28.xml" /><Relationship Id="rId59" Type="http://schemas.openxmlformats.org/officeDocument/2006/relationships/footer" Target="footer27.xml" /><Relationship Id="rId6" Type="http://schemas.openxmlformats.org/officeDocument/2006/relationships/header" Target="header3.xml" /><Relationship Id="rId60" Type="http://schemas.openxmlformats.org/officeDocument/2006/relationships/header" Target="header29.xml" /><Relationship Id="rId61" Type="http://schemas.openxmlformats.org/officeDocument/2006/relationships/header" Target="header30.xml" /><Relationship Id="rId62" Type="http://schemas.openxmlformats.org/officeDocument/2006/relationships/footer" Target="footer28.xml" /><Relationship Id="rId63" Type="http://schemas.openxmlformats.org/officeDocument/2006/relationships/footer" Target="footer29.xml" /><Relationship Id="rId64" Type="http://schemas.openxmlformats.org/officeDocument/2006/relationships/header" Target="header31.xml" /><Relationship Id="rId65" Type="http://schemas.openxmlformats.org/officeDocument/2006/relationships/footer" Target="footer30.xml" /><Relationship Id="rId66" Type="http://schemas.openxmlformats.org/officeDocument/2006/relationships/header" Target="header32.xml" /><Relationship Id="rId67" Type="http://schemas.openxmlformats.org/officeDocument/2006/relationships/header" Target="header33.xml" /><Relationship Id="rId68" Type="http://schemas.openxmlformats.org/officeDocument/2006/relationships/footer" Target="footer31.xml" /><Relationship Id="rId69" Type="http://schemas.openxmlformats.org/officeDocument/2006/relationships/footer" Target="footer32.xml" /><Relationship Id="rId7" Type="http://schemas.openxmlformats.org/officeDocument/2006/relationships/footer" Target="footer1.xml" /><Relationship Id="rId70" Type="http://schemas.openxmlformats.org/officeDocument/2006/relationships/header" Target="header34.xml" /><Relationship Id="rId71" Type="http://schemas.openxmlformats.org/officeDocument/2006/relationships/footer" Target="footer33.xml" /><Relationship Id="rId72" Type="http://schemas.openxmlformats.org/officeDocument/2006/relationships/header" Target="header35.xml" /><Relationship Id="rId73" Type="http://schemas.openxmlformats.org/officeDocument/2006/relationships/header" Target="header36.xml" /><Relationship Id="rId74" Type="http://schemas.openxmlformats.org/officeDocument/2006/relationships/footer" Target="footer34.xml" /><Relationship Id="rId75" Type="http://schemas.openxmlformats.org/officeDocument/2006/relationships/footer" Target="footer35.xml" /><Relationship Id="rId76" Type="http://schemas.openxmlformats.org/officeDocument/2006/relationships/header" Target="header37.xml" /><Relationship Id="rId77" Type="http://schemas.openxmlformats.org/officeDocument/2006/relationships/footer" Target="footer36.xml" /><Relationship Id="rId78" Type="http://schemas.openxmlformats.org/officeDocument/2006/relationships/header" Target="header38.xml" /><Relationship Id="rId79" Type="http://schemas.openxmlformats.org/officeDocument/2006/relationships/header" Target="header39.xml" /><Relationship Id="rId8" Type="http://schemas.openxmlformats.org/officeDocument/2006/relationships/footer" Target="footer2.xml" /><Relationship Id="rId80" Type="http://schemas.openxmlformats.org/officeDocument/2006/relationships/footer" Target="footer37.xml" /><Relationship Id="rId81" Type="http://schemas.openxmlformats.org/officeDocument/2006/relationships/footer" Target="footer38.xml" /><Relationship Id="rId82" Type="http://schemas.openxmlformats.org/officeDocument/2006/relationships/header" Target="header40.xml" /><Relationship Id="rId83" Type="http://schemas.openxmlformats.org/officeDocument/2006/relationships/footer" Target="footer39.xml" /><Relationship Id="rId84" Type="http://schemas.openxmlformats.org/officeDocument/2006/relationships/hyperlink" Target="https://d.book118.com/827134132116006024" TargetMode="External" /><Relationship Id="rId85" Type="http://schemas.openxmlformats.org/officeDocument/2006/relationships/header" Target="header41.xml" /><Relationship Id="rId86" Type="http://schemas.openxmlformats.org/officeDocument/2006/relationships/header" Target="header42.xml" /><Relationship Id="rId87" Type="http://schemas.openxmlformats.org/officeDocument/2006/relationships/footer" Target="footer40.xml" /><Relationship Id="rId88" Type="http://schemas.openxmlformats.org/officeDocument/2006/relationships/footer" Target="footer41.xml" /><Relationship Id="rId89" Type="http://schemas.openxmlformats.org/officeDocument/2006/relationships/header" Target="header43.xml" /><Relationship Id="rId9" Type="http://schemas.openxmlformats.org/officeDocument/2006/relationships/header" Target="header4.xml" /><Relationship Id="rId90" Type="http://schemas.openxmlformats.org/officeDocument/2006/relationships/footer" Target="footer42.xml" /><Relationship Id="rId91" Type="http://schemas.openxmlformats.org/officeDocument/2006/relationships/theme" Target="theme/theme1.xml" /><Relationship Id="rId92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4885</Words>
  <Characters>5081</Characters>
  <Application>Microsoft Office Word</Application>
  <DocSecurity>0</DocSecurity>
  <Lines>1270</Lines>
  <Paragraphs>553</Paragraphs>
  <ScaleCrop>false</ScaleCrop>
  <Company/>
  <LinksUpToDate>false</LinksUpToDate>
  <CharactersWithSpaces>9413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4230 4230</cp:lastModifiedBy>
  <cp:revision>2</cp:revision>
  <cp:lastPrinted>2023-11-27T10:24:00Z</cp:lastPrinted>
  <dcterms:created xsi:type="dcterms:W3CDTF">2023-11-27T10:24:00Z</dcterms:created>
  <dcterms:modified xsi:type="dcterms:W3CDTF">2023-11-27T10:24:00Z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