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0" w:line="573" w:lineRule="exact"/>
        <w:ind w:left="403" w:right="766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影剧院工程施工组织设计</w:t>
      </w:r>
    </w:p>
    <w:sdt>
      <w:sdtPr>
        <w:id w:val="143358251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739"/>
            </w:tabs>
            <w:rPr>
              <w:rFonts w:ascii="Arial" w:eastAsia="Arial"/>
            </w:rPr>
          </w:pPr>
          <w:hyperlink w:anchor="_TOC_250020" w:history="1">
            <w:r>
              <w:t>一</w:t>
            </w:r>
            <w:r>
              <w:rPr>
                <w:rFonts w:ascii="Arial" w:eastAsia="Arial"/>
              </w:rPr>
              <w:t>.</w:t>
            </w:r>
            <w:r>
              <w:t>工程概况</w:t>
              <w:tab/>
            </w:r>
            <w:r>
              <w:rPr>
                <w:rFonts w:ascii="Arial" w:eastAsia="Arial"/>
              </w:rPr>
              <w:t>2</w:t>
            </w:r>
          </w:hyperlink>
        </w:p>
        <w:p>
          <w:pPr>
            <w:pStyle w:val="TOC1"/>
            <w:tabs>
              <w:tab w:val="right" w:leader="dot" w:pos="12740"/>
            </w:tabs>
            <w:spacing w:before="360"/>
            <w:rPr>
              <w:rFonts w:ascii="Arial" w:eastAsia="Arial"/>
            </w:rPr>
          </w:pPr>
          <w:hyperlink w:anchor="_TOC_250019" w:history="1">
            <w:r>
              <w:t>二、施工部署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2"/>
            <w:tabs>
              <w:tab w:val="right" w:leader="dot" w:pos="12589"/>
            </w:tabs>
            <w:spacing w:before="403"/>
            <w:ind w:left="770" w:firstLine="0"/>
            <w:rPr>
              <w:rFonts w:ascii="Arial" w:eastAsia="Arial"/>
            </w:rPr>
          </w:pPr>
          <w:hyperlink w:anchor="_TOC_250018" w:history="1">
            <w:r>
              <w:rPr>
                <w:rFonts w:ascii="Arial" w:eastAsia="Arial"/>
              </w:rPr>
              <w:t>1</w:t>
            </w:r>
            <w:r>
              <w:t>．工期安排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2"/>
            <w:tabs>
              <w:tab w:val="right" w:leader="dot" w:pos="12589"/>
            </w:tabs>
            <w:ind w:left="770" w:firstLine="0"/>
            <w:rPr>
              <w:rFonts w:ascii="Arial" w:eastAsia="Arial"/>
            </w:rPr>
          </w:pPr>
          <w:hyperlink w:anchor="_TOC_250017" w:history="1">
            <w:r>
              <w:rPr>
                <w:rFonts w:ascii="Arial" w:eastAsia="Arial"/>
              </w:rPr>
              <w:t>2</w:t>
            </w:r>
            <w:r>
              <w:t>、结构施工方案的选择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2"/>
            <w:numPr>
              <w:ilvl w:val="0"/>
              <w:numId w:val="20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16" w:history="1">
            <w:r>
              <w:t>施工段的划分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numPr>
              <w:ilvl w:val="0"/>
              <w:numId w:val="20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15" w:history="1">
            <w:r>
              <w:t>基础施工顺序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numPr>
              <w:ilvl w:val="0"/>
              <w:numId w:val="20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14" w:history="1">
            <w:r>
              <w:t>结构施工顺序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numPr>
              <w:ilvl w:val="0"/>
              <w:numId w:val="20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13" w:history="1">
            <w:r>
              <w:t>装修施工顺序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1"/>
            <w:tabs>
              <w:tab w:val="right" w:leader="dot" w:pos="12741"/>
            </w:tabs>
            <w:spacing w:before="354"/>
            <w:rPr>
              <w:rFonts w:ascii="Arial" w:eastAsia="Arial"/>
            </w:rPr>
          </w:pPr>
          <w:hyperlink w:anchor="_TOC_250012" w:history="1">
            <w:r>
              <w:t>三、施工进度计划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1"/>
            <w:tabs>
              <w:tab w:val="right" w:leader="dot" w:pos="12682"/>
            </w:tabs>
            <w:spacing w:before="360"/>
            <w:rPr>
              <w:rFonts w:ascii="Arial" w:eastAsia="Arial"/>
            </w:rPr>
          </w:pPr>
          <w:hyperlink w:anchor="_TOC_250011" w:history="1">
            <w:r>
              <w:t>四、施工总平面布置图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1"/>
            <w:tabs>
              <w:tab w:val="right" w:leader="dot" w:pos="12741"/>
            </w:tabs>
            <w:rPr>
              <w:rFonts w:ascii="Arial" w:eastAsia="Arial"/>
            </w:rPr>
          </w:pPr>
          <w:hyperlink w:anchor="_TOC_250010" w:history="1">
            <w:r>
              <w:t>五、施工准备工作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0"/>
              <w:numId w:val="19"/>
            </w:numPr>
            <w:tabs>
              <w:tab w:val="left" w:pos="1406"/>
              <w:tab w:val="right" w:leader="dot" w:pos="12589"/>
            </w:tabs>
            <w:spacing w:before="404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9" w:history="1">
            <w:r>
              <w:t>场地与道路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0"/>
              <w:numId w:val="19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8" w:history="1">
            <w:r>
              <w:t>施工机械机具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0"/>
              <w:numId w:val="19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7" w:history="1">
            <w:r>
              <w:t>施工水电设施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2"/>
            <w:numPr>
              <w:ilvl w:val="0"/>
              <w:numId w:val="19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6" w:history="1">
            <w:r>
              <w:t>施工临时建筑及设施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2"/>
            <w:numPr>
              <w:ilvl w:val="0"/>
              <w:numId w:val="19"/>
            </w:numPr>
            <w:tabs>
              <w:tab w:val="left" w:pos="1406"/>
              <w:tab w:val="right" w:leader="dot" w:pos="12589"/>
            </w:tabs>
            <w:spacing w:before="397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5" w:history="1">
            <w:r>
              <w:t>塔道处理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1"/>
            <w:tabs>
              <w:tab w:val="right" w:leader="dot" w:pos="12682"/>
            </w:tabs>
            <w:spacing w:before="355"/>
            <w:rPr>
              <w:rFonts w:ascii="Arial" w:eastAsia="Arial"/>
            </w:rPr>
          </w:pPr>
          <w:hyperlink w:anchor="_TOC_250004" w:history="1">
            <w:r>
              <w:t>六、主要项目施工方法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2241"/>
              <w:tab w:val="right" w:leader="dot" w:pos="12589"/>
            </w:tabs>
            <w:spacing w:before="404" w:after="0" w:line="240" w:lineRule="auto"/>
            <w:ind w:left="2240" w:right="0" w:hanging="636"/>
            <w:jc w:val="left"/>
            <w:rPr>
              <w:rFonts w:ascii="Arial" w:eastAsia="Arial"/>
            </w:rPr>
          </w:pPr>
          <w:hyperlink w:anchor="_TOC_250003" w:history="1">
            <w:r>
              <w:t>地下室和基础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406"/>
              <w:tab w:val="right" w:leader="dot" w:pos="12589"/>
            </w:tabs>
            <w:spacing w:before="398" w:after="0" w:line="240" w:lineRule="auto"/>
            <w:ind w:left="1405" w:right="0" w:hanging="636"/>
            <w:jc w:val="left"/>
            <w:rPr>
              <w:rFonts w:ascii="Arial" w:eastAsia="Arial"/>
            </w:rPr>
          </w:pPr>
          <w:hyperlink w:anchor="_TOC_250002" w:history="1">
            <w:r>
              <w:t>现浇框架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2"/>
            <w:tabs>
              <w:tab w:val="right" w:leader="dot" w:pos="12589"/>
            </w:tabs>
            <w:ind w:left="770" w:firstLine="0"/>
            <w:rPr>
              <w:rFonts w:ascii="Arial" w:eastAsia="Arial"/>
            </w:rPr>
          </w:pPr>
          <w:hyperlink w:anchor="_TOC_250001" w:history="1">
            <w:r>
              <w:rPr>
                <w:rFonts w:ascii="Arial" w:eastAsia="Arial"/>
              </w:rPr>
              <w:t>3</w:t>
            </w:r>
            <w:r>
              <w:t>．砌筑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2"/>
            <w:numPr>
              <w:ilvl w:val="0"/>
              <w:numId w:val="18"/>
            </w:numPr>
            <w:tabs>
              <w:tab w:val="left" w:pos="1296"/>
              <w:tab w:val="left" w:pos="1297"/>
              <w:tab w:val="right" w:leader="dot" w:pos="12589"/>
            </w:tabs>
            <w:spacing w:before="397" w:after="0" w:line="240" w:lineRule="auto"/>
            <w:ind w:left="1296" w:right="0" w:hanging="527"/>
            <w:jc w:val="left"/>
            <w:rPr>
              <w:rFonts w:ascii="Arial" w:eastAsia="Arial"/>
            </w:rPr>
          </w:pPr>
          <w:hyperlink w:anchor="_TOC_250000" w:history="1">
            <w:r>
              <w:t>钢屋架</w:t>
              <w:tab/>
            </w:r>
            <w:r>
              <w:rPr>
                <w:rFonts w:ascii="Arial" w:eastAsia="Arial"/>
              </w:rPr>
              <w:t>15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type w:val="continuous"/>
          <w:pgSz w:w="17860" w:h="25260"/>
          <w:pgMar w:top="1940" w:right="2200" w:bottom="280" w:left="2560" w:header="708" w:footer="708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406"/>
          <w:tab w:val="right" w:leader="dot" w:pos="12589"/>
        </w:tabs>
        <w:spacing w:before="80" w:after="0" w:line="240" w:lineRule="auto"/>
        <w:ind w:left="1405" w:right="0" w:hanging="636"/>
        <w:jc w:val="left"/>
        <w:rPr>
          <w:rFonts w:ascii="Times New Roman" w:eastAsia="Times New Roman"/>
          <w:sz w:val="40"/>
        </w:rPr>
      </w:pPr>
      <w:r>
        <w:rPr>
          <w:sz w:val="42"/>
        </w:rPr>
        <w:t>主要构件安装</w:t>
        <w:tab/>
      </w:r>
      <w:r>
        <w:rPr>
          <w:rFonts w:ascii="Times New Roman" w:eastAsia="Times New Roman"/>
          <w:sz w:val="42"/>
        </w:rPr>
        <w:t>16</w:t>
      </w:r>
    </w:p>
    <w:p>
      <w:pPr>
        <w:pStyle w:val="ListParagraph"/>
        <w:numPr>
          <w:ilvl w:val="0"/>
          <w:numId w:val="18"/>
        </w:numPr>
        <w:tabs>
          <w:tab w:val="left" w:pos="1406"/>
          <w:tab w:val="right" w:leader="dot" w:pos="12589"/>
        </w:tabs>
        <w:spacing w:before="398" w:after="0" w:line="240" w:lineRule="auto"/>
        <w:ind w:left="1405" w:right="0" w:hanging="636"/>
        <w:jc w:val="left"/>
        <w:rPr>
          <w:rFonts w:ascii="Times New Roman" w:eastAsia="Times New Roman"/>
          <w:sz w:val="40"/>
        </w:rPr>
      </w:pPr>
      <w:r>
        <w:rPr>
          <w:sz w:val="42"/>
        </w:rPr>
        <w:t>防水层</w:t>
        <w:tab/>
      </w:r>
      <w:r>
        <w:rPr>
          <w:rFonts w:ascii="Times New Roman" w:eastAsia="Times New Roman"/>
          <w:sz w:val="42"/>
        </w:rPr>
        <w:t>17</w:t>
      </w:r>
    </w:p>
    <w:p>
      <w:pPr>
        <w:pStyle w:val="ListParagraph"/>
        <w:numPr>
          <w:ilvl w:val="0"/>
          <w:numId w:val="18"/>
        </w:numPr>
        <w:tabs>
          <w:tab w:val="left" w:pos="1406"/>
          <w:tab w:val="right" w:leader="dot" w:pos="12589"/>
        </w:tabs>
        <w:spacing w:before="398" w:after="0" w:line="240" w:lineRule="auto"/>
        <w:ind w:left="1405" w:right="0" w:hanging="636"/>
        <w:jc w:val="left"/>
        <w:rPr>
          <w:rFonts w:ascii="Times New Roman" w:eastAsia="Times New Roman"/>
          <w:sz w:val="40"/>
        </w:rPr>
      </w:pPr>
      <w:r>
        <w:rPr>
          <w:sz w:val="42"/>
        </w:rPr>
        <w:t>木装修</w:t>
        <w:tab/>
      </w:r>
      <w:r>
        <w:rPr>
          <w:rFonts w:ascii="Times New Roman" w:eastAsia="Times New Roman"/>
          <w:sz w:val="42"/>
        </w:rPr>
        <w:t>17</w:t>
      </w:r>
    </w:p>
    <w:p>
      <w:pPr>
        <w:pStyle w:val="BodyText"/>
        <w:tabs>
          <w:tab w:val="right" w:leader="dot" w:pos="12589"/>
        </w:tabs>
        <w:spacing w:before="398"/>
        <w:ind w:left="770"/>
        <w:rPr>
          <w:rFonts w:ascii="Times New Roman" w:eastAsia="Times New Roman"/>
        </w:rPr>
      </w:pPr>
      <w:r>
        <w:rPr>
          <w:rFonts w:ascii="Times New Roman" w:eastAsia="Times New Roman"/>
        </w:rPr>
        <w:t>8</w:t>
      </w:r>
      <w:r>
        <w:t>．抹灰</w:t>
        <w:tab/>
      </w:r>
      <w:r>
        <w:rPr>
          <w:rFonts w:ascii="Times New Roman" w:eastAsia="Times New Roman"/>
        </w:rPr>
        <w:t>18</w:t>
      </w:r>
    </w:p>
    <w:p>
      <w:pPr>
        <w:pStyle w:val="BodyText"/>
        <w:tabs>
          <w:tab w:val="right" w:leader="dot" w:pos="12589"/>
        </w:tabs>
        <w:spacing w:before="398"/>
        <w:ind w:left="770"/>
        <w:rPr>
          <w:rFonts w:ascii="Times New Roman" w:eastAsia="Times New Roman"/>
        </w:rPr>
      </w:pPr>
      <w:r>
        <w:rPr>
          <w:rFonts w:ascii="Times New Roman" w:eastAsia="Times New Roman"/>
        </w:rPr>
        <w:t>9</w:t>
      </w:r>
      <w:r>
        <w:t>．脚手架</w:t>
        <w:tab/>
      </w:r>
      <w:r>
        <w:rPr>
          <w:rFonts w:ascii="Times New Roman" w:eastAsia="Times New Roman"/>
        </w:rPr>
        <w:t>19</w:t>
      </w:r>
    </w:p>
    <w:p>
      <w:pPr>
        <w:tabs>
          <w:tab w:val="right" w:leader="dot" w:pos="12740"/>
        </w:tabs>
        <w:spacing w:before="353"/>
        <w:ind w:left="140" w:right="0" w:firstLine="0"/>
        <w:jc w:val="left"/>
        <w:rPr>
          <w:rFonts w:ascii="Times New Roman" w:eastAsia="Times New Roman"/>
          <w:sz w:val="45"/>
        </w:rPr>
      </w:pPr>
      <w:r>
        <w:rPr>
          <w:sz w:val="45"/>
        </w:rPr>
        <w:t>七、劳动组织</w:t>
        <w:tab/>
      </w:r>
      <w:r>
        <w:rPr>
          <w:rFonts w:ascii="Times New Roman" w:eastAsia="Times New Roman"/>
          <w:sz w:val="45"/>
        </w:rPr>
        <w:t>19</w:t>
      </w:r>
    </w:p>
    <w:p>
      <w:pPr>
        <w:tabs>
          <w:tab w:val="right" w:leader="dot" w:pos="12686"/>
        </w:tabs>
        <w:spacing w:before="361"/>
        <w:ind w:left="140" w:right="0" w:firstLine="0"/>
        <w:jc w:val="left"/>
        <w:rPr>
          <w:rFonts w:ascii="Times New Roman" w:eastAsia="Times New Roman"/>
          <w:sz w:val="45"/>
        </w:rPr>
      </w:pPr>
      <w:r>
        <w:rPr>
          <w:sz w:val="45"/>
        </w:rPr>
        <w:t>八、季节性施工措施</w:t>
        <w:tab/>
      </w:r>
      <w:r>
        <w:rPr>
          <w:rFonts w:ascii="Times New Roman" w:eastAsia="Times New Roman"/>
          <w:sz w:val="45"/>
        </w:rPr>
        <w:t>20</w:t>
      </w:r>
    </w:p>
    <w:p>
      <w:pPr>
        <w:pStyle w:val="ListParagraph"/>
        <w:numPr>
          <w:ilvl w:val="0"/>
          <w:numId w:val="17"/>
        </w:numPr>
        <w:tabs>
          <w:tab w:val="left" w:pos="1406"/>
          <w:tab w:val="right" w:leader="dot" w:pos="12589"/>
        </w:tabs>
        <w:spacing w:before="403" w:after="0" w:line="240" w:lineRule="auto"/>
        <w:ind w:left="1405" w:right="0" w:hanging="636"/>
        <w:jc w:val="left"/>
        <w:rPr>
          <w:rFonts w:ascii="Times New Roman" w:eastAsia="Times New Roman"/>
          <w:sz w:val="42"/>
        </w:rPr>
      </w:pPr>
      <w:r>
        <w:rPr>
          <w:sz w:val="42"/>
        </w:rPr>
        <w:t>雨施措施</w:t>
        <w:tab/>
      </w:r>
      <w:r>
        <w:rPr>
          <w:rFonts w:ascii="Times New Roman" w:eastAsia="Times New Roman"/>
          <w:sz w:val="42"/>
        </w:rPr>
        <w:t>20</w:t>
      </w:r>
    </w:p>
    <w:p>
      <w:pPr>
        <w:pStyle w:val="ListParagraph"/>
        <w:numPr>
          <w:ilvl w:val="0"/>
          <w:numId w:val="17"/>
        </w:numPr>
        <w:tabs>
          <w:tab w:val="left" w:pos="1406"/>
          <w:tab w:val="right" w:leader="dot" w:pos="12589"/>
        </w:tabs>
        <w:spacing w:before="398" w:after="0" w:line="240" w:lineRule="auto"/>
        <w:ind w:left="1405" w:right="0" w:hanging="636"/>
        <w:jc w:val="left"/>
        <w:rPr>
          <w:rFonts w:ascii="Times New Roman" w:eastAsia="Times New Roman"/>
          <w:sz w:val="42"/>
        </w:rPr>
      </w:pPr>
      <w:r>
        <w:rPr>
          <w:sz w:val="42"/>
        </w:rPr>
        <w:t>冬施措施</w:t>
        <w:tab/>
      </w:r>
      <w:r>
        <w:rPr>
          <w:rFonts w:ascii="Times New Roman" w:eastAsia="Times New Roman"/>
          <w:sz w:val="42"/>
        </w:rPr>
        <w:t>20</w:t>
      </w:r>
    </w:p>
    <w:p>
      <w:pPr>
        <w:tabs>
          <w:tab w:val="right" w:leader="dot" w:pos="12682"/>
        </w:tabs>
        <w:spacing w:before="354"/>
        <w:ind w:left="140" w:right="0" w:firstLine="0"/>
        <w:jc w:val="left"/>
        <w:rPr>
          <w:rFonts w:ascii="Times New Roman" w:eastAsia="Times New Roman"/>
          <w:sz w:val="45"/>
        </w:rPr>
      </w:pPr>
      <w:r>
        <w:rPr>
          <w:sz w:val="45"/>
        </w:rPr>
        <w:t>九、保证质量夹全措施</w:t>
        <w:tab/>
      </w:r>
      <w:r>
        <w:rPr>
          <w:rFonts w:ascii="Times New Roman" w:eastAsia="Times New Roman"/>
          <w:sz w:val="45"/>
        </w:rPr>
        <w:t>21</w:t>
      </w:r>
    </w:p>
    <w:p>
      <w:pPr>
        <w:pStyle w:val="ListParagraph"/>
        <w:numPr>
          <w:ilvl w:val="0"/>
          <w:numId w:val="16"/>
        </w:numPr>
        <w:tabs>
          <w:tab w:val="left" w:pos="1406"/>
          <w:tab w:val="right" w:leader="dot" w:pos="12589"/>
        </w:tabs>
        <w:spacing w:before="403" w:after="0" w:line="240" w:lineRule="auto"/>
        <w:ind w:left="1405" w:right="0" w:hanging="636"/>
        <w:jc w:val="left"/>
        <w:rPr>
          <w:rFonts w:ascii="Times New Roman" w:eastAsia="Times New Roman"/>
          <w:sz w:val="42"/>
        </w:rPr>
      </w:pPr>
      <w:r>
        <w:rPr>
          <w:sz w:val="42"/>
        </w:rPr>
        <w:t>质量措施</w:t>
        <w:tab/>
      </w:r>
      <w:r>
        <w:rPr>
          <w:rFonts w:ascii="Times New Roman" w:eastAsia="Times New Roman"/>
          <w:sz w:val="42"/>
        </w:rPr>
        <w:t>21</w:t>
      </w:r>
    </w:p>
    <w:p>
      <w:pPr>
        <w:pStyle w:val="ListParagraph"/>
        <w:numPr>
          <w:ilvl w:val="0"/>
          <w:numId w:val="16"/>
        </w:numPr>
        <w:tabs>
          <w:tab w:val="left" w:pos="1406"/>
          <w:tab w:val="right" w:leader="dot" w:pos="12589"/>
        </w:tabs>
        <w:spacing w:before="398" w:after="0" w:line="240" w:lineRule="auto"/>
        <w:ind w:left="1405" w:right="0" w:hanging="636"/>
        <w:jc w:val="left"/>
        <w:rPr>
          <w:rFonts w:ascii="Times New Roman" w:eastAsia="Times New Roman"/>
          <w:sz w:val="42"/>
        </w:rPr>
      </w:pPr>
      <w:r>
        <w:rPr>
          <w:sz w:val="42"/>
        </w:rPr>
        <w:t>安全措施</w:t>
        <w:tab/>
      </w:r>
      <w:r>
        <w:rPr>
          <w:rFonts w:ascii="Times New Roman" w:eastAsia="Times New Roman"/>
          <w:sz w:val="42"/>
        </w:rPr>
        <w:t>22</w:t>
      </w:r>
    </w:p>
    <w:p>
      <w:pPr>
        <w:pStyle w:val="BodyText"/>
        <w:rPr>
          <w:rFonts w:ascii="Times New Roman"/>
          <w:sz w:val="50"/>
        </w:rPr>
      </w:pPr>
    </w:p>
    <w:p>
      <w:pPr>
        <w:pStyle w:val="BodyText"/>
        <w:rPr>
          <w:rFonts w:ascii="Times New Roman"/>
          <w:sz w:val="50"/>
        </w:rPr>
      </w:pPr>
    </w:p>
    <w:p>
      <w:pPr>
        <w:pStyle w:val="Heading2"/>
        <w:spacing w:before="447"/>
        <w:ind w:left="1040"/>
      </w:pPr>
      <w:bookmarkStart w:id="0" w:name="_TOC_250020"/>
      <w:r>
        <w:t>一</w:t>
      </w:r>
      <w:r>
        <w:rPr>
          <w:rFonts w:ascii="Times New Roman" w:eastAsia="Times New Roman"/>
        </w:rPr>
        <w:t>.</w:t>
      </w:r>
      <w:bookmarkEnd w:id="0"/>
      <w:r>
        <w:t>工程概况</w:t>
      </w:r>
    </w:p>
    <w:p>
      <w:pPr>
        <w:pStyle w:val="BodyText"/>
        <w:spacing w:before="349" w:line="417" w:lineRule="auto"/>
        <w:ind w:left="140" w:right="420" w:firstLine="629"/>
        <w:jc w:val="both"/>
      </w:pPr>
      <w:r>
        <w:rPr>
          <w:spacing w:val="-13"/>
        </w:rPr>
        <w:t xml:space="preserve">本工程建筑面积 </w:t>
      </w:r>
      <w:r>
        <w:rPr>
          <w:rFonts w:ascii="Times New Roman" w:eastAsia="Times New Roman" w:hAnsi="Times New Roman"/>
          <w:spacing w:val="-10"/>
        </w:rPr>
        <w:t>5890m</w:t>
      </w:r>
      <w:r>
        <w:rPr>
          <w:rFonts w:ascii="Times New Roman" w:eastAsia="Times New Roman" w:hAnsi="Times New Roman"/>
          <w:spacing w:val="-10"/>
          <w:position w:val="2"/>
          <w:sz w:val="27"/>
        </w:rPr>
        <w:t>2</w:t>
      </w:r>
      <w:r>
        <w:rPr>
          <w:spacing w:val="-5"/>
        </w:rPr>
        <w:t>，观众厅两层，</w:t>
      </w:r>
      <w:r>
        <w:rPr>
          <w:rFonts w:ascii="Times New Roman" w:eastAsia="Times New Roman" w:hAnsi="Times New Roman"/>
          <w:spacing w:val="-14"/>
        </w:rPr>
        <w:t xml:space="preserve">1460 </w:t>
      </w:r>
      <w:r>
        <w:rPr>
          <w:spacing w:val="-9"/>
        </w:rPr>
        <w:t xml:space="preserve">个座位。设计标高± </w:t>
      </w:r>
      <w:r>
        <w:rPr>
          <w:rFonts w:ascii="Times New Roman" w:eastAsia="Times New Roman" w:hAnsi="Times New Roman"/>
          <w:spacing w:val="-9"/>
        </w:rPr>
        <w:t>0.00=47.35m</w:t>
      </w:r>
      <w:r>
        <w:t>，场地设计标高</w:t>
      </w:r>
      <w:r>
        <w:rPr>
          <w:rFonts w:ascii="Times New Roman" w:eastAsia="Times New Roman" w:hAnsi="Times New Roman"/>
        </w:rPr>
        <w:t>46.10</w:t>
      </w:r>
      <w:r>
        <w:t>—</w:t>
      </w:r>
      <w:r>
        <w:rPr>
          <w:rFonts w:ascii="Times New Roman" w:eastAsia="Times New Roman" w:hAnsi="Times New Roman"/>
        </w:rPr>
        <w:t>46.60m</w:t>
      </w:r>
      <w:r>
        <w:t>。按给定坐标定位置。施</w:t>
      </w:r>
      <w:r>
        <w:rPr>
          <w:spacing w:val="-15"/>
        </w:rPr>
        <w:t xml:space="preserve">工场地面积约 </w:t>
      </w:r>
      <w:r>
        <w:rPr>
          <w:rFonts w:ascii="Times New Roman" w:eastAsia="Times New Roman" w:hAnsi="Times New Roman"/>
        </w:rPr>
        <w:t>5360m</w:t>
      </w:r>
      <w:r>
        <w:rPr>
          <w:rFonts w:ascii="Times New Roman" w:eastAsia="Times New Roman" w:hAnsi="Times New Roman"/>
          <w:position w:val="2"/>
          <w:sz w:val="27"/>
        </w:rPr>
        <w:t>2</w:t>
      </w:r>
      <w:r>
        <w:rPr>
          <w:spacing w:val="8"/>
        </w:rPr>
        <w:t>，为建筑占地面积的</w:t>
      </w:r>
      <w:r>
        <w:rPr>
          <w:rFonts w:ascii="Times New Roman" w:eastAsia="Times New Roman" w:hAnsi="Times New Roman"/>
        </w:rPr>
        <w:t xml:space="preserve">l.7 </w:t>
      </w:r>
      <w:r>
        <w:rPr>
          <w:spacing w:val="-2"/>
        </w:rPr>
        <w:t>倍，比较狭窄。场地自</w:t>
      </w:r>
      <w:r>
        <w:rPr>
          <w:spacing w:val="-22"/>
        </w:rPr>
        <w:t xml:space="preserve">然标高为 </w:t>
      </w:r>
      <w:r>
        <w:rPr>
          <w:rFonts w:ascii="Times New Roman" w:eastAsia="Times New Roman" w:hAnsi="Times New Roman"/>
        </w:rPr>
        <w:t>46.10</w:t>
      </w:r>
      <w:r>
        <w:t>—</w:t>
      </w:r>
      <w:r>
        <w:rPr>
          <w:rFonts w:ascii="Times New Roman" w:eastAsia="Times New Roman" w:hAnsi="Times New Roman"/>
        </w:rPr>
        <w:t>46.60m</w:t>
      </w:r>
      <w:r>
        <w:t>，基本平坦。</w:t>
      </w:r>
    </w:p>
    <w:p>
      <w:pPr>
        <w:pStyle w:val="BodyText"/>
        <w:spacing w:line="538" w:lineRule="exact"/>
        <w:ind w:left="770"/>
      </w:pPr>
      <w:r>
        <w:rPr>
          <w:w w:val="100"/>
        </w:rPr>
        <w:t>观众厅平面尺寸为</w:t>
      </w:r>
      <w:r>
        <w:rPr>
          <w:spacing w:val="-134"/>
        </w:rPr>
        <w:t xml:space="preserve"> </w:t>
      </w:r>
      <w:r>
        <w:rPr>
          <w:rFonts w:ascii="Times New Roman" w:eastAsia="Times New Roman" w:hAnsi="Times New Roman"/>
          <w:w w:val="100"/>
        </w:rPr>
        <w:t>24</w:t>
      </w:r>
      <w:r>
        <w:rPr>
          <w:spacing w:val="-4"/>
          <w:w w:val="100"/>
        </w:rPr>
        <w:t>×</w:t>
      </w:r>
      <w:r>
        <w:rPr>
          <w:rFonts w:ascii="Times New Roman" w:eastAsia="Times New Roman" w:hAnsi="Times New Roman"/>
          <w:w w:val="100"/>
        </w:rPr>
        <w:t>42</w:t>
      </w:r>
      <w:r>
        <w:rPr>
          <w:rFonts w:ascii="Times New Roman" w:eastAsia="Times New Roman" w:hAnsi="Times New Roman"/>
          <w:spacing w:val="-4"/>
          <w:w w:val="100"/>
        </w:rPr>
        <w:t>m</w:t>
      </w:r>
      <w:r>
        <w:rPr>
          <w:spacing w:val="-70"/>
          <w:w w:val="100"/>
        </w:rPr>
        <w:t>，檐高</w:t>
      </w:r>
      <w:r>
        <w:rPr>
          <w:spacing w:val="-127"/>
        </w:rPr>
        <w:t xml:space="preserve"> </w:t>
      </w:r>
      <w:r>
        <w:rPr>
          <w:rFonts w:ascii="Times New Roman" w:eastAsia="Times New Roman" w:hAnsi="Times New Roman"/>
          <w:w w:val="100"/>
        </w:rPr>
        <w:t>15.80</w:t>
      </w:r>
      <w:r>
        <w:rPr>
          <w:rFonts w:ascii="Times New Roman" w:eastAsia="Times New Roman" w:hAnsi="Times New Roman"/>
          <w:spacing w:val="-12"/>
          <w:w w:val="100"/>
        </w:rPr>
        <w:t>m</w:t>
      </w:r>
      <w:r>
        <w:rPr>
          <w:spacing w:val="-28"/>
          <w:w w:val="100"/>
        </w:rPr>
        <w:t>。首层地面标高一</w:t>
      </w:r>
      <w:r>
        <w:rPr>
          <w:spacing w:val="-130"/>
        </w:rPr>
        <w:t xml:space="preserve"> </w:t>
      </w:r>
      <w:r>
        <w:rPr>
          <w:rFonts w:ascii="Times New Roman" w:eastAsia="Times New Roman" w:hAnsi="Times New Roman"/>
          <w:w w:val="100"/>
        </w:rPr>
        <w:t>1.10</w:t>
      </w:r>
      <w:r>
        <w:rPr>
          <w:w w:val="100"/>
        </w:rPr>
        <w:t>～</w:t>
      </w:r>
    </w:p>
    <w:p>
      <w:pPr>
        <w:pStyle w:val="BodyText"/>
        <w:spacing w:before="398" w:line="417" w:lineRule="auto"/>
        <w:ind w:left="140" w:right="320"/>
      </w:pPr>
      <w:r>
        <w:t>＋</w:t>
      </w:r>
      <w:r>
        <w:rPr>
          <w:rFonts w:ascii="Times New Roman" w:eastAsia="Times New Roman"/>
        </w:rPr>
        <w:t>0.70m</w:t>
      </w:r>
      <w:r>
        <w:t>，为不等坡度坡面，舞台前有半地下乐池。池座座位的曲率设计，前座以舞台后墙中心为圆心，后座曲率放大。楼座阶梯布置、横向拆线布置，中部留象眼出人口。观众厅的波形顶棚为轻钢龙骨，</w:t>
      </w:r>
    </w:p>
    <w:p>
      <w:pPr>
        <w:spacing w:after="0" w:line="417" w:lineRule="auto"/>
        <w:sectPr>
          <w:pgSz w:w="17860" w:h="25260"/>
          <w:pgMar w:top="1900" w:right="2200" w:bottom="280" w:left="2560" w:header="708" w:footer="708"/>
          <w:pgNumType w:start="2"/>
          <w:cols w:space="708"/>
        </w:sectPr>
      </w:pPr>
    </w:p>
    <w:p>
      <w:pPr>
        <w:pStyle w:val="BodyText"/>
        <w:spacing w:before="20" w:line="417" w:lineRule="auto"/>
        <w:ind w:left="140" w:right="273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防火纸面石膏板吊顶，楼座底的顶棚为钢板网抹灰吊顶；内墙上部为</w:t>
      </w:r>
      <w:r>
        <w:rPr>
          <w:spacing w:val="-22"/>
        </w:rPr>
        <w:t xml:space="preserve">拉条抹灰，下部与后部为五夹板木护墙，部分吸音面层用穿孔五夹板； </w:t>
      </w:r>
      <w:r>
        <w:t>池座与楼座地面都是水泥面层。</w:t>
      </w:r>
    </w:p>
    <w:p>
      <w:pPr>
        <w:pStyle w:val="BodyText"/>
        <w:spacing w:line="417" w:lineRule="auto"/>
        <w:ind w:left="140" w:right="320" w:firstLine="835"/>
      </w:pPr>
      <w:r>
        <w:rPr>
          <w:spacing w:val="-31"/>
        </w:rPr>
        <w:t xml:space="preserve">舞台主台 </w:t>
      </w:r>
      <w:r>
        <w:rPr>
          <w:rFonts w:ascii="Arial" w:eastAsia="Arial" w:hAnsi="Arial"/>
          <w:spacing w:val="-10"/>
        </w:rPr>
        <w:t>24</w:t>
      </w:r>
      <w:r>
        <w:rPr>
          <w:spacing w:val="-10"/>
        </w:rPr>
        <w:t>×</w:t>
      </w:r>
      <w:r>
        <w:rPr>
          <w:rFonts w:ascii="Arial" w:eastAsia="Arial" w:hAnsi="Arial"/>
          <w:spacing w:val="-10"/>
        </w:rPr>
        <w:t>17m</w:t>
      </w:r>
      <w:r>
        <w:rPr>
          <w:spacing w:val="-41"/>
        </w:rPr>
        <w:t xml:space="preserve">，檐高 </w:t>
      </w:r>
      <w:r>
        <w:rPr>
          <w:rFonts w:ascii="Arial" w:eastAsia="Arial" w:hAnsi="Arial"/>
          <w:spacing w:val="-9"/>
        </w:rPr>
        <w:t>21.90m</w:t>
      </w:r>
      <w:r>
        <w:rPr>
          <w:spacing w:val="-33"/>
        </w:rPr>
        <w:t xml:space="preserve">，两侧台 </w:t>
      </w:r>
      <w:r>
        <w:rPr>
          <w:rFonts w:ascii="Arial" w:eastAsia="Arial" w:hAnsi="Arial"/>
        </w:rPr>
        <w:t>9m</w:t>
      </w:r>
      <w:r>
        <w:rPr>
          <w:rFonts w:ascii="Arial" w:eastAsia="Arial" w:hAnsi="Arial"/>
          <w:spacing w:val="-61"/>
        </w:rPr>
        <w:t xml:space="preserve"> </w:t>
      </w:r>
      <w:r>
        <w:rPr>
          <w:spacing w:val="-8"/>
        </w:rPr>
        <w:t>宽。主台台顶设钢</w:t>
      </w:r>
      <w:r>
        <w:rPr>
          <w:spacing w:val="-9"/>
        </w:rPr>
        <w:t>木搁栅，墙上双层跑马天桥；内墙面清水勾缝；台面为双层木地板。</w:t>
      </w:r>
    </w:p>
    <w:p>
      <w:pPr>
        <w:pStyle w:val="BodyText"/>
        <w:tabs>
          <w:tab w:val="left" w:pos="6686"/>
        </w:tabs>
        <w:spacing w:line="417" w:lineRule="auto"/>
        <w:ind w:left="140" w:right="320" w:firstLine="629"/>
      </w:pPr>
      <w:r>
        <w:t>影剧院各部分布置如图</w:t>
      </w:r>
      <w:r>
        <w:rPr>
          <w:spacing w:val="-25"/>
        </w:rPr>
        <w:t xml:space="preserve">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>251</w:t>
        <w:tab/>
      </w:r>
      <w:r>
        <w:t>所示。其它部分的材料作法分别是；公用部分的顶棚为抹灰喷浆或阻燃铝塑板吊顶，油漆墙面，磨</w:t>
      </w:r>
      <w:r>
        <w:rPr>
          <w:spacing w:val="-17"/>
        </w:rPr>
        <w:t>石</w:t>
      </w:r>
      <w:r>
        <w:t>地面。浴厕为水泥石棉板吊顶，瓷砖墙裙，磨石隔断，锦砖防水楼</w:t>
      </w:r>
      <w:r>
        <w:rPr>
          <w:spacing w:val="-17"/>
        </w:rPr>
        <w:t>、</w:t>
      </w:r>
      <w:r>
        <w:t>地面。门厅的部分墙，柱面为大理石镶贴面层。演出辅助用房为一</w:t>
      </w:r>
      <w:r>
        <w:rPr>
          <w:spacing w:val="-17"/>
        </w:rPr>
        <w:t>般</w:t>
      </w:r>
      <w:r>
        <w:t>装修作法。主要外门、主要通道门为铝合金门，观众厅通道门采用</w:t>
      </w:r>
      <w:r>
        <w:rPr>
          <w:spacing w:val="-17"/>
        </w:rPr>
        <w:t>包</w:t>
      </w:r>
      <w:r>
        <w:t>革隔音门，其余均为木门。外窗为钢窗，内窗为木窗。外墙面基本</w:t>
      </w:r>
      <w:r>
        <w:rPr>
          <w:spacing w:val="-17"/>
        </w:rPr>
        <w:t>是</w:t>
      </w:r>
      <w:r>
        <w:t>大分格粘、刷石。南、西人口处的大台阶花岗石铺面。檐口为女儿</w:t>
      </w:r>
      <w:r>
        <w:rPr>
          <w:spacing w:val="-17"/>
        </w:rPr>
        <w:t>墙</w:t>
      </w:r>
      <w:r>
        <w:t>作法。加气混凝土油毡屋面。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9"/>
        </w:rPr>
      </w:pPr>
    </w:p>
    <w:p>
      <w:pPr>
        <w:spacing w:before="0"/>
        <w:ind w:left="860" w:right="0" w:firstLine="0"/>
        <w:jc w:val="left"/>
        <w:rPr>
          <w:sz w:val="36"/>
        </w:rPr>
      </w:pPr>
      <w:r>
        <w:rPr>
          <w:sz w:val="36"/>
        </w:rPr>
        <w:t>图</w:t>
      </w:r>
      <w:r>
        <w:rPr>
          <w:rFonts w:ascii="Arial" w:eastAsia="Arial"/>
          <w:sz w:val="36"/>
        </w:rPr>
        <w:t>2</w:t>
      </w:r>
      <w:r>
        <w:rPr>
          <w:sz w:val="36"/>
        </w:rPr>
        <w:t>－</w:t>
      </w:r>
      <w:r>
        <w:rPr>
          <w:rFonts w:ascii="Arial" w:eastAsia="Arial"/>
          <w:sz w:val="36"/>
        </w:rPr>
        <w:t>251</w:t>
      </w:r>
      <w:r>
        <w:rPr>
          <w:sz w:val="36"/>
        </w:rPr>
        <w:t>首、二层平面及纵剖面图（</w:t>
      </w:r>
      <w:r>
        <w:rPr>
          <w:rFonts w:ascii="Arial" w:eastAsia="Arial"/>
          <w:sz w:val="36"/>
        </w:rPr>
        <w:t>a</w:t>
      </w:r>
      <w:r>
        <w:rPr>
          <w:sz w:val="36"/>
        </w:rPr>
        <w:t>）首层平面</w:t>
      </w:r>
      <w:r>
        <w:rPr>
          <w:rFonts w:ascii="Arial" w:eastAsia="Arial"/>
          <w:sz w:val="36"/>
        </w:rPr>
        <w:t xml:space="preserve">; </w:t>
      </w:r>
      <w:r>
        <w:rPr>
          <w:sz w:val="36"/>
        </w:rPr>
        <w:t>（</w:t>
      </w:r>
      <w:r>
        <w:rPr>
          <w:rFonts w:ascii="Arial" w:eastAsia="Arial"/>
          <w:sz w:val="36"/>
        </w:rPr>
        <w:t>b</w:t>
      </w:r>
      <w:r>
        <w:rPr>
          <w:sz w:val="36"/>
        </w:rPr>
        <w:t>）二层平面</w:t>
      </w:r>
      <w:r>
        <w:rPr>
          <w:rFonts w:ascii="Arial" w:eastAsia="Arial"/>
          <w:sz w:val="36"/>
        </w:rPr>
        <w:t>;</w:t>
      </w:r>
      <w:r>
        <w:rPr>
          <w:sz w:val="36"/>
        </w:rPr>
        <w:t>（</w:t>
      </w:r>
      <w:r>
        <w:rPr>
          <w:rFonts w:ascii="Arial" w:eastAsia="Arial"/>
          <w:sz w:val="36"/>
        </w:rPr>
        <w:t>c</w:t>
      </w:r>
      <w:r>
        <w:rPr>
          <w:sz w:val="36"/>
        </w:rPr>
        <w:t>）纵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2200" w:bottom="280" w:left="2560" w:header="708" w:footer="708"/>
          <w:pgNumType w:start="3"/>
          <w:cols w:space="708"/>
        </w:sectPr>
      </w:pPr>
    </w:p>
    <w:p>
      <w:pPr>
        <w:spacing w:before="36"/>
        <w:ind w:left="5844" w:right="0" w:firstLine="0"/>
        <w:jc w:val="left"/>
        <w:rPr>
          <w:rFonts w:ascii="Arial" w:eastAsia="Arial"/>
          <w:sz w:val="36"/>
        </w:rPr>
      </w:pPr>
      <w:r>
        <w:rPr>
          <w:sz w:val="36"/>
        </w:rPr>
        <w:t>剖面</w:t>
      </w:r>
      <w:r>
        <w:rPr>
          <w:rFonts w:ascii="Arial" w:eastAsia="Arial"/>
          <w:sz w:val="36"/>
        </w:rPr>
        <w:t>;</w:t>
      </w:r>
    </w:p>
    <w:p>
      <w:pPr>
        <w:spacing w:before="8" w:line="242" w:lineRule="auto"/>
        <w:ind w:left="158" w:right="336" w:firstLine="0"/>
        <w:jc w:val="left"/>
        <w:rPr>
          <w:sz w:val="36"/>
        </w:rPr>
      </w:pPr>
      <w:r>
        <w:rPr>
          <w:rFonts w:ascii="Arial" w:eastAsia="Arial" w:hAnsi="Arial"/>
          <w:sz w:val="36"/>
        </w:rPr>
        <w:t>1</w:t>
      </w:r>
      <w:r>
        <w:rPr>
          <w:sz w:val="36"/>
        </w:rPr>
        <w:t>一池座</w:t>
      </w:r>
      <w:r>
        <w:rPr>
          <w:rFonts w:ascii="Arial" w:eastAsia="Arial" w:hAnsi="Arial"/>
          <w:sz w:val="36"/>
        </w:rPr>
        <w:t>;2</w:t>
      </w:r>
      <w:r>
        <w:rPr>
          <w:sz w:val="36"/>
        </w:rPr>
        <w:t>一楼座</w:t>
      </w:r>
      <w:r>
        <w:rPr>
          <w:rFonts w:ascii="Arial" w:eastAsia="Arial" w:hAnsi="Arial"/>
          <w:spacing w:val="-26"/>
          <w:sz w:val="36"/>
        </w:rPr>
        <w:t xml:space="preserve">; </w:t>
      </w:r>
      <w:r>
        <w:rPr>
          <w:rFonts w:ascii="Arial" w:eastAsia="Arial" w:hAnsi="Arial"/>
          <w:spacing w:val="15"/>
          <w:sz w:val="36"/>
        </w:rPr>
        <w:t>3</w:t>
      </w:r>
      <w:r>
        <w:rPr>
          <w:sz w:val="36"/>
        </w:rPr>
        <w:t>一乐池</w:t>
      </w:r>
      <w:r>
        <w:rPr>
          <w:rFonts w:ascii="Arial" w:eastAsia="Arial" w:hAnsi="Arial"/>
          <w:spacing w:val="-26"/>
          <w:sz w:val="36"/>
        </w:rPr>
        <w:t xml:space="preserve">; </w:t>
      </w:r>
      <w:r>
        <w:rPr>
          <w:rFonts w:ascii="Arial" w:eastAsia="Arial" w:hAnsi="Arial"/>
          <w:spacing w:val="15"/>
          <w:sz w:val="36"/>
        </w:rPr>
        <w:t>4</w:t>
      </w:r>
      <w:r>
        <w:rPr>
          <w:sz w:val="36"/>
        </w:rPr>
        <w:t>一舞台</w:t>
      </w:r>
      <w:r>
        <w:rPr>
          <w:rFonts w:ascii="Arial" w:eastAsia="Arial" w:hAnsi="Arial"/>
          <w:sz w:val="36"/>
        </w:rPr>
        <w:t>;5</w:t>
      </w:r>
      <w:r>
        <w:rPr>
          <w:sz w:val="36"/>
        </w:rPr>
        <w:t>一对台上空</w:t>
      </w:r>
      <w:r>
        <w:rPr>
          <w:rFonts w:ascii="Arial" w:eastAsia="Arial" w:hAnsi="Arial"/>
          <w:sz w:val="36"/>
        </w:rPr>
        <w:t>;6</w:t>
      </w:r>
      <w:r>
        <w:rPr>
          <w:sz w:val="36"/>
        </w:rPr>
        <w:t>一后台</w:t>
      </w:r>
      <w:r>
        <w:rPr>
          <w:rFonts w:ascii="Arial" w:eastAsia="Arial" w:hAnsi="Arial"/>
          <w:sz w:val="36"/>
        </w:rPr>
        <w:t>;7</w:t>
      </w:r>
      <w:r>
        <w:rPr>
          <w:sz w:val="36"/>
        </w:rPr>
        <w:t>一后台上空</w:t>
      </w:r>
      <w:r>
        <w:rPr>
          <w:rFonts w:ascii="Arial" w:eastAsia="Arial" w:hAnsi="Arial"/>
          <w:sz w:val="36"/>
        </w:rPr>
        <w:t>;8</w:t>
      </w:r>
      <w:r>
        <w:rPr>
          <w:sz w:val="36"/>
        </w:rPr>
        <w:t>一绘景</w:t>
      </w:r>
      <w:r>
        <w:rPr>
          <w:w w:val="95"/>
          <w:sz w:val="36"/>
        </w:rPr>
        <w:t>间，</w:t>
      </w:r>
      <w:r>
        <w:rPr>
          <w:rFonts w:ascii="Arial" w:eastAsia="Arial" w:hAnsi="Arial"/>
          <w:w w:val="95"/>
          <w:sz w:val="36"/>
        </w:rPr>
        <w:t>9</w:t>
      </w:r>
      <w:r>
        <w:rPr>
          <w:w w:val="95"/>
          <w:sz w:val="36"/>
        </w:rPr>
        <w:t>一绘景间上空；</w:t>
      </w:r>
      <w:r>
        <w:rPr>
          <w:rFonts w:ascii="Arial" w:eastAsia="Arial" w:hAnsi="Arial"/>
          <w:w w:val="95"/>
          <w:sz w:val="36"/>
        </w:rPr>
        <w:t>10</w:t>
      </w:r>
      <w:r>
        <w:rPr>
          <w:w w:val="95"/>
          <w:sz w:val="36"/>
        </w:rPr>
        <w:t>一美工；</w:t>
      </w:r>
      <w:r>
        <w:rPr>
          <w:rFonts w:ascii="Arial" w:eastAsia="Arial" w:hAnsi="Arial"/>
          <w:w w:val="95"/>
          <w:sz w:val="36"/>
        </w:rPr>
        <w:t>11</w:t>
      </w:r>
      <w:r>
        <w:rPr>
          <w:w w:val="95"/>
          <w:sz w:val="36"/>
        </w:rPr>
        <w:t>一道具；</w:t>
      </w:r>
      <w:r>
        <w:rPr>
          <w:rFonts w:ascii="Arial" w:eastAsia="Arial" w:hAnsi="Arial"/>
          <w:w w:val="95"/>
          <w:sz w:val="36"/>
        </w:rPr>
        <w:t>12</w:t>
      </w:r>
      <w:r>
        <w:rPr>
          <w:w w:val="95"/>
          <w:sz w:val="36"/>
        </w:rPr>
        <w:t>一贵宾室；</w:t>
      </w:r>
      <w:r>
        <w:rPr>
          <w:rFonts w:ascii="Arial" w:eastAsia="Arial" w:hAnsi="Arial"/>
          <w:w w:val="95"/>
          <w:sz w:val="36"/>
        </w:rPr>
        <w:t>13</w:t>
      </w:r>
      <w:r>
        <w:rPr>
          <w:w w:val="95"/>
          <w:sz w:val="36"/>
        </w:rPr>
        <w:t>一办公室；</w:t>
      </w:r>
      <w:r>
        <w:rPr>
          <w:rFonts w:ascii="Arial" w:eastAsia="Arial" w:hAnsi="Arial"/>
          <w:w w:val="95"/>
          <w:sz w:val="36"/>
        </w:rPr>
        <w:t>14</w:t>
      </w:r>
      <w:r>
        <w:rPr>
          <w:w w:val="95"/>
          <w:sz w:val="36"/>
        </w:rPr>
        <w:t>一变  电室；</w:t>
      </w:r>
      <w:r>
        <w:rPr>
          <w:rFonts w:ascii="Arial" w:eastAsia="Arial" w:hAnsi="Arial"/>
          <w:w w:val="95"/>
          <w:sz w:val="36"/>
        </w:rPr>
        <w:t>15</w:t>
      </w:r>
      <w:r>
        <w:rPr>
          <w:w w:val="95"/>
          <w:sz w:val="36"/>
        </w:rPr>
        <w:t>一配电；</w:t>
      </w:r>
      <w:r>
        <w:rPr>
          <w:rFonts w:ascii="Arial" w:eastAsia="Arial" w:hAnsi="Arial"/>
          <w:w w:val="95"/>
          <w:sz w:val="36"/>
        </w:rPr>
        <w:t>16</w:t>
      </w:r>
      <w:r>
        <w:rPr>
          <w:w w:val="95"/>
          <w:sz w:val="36"/>
        </w:rPr>
        <w:t>一值班室</w:t>
      </w:r>
      <w:r>
        <w:rPr>
          <w:rFonts w:ascii="Arial" w:eastAsia="Arial" w:hAnsi="Arial"/>
          <w:w w:val="95"/>
          <w:sz w:val="36"/>
        </w:rPr>
        <w:t>18</w:t>
      </w:r>
      <w:r>
        <w:rPr>
          <w:w w:val="95"/>
          <w:sz w:val="36"/>
        </w:rPr>
        <w:t>一化妆室；</w:t>
      </w:r>
      <w:r>
        <w:rPr>
          <w:rFonts w:ascii="Arial" w:eastAsia="Arial" w:hAnsi="Arial"/>
          <w:w w:val="95"/>
          <w:sz w:val="36"/>
        </w:rPr>
        <w:t>19</w:t>
      </w:r>
      <w:r>
        <w:rPr>
          <w:w w:val="95"/>
          <w:sz w:val="36"/>
        </w:rPr>
        <w:t>一盥洗室；</w:t>
      </w:r>
      <w:r>
        <w:rPr>
          <w:rFonts w:ascii="Arial" w:eastAsia="Arial" w:hAnsi="Arial"/>
          <w:w w:val="95"/>
          <w:sz w:val="36"/>
        </w:rPr>
        <w:t>20</w:t>
      </w:r>
      <w:r>
        <w:rPr>
          <w:w w:val="95"/>
          <w:sz w:val="36"/>
        </w:rPr>
        <w:t>一男厕；</w:t>
      </w:r>
      <w:r>
        <w:rPr>
          <w:rFonts w:ascii="Arial" w:eastAsia="Arial" w:hAnsi="Arial"/>
          <w:w w:val="95"/>
          <w:sz w:val="36"/>
        </w:rPr>
        <w:t>21</w:t>
      </w:r>
      <w:r>
        <w:rPr>
          <w:spacing w:val="-4"/>
          <w:w w:val="95"/>
          <w:sz w:val="36"/>
        </w:rPr>
        <w:t xml:space="preserve">一女间； </w:t>
      </w:r>
      <w:r>
        <w:rPr>
          <w:rFonts w:ascii="Arial" w:eastAsia="Arial" w:hAnsi="Arial"/>
          <w:sz w:val="36"/>
        </w:rPr>
        <w:t>22</w:t>
      </w:r>
      <w:r>
        <w:rPr>
          <w:sz w:val="36"/>
        </w:rPr>
        <w:t>一浴室；</w:t>
      </w:r>
      <w:r>
        <w:rPr>
          <w:rFonts w:ascii="Arial" w:eastAsia="Arial" w:hAnsi="Arial"/>
          <w:sz w:val="36"/>
        </w:rPr>
        <w:t>23</w:t>
      </w:r>
      <w:r>
        <w:rPr>
          <w:sz w:val="36"/>
        </w:rPr>
        <w:t>一美工；</w:t>
      </w:r>
      <w:r>
        <w:rPr>
          <w:rFonts w:ascii="Arial" w:eastAsia="Arial" w:hAnsi="Arial"/>
          <w:sz w:val="36"/>
        </w:rPr>
        <w:t>24</w:t>
      </w:r>
      <w:r>
        <w:rPr>
          <w:sz w:val="36"/>
        </w:rPr>
        <w:t>—楼梯；</w:t>
      </w:r>
      <w:r>
        <w:rPr>
          <w:rFonts w:ascii="Arial" w:eastAsia="Arial" w:hAnsi="Arial"/>
          <w:sz w:val="36"/>
        </w:rPr>
        <w:t>25</w:t>
      </w:r>
      <w:r>
        <w:rPr>
          <w:sz w:val="36"/>
        </w:rPr>
        <w:t>—门厅；</w:t>
      </w:r>
      <w:r>
        <w:rPr>
          <w:rFonts w:ascii="Arial" w:eastAsia="Arial" w:hAnsi="Arial"/>
          <w:sz w:val="36"/>
        </w:rPr>
        <w:t>26</w:t>
      </w:r>
      <w:r>
        <w:rPr>
          <w:sz w:val="36"/>
        </w:rPr>
        <w:t>—休息厅；</w:t>
      </w:r>
      <w:r>
        <w:rPr>
          <w:rFonts w:ascii="Arial" w:eastAsia="Arial" w:hAnsi="Arial"/>
          <w:sz w:val="36"/>
        </w:rPr>
        <w:t>27</w:t>
      </w:r>
      <w:r>
        <w:rPr>
          <w:sz w:val="36"/>
        </w:rPr>
        <w:t>一风井</w:t>
      </w:r>
    </w:p>
    <w:p>
      <w:pPr>
        <w:pStyle w:val="BodyText"/>
        <w:spacing w:before="4"/>
        <w:rPr>
          <w:sz w:val="48"/>
        </w:rPr>
      </w:pPr>
    </w:p>
    <w:p>
      <w:pPr>
        <w:pStyle w:val="BodyText"/>
        <w:spacing w:line="417" w:lineRule="auto"/>
        <w:ind w:left="140" w:right="278" w:firstLine="835"/>
      </w:pPr>
      <w:r>
        <w:rPr>
          <w:spacing w:val="-22"/>
        </w:rPr>
        <w:t xml:space="preserve">本工程采用集中供暖、集中送风方式。消防设施有：台口防火幕， </w:t>
      </w:r>
      <w:r>
        <w:rPr>
          <w:spacing w:val="1"/>
        </w:rPr>
        <w:t>舞台钢屋架侧端的下悬式排烟窗，舞台顶的喷水灭火系统和</w:t>
      </w:r>
      <w:r>
        <w:rPr>
          <w:rFonts w:ascii="Arial" w:eastAsia="Arial"/>
        </w:rPr>
        <w:t xml:space="preserve">12t </w:t>
      </w:r>
      <w:r>
        <w:t>消防水箱。全部钢屋架构件的金属表面均以防火涂料保护。</w:t>
      </w:r>
    </w:p>
    <w:p>
      <w:pPr>
        <w:pStyle w:val="BodyText"/>
        <w:spacing w:line="417" w:lineRule="auto"/>
        <w:ind w:left="140" w:right="429" w:firstLine="835"/>
        <w:jc w:val="both"/>
      </w:pPr>
      <w:r>
        <w:rPr>
          <w:spacing w:val="1"/>
          <w:w w:val="95"/>
        </w:rPr>
        <w:t xml:space="preserve">舞台地下室底深一 </w:t>
      </w:r>
      <w:r>
        <w:rPr>
          <w:rFonts w:ascii="Arial" w:eastAsia="Arial" w:hAnsi="Arial"/>
          <w:spacing w:val="-7"/>
          <w:w w:val="95"/>
        </w:rPr>
        <w:t>3</w:t>
      </w:r>
      <w:r>
        <w:rPr>
          <w:spacing w:val="-7"/>
          <w:w w:val="95"/>
        </w:rPr>
        <w:t>．</w:t>
      </w:r>
      <w:r>
        <w:rPr>
          <w:rFonts w:ascii="Arial" w:eastAsia="Arial" w:hAnsi="Arial"/>
          <w:spacing w:val="-7"/>
          <w:w w:val="95"/>
        </w:rPr>
        <w:t>40m</w:t>
      </w:r>
      <w:r>
        <w:rPr>
          <w:spacing w:val="-7"/>
          <w:w w:val="95"/>
        </w:rPr>
        <w:t>，</w:t>
      </w:r>
      <w:r>
        <w:rPr>
          <w:rFonts w:ascii="Arial" w:eastAsia="Arial" w:hAnsi="Arial"/>
          <w:spacing w:val="-7"/>
          <w:w w:val="95"/>
        </w:rPr>
        <w:t xml:space="preserve">300mm </w:t>
      </w:r>
      <w:r>
        <w:rPr>
          <w:spacing w:val="-1"/>
          <w:w w:val="95"/>
        </w:rPr>
        <w:t>厚钢筋混凝土底板，</w:t>
      </w:r>
      <w:r>
        <w:rPr>
          <w:rFonts w:ascii="Arial" w:eastAsia="Arial" w:hAnsi="Arial"/>
          <w:spacing w:val="-6"/>
          <w:w w:val="95"/>
        </w:rPr>
        <w:t xml:space="preserve">200mm </w:t>
      </w:r>
      <w:r>
        <w:t>厚混凝土外墙，</w:t>
      </w:r>
      <w:r>
        <w:rPr>
          <w:rFonts w:ascii="Arial" w:eastAsia="Arial" w:hAnsi="Arial"/>
        </w:rPr>
        <w:t xml:space="preserve">360mm </w:t>
      </w:r>
      <w:r>
        <w:t>宽内砖墙，预制人防顶板覆以现浇叠合层。</w:t>
      </w:r>
      <w:r>
        <w:rPr>
          <w:spacing w:val="-10"/>
        </w:rPr>
        <w:t>北部基础为钢筋混凝土条基，带构造柱的砖砌大放脚基础墙，与地下</w:t>
      </w:r>
      <w:r>
        <w:rPr>
          <w:spacing w:val="-16"/>
        </w:rPr>
        <w:t>室之间设沉降缝。观众厅、门厅、裙房均采用加大柱基面积的钢筋混</w:t>
      </w:r>
      <w:r>
        <w:rPr>
          <w:spacing w:val="3"/>
          <w:w w:val="95"/>
        </w:rPr>
        <w:t xml:space="preserve">凝土条形基础。基础埋深一 </w:t>
      </w:r>
      <w:r>
        <w:rPr>
          <w:rFonts w:ascii="Arial" w:eastAsia="Arial" w:hAnsi="Arial"/>
          <w:w w:val="95"/>
        </w:rPr>
        <w:t>2.80</w:t>
      </w:r>
      <w:r>
        <w:rPr>
          <w:spacing w:val="43"/>
          <w:w w:val="95"/>
        </w:rPr>
        <w:t xml:space="preserve">—一 </w:t>
      </w:r>
      <w:r>
        <w:rPr>
          <w:rFonts w:ascii="Arial" w:eastAsia="Arial" w:hAnsi="Arial"/>
          <w:w w:val="95"/>
        </w:rPr>
        <w:t>3.40m</w:t>
      </w:r>
      <w:r>
        <w:rPr>
          <w:w w:val="95"/>
        </w:rPr>
        <w:t>，高差以台阶调整，基底</w:t>
      </w:r>
      <w:r>
        <w:t>落在三层亚砂土上。地质勘探报告记述。</w:t>
      </w:r>
    </w:p>
    <w:p>
      <w:pPr>
        <w:pStyle w:val="BodyText"/>
        <w:spacing w:line="417" w:lineRule="auto"/>
        <w:ind w:left="140" w:right="496" w:firstLine="835"/>
        <w:jc w:val="both"/>
      </w:pPr>
      <w:r>
        <w:rPr>
          <w:w w:val="95"/>
        </w:rPr>
        <w:t xml:space="preserve">地下水位为一 </w:t>
      </w:r>
      <w:r>
        <w:rPr>
          <w:rFonts w:ascii="Arial" w:eastAsia="Arial"/>
          <w:w w:val="95"/>
        </w:rPr>
        <w:t>3.80m=43.55m</w:t>
      </w:r>
      <w:r>
        <w:rPr>
          <w:w w:val="95"/>
        </w:rPr>
        <w:t>，雨季有少量地表层滞水，地下水</w:t>
      </w:r>
      <w:r>
        <w:t>无侵蚀性。</w:t>
      </w:r>
    </w:p>
    <w:p>
      <w:pPr>
        <w:pStyle w:val="BodyText"/>
        <w:spacing w:line="417" w:lineRule="auto"/>
        <w:ind w:left="140" w:right="419" w:firstLine="835"/>
        <w:jc w:val="both"/>
      </w:pPr>
      <w:r>
        <w:rPr>
          <w:spacing w:val="-8"/>
        </w:rPr>
        <w:t>北部演出准备部分是设有构造柱的三层砖混结构，预应力圆孔楼</w:t>
      </w:r>
      <w:r>
        <w:rPr>
          <w:spacing w:val="-16"/>
        </w:rPr>
        <w:t xml:space="preserve">板，大间设预制进深梁，纵横墙混合承重，墙厚 </w:t>
      </w:r>
      <w:r>
        <w:rPr>
          <w:rFonts w:ascii="Arial" w:eastAsia="Arial"/>
        </w:rPr>
        <w:t>360mm</w:t>
      </w:r>
      <w:r>
        <w:rPr>
          <w:rFonts w:ascii="Arial" w:eastAsia="Arial"/>
          <w:spacing w:val="-81"/>
        </w:rPr>
        <w:t xml:space="preserve"> </w:t>
      </w:r>
      <w:r>
        <w:rPr>
          <w:spacing w:val="-86"/>
        </w:rPr>
        <w:t xml:space="preserve">或 </w:t>
      </w:r>
      <w:r>
        <w:rPr>
          <w:rFonts w:ascii="Arial" w:eastAsia="Arial"/>
          <w:spacing w:val="-5"/>
        </w:rPr>
        <w:t>240mm</w:t>
      </w:r>
      <w:r>
        <w:rPr>
          <w:spacing w:val="-5"/>
        </w:rPr>
        <w:t xml:space="preserve">， </w:t>
      </w:r>
      <w:r>
        <w:t>层层设圈梁。其余部分均为现浇框架结构，</w:t>
      </w:r>
      <w:r>
        <w:rPr>
          <w:rFonts w:ascii="Arial" w:eastAsia="Arial"/>
        </w:rPr>
        <w:t xml:space="preserve">240mm </w:t>
      </w:r>
      <w:r>
        <w:t>厚填充砖墙，外</w:t>
      </w:r>
      <w:r>
        <w:rPr>
          <w:spacing w:val="-24"/>
        </w:rPr>
        <w:t xml:space="preserve">墙内侧加砌 </w:t>
      </w:r>
      <w:r>
        <w:rPr>
          <w:rFonts w:ascii="Arial" w:eastAsia="Arial"/>
        </w:rPr>
        <w:t>100mm</w:t>
      </w:r>
      <w:r>
        <w:rPr>
          <w:rFonts w:ascii="Arial" w:eastAsia="Arial"/>
          <w:spacing w:val="-51"/>
        </w:rPr>
        <w:t xml:space="preserve"> </w:t>
      </w:r>
      <w:r>
        <w:rPr>
          <w:spacing w:val="-28"/>
        </w:rPr>
        <w:t xml:space="preserve">厚加气块。观众厅和主台采用 </w:t>
      </w:r>
      <w:r>
        <w:rPr>
          <w:rFonts w:ascii="Arial" w:eastAsia="Arial"/>
        </w:rPr>
        <w:t xml:space="preserve">24m </w:t>
      </w:r>
      <w:r>
        <w:rPr>
          <w:spacing w:val="-71"/>
        </w:rPr>
        <w:t xml:space="preserve">和 </w:t>
      </w:r>
      <w:r>
        <w:rPr>
          <w:rFonts w:ascii="Arial" w:eastAsia="Arial"/>
        </w:rPr>
        <w:t xml:space="preserve">17m </w:t>
      </w:r>
      <w:r>
        <w:t>跨度的</w:t>
      </w:r>
      <w:r>
        <w:rPr>
          <w:spacing w:val="-2"/>
        </w:rPr>
        <w:t>梯形钢屋架、</w:t>
      </w:r>
      <w:r>
        <w:rPr>
          <w:rFonts w:ascii="Arial" w:eastAsia="Arial"/>
        </w:rPr>
        <w:t xml:space="preserve">6m </w:t>
      </w:r>
      <w:r>
        <w:t>大型屋面板。观众厅二层楼座挑台为现浇钢筋混凝</w:t>
      </w:r>
      <w:r>
        <w:rPr>
          <w:spacing w:val="-17"/>
        </w:rPr>
        <w:t xml:space="preserve">土三角形桁架，现浇钢筋混凝土折线阶梯楼板。本工程按 </w:t>
      </w:r>
      <w:r>
        <w:rPr>
          <w:rFonts w:ascii="Arial" w:eastAsia="Arial"/>
        </w:rPr>
        <w:t xml:space="preserve">8 </w:t>
      </w:r>
      <w:r>
        <w:t>度抗震设防。</w:t>
      </w:r>
    </w:p>
    <w:p>
      <w:pPr>
        <w:pStyle w:val="BodyText"/>
        <w:spacing w:line="537" w:lineRule="exact"/>
        <w:ind w:left="770"/>
      </w:pPr>
      <w:r>
        <w:t xml:space="preserve">本工程主要工程量列于表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>190</w:t>
      </w:r>
      <w:r>
        <w:t>。</w:t>
      </w:r>
    </w:p>
    <w:p>
      <w:pPr>
        <w:spacing w:after="0" w:line="537" w:lineRule="exact"/>
        <w:sectPr>
          <w:pgSz w:w="17860" w:h="25260"/>
          <w:pgMar w:top="1800" w:right="2200" w:bottom="280" w:left="256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Heading2"/>
        <w:spacing w:before="37"/>
      </w:pPr>
      <w:bookmarkStart w:id="1" w:name="_TOC_250019"/>
      <w:bookmarkEnd w:id="1"/>
      <w:r>
        <w:t>二、施工部署</w:t>
      </w:r>
    </w:p>
    <w:p>
      <w:pPr>
        <w:pStyle w:val="Heading1"/>
        <w:numPr>
          <w:ilvl w:val="0"/>
          <w:numId w:val="21"/>
        </w:numPr>
        <w:tabs>
          <w:tab w:val="left" w:pos="1125"/>
        </w:tabs>
        <w:spacing w:before="89" w:after="0" w:line="240" w:lineRule="auto"/>
        <w:ind w:left="1124" w:right="0" w:hanging="744"/>
        <w:jc w:val="left"/>
      </w:pPr>
      <w:bookmarkStart w:id="2" w:name="_TOC_250018"/>
      <w:bookmarkEnd w:id="2"/>
      <w:r>
        <w:t>工期安排</w:t>
      </w:r>
    </w:p>
    <w:p>
      <w:pPr>
        <w:pStyle w:val="BodyText"/>
        <w:spacing w:before="365" w:line="417" w:lineRule="auto"/>
        <w:ind w:left="140" w:right="495" w:firstLine="838"/>
      </w:pPr>
      <w:r>
        <w:rPr>
          <w:spacing w:val="-14"/>
        </w:rPr>
        <w:t>按照部颁工期定额，本工程按二类地区二层影剧院指标，考虑面</w:t>
      </w:r>
      <w:r>
        <w:t>积、抗震等级、构件预制和基础超深等因素，定额工期应为：</w:t>
      </w:r>
    </w:p>
    <w:p>
      <w:pPr>
        <w:pStyle w:val="BodyText"/>
        <w:spacing w:line="537" w:lineRule="exact"/>
        <w:ind w:left="766"/>
      </w:pPr>
      <w:r>
        <w:rPr>
          <w:rFonts w:ascii="Arial" w:eastAsia="Arial" w:hAnsi="Arial"/>
        </w:rPr>
        <w:t>1</w:t>
      </w:r>
      <w:r>
        <w:t>．</w:t>
      </w:r>
      <w:r>
        <w:rPr>
          <w:rFonts w:ascii="Arial" w:eastAsia="Arial" w:hAnsi="Arial"/>
        </w:rPr>
        <w:t>02</w:t>
      </w:r>
      <w:r>
        <w:t>×</w:t>
      </w:r>
      <w:r>
        <w:rPr>
          <w:rFonts w:ascii="Arial" w:eastAsia="Arial" w:hAnsi="Arial"/>
        </w:rPr>
        <w:t>0</w:t>
      </w:r>
      <w:r>
        <w:t>．</w:t>
      </w:r>
      <w:r>
        <w:rPr>
          <w:rFonts w:ascii="Arial" w:eastAsia="Arial" w:hAnsi="Arial"/>
        </w:rPr>
        <w:t>96</w:t>
      </w:r>
      <w:r>
        <w:t>×[</w:t>
      </w:r>
      <w:r>
        <w:rPr>
          <w:rFonts w:ascii="Arial" w:eastAsia="Arial" w:hAnsi="Arial"/>
        </w:rPr>
        <w:t>455</w:t>
      </w:r>
      <w:r>
        <w:t>＋（</w:t>
      </w:r>
      <w:r>
        <w:rPr>
          <w:rFonts w:ascii="Arial" w:eastAsia="Arial" w:hAnsi="Arial"/>
        </w:rPr>
        <w:t xml:space="preserve">455 </w:t>
      </w:r>
      <w:r>
        <w:rPr>
          <w:spacing w:val="-79"/>
        </w:rPr>
        <w:t xml:space="preserve">一 </w:t>
      </w:r>
      <w:r>
        <w:rPr>
          <w:rFonts w:ascii="Arial" w:eastAsia="Arial" w:hAnsi="Arial"/>
        </w:rPr>
        <w:t>415</w:t>
      </w:r>
      <w:r>
        <w:t>）＋</w:t>
      </w:r>
      <w:r>
        <w:rPr>
          <w:rFonts w:ascii="Arial" w:eastAsia="Arial" w:hAnsi="Arial"/>
        </w:rPr>
        <w:t>20]</w:t>
      </w:r>
      <w:r>
        <w:t>＝</w:t>
      </w:r>
      <w:r>
        <w:rPr>
          <w:rFonts w:ascii="Arial" w:eastAsia="Arial" w:hAnsi="Arial"/>
        </w:rPr>
        <w:t>505</w:t>
      </w:r>
      <w:r>
        <w:t>（</w:t>
      </w:r>
      <w:r>
        <w:rPr>
          <w:rFonts w:ascii="Arial" w:eastAsia="Arial" w:hAnsi="Arial"/>
        </w:rPr>
        <w:t>d</w:t>
      </w:r>
      <w:r>
        <w:t>）</w:t>
      </w:r>
    </w:p>
    <w:p>
      <w:pPr>
        <w:pStyle w:val="BodyText"/>
        <w:spacing w:before="7" w:line="930" w:lineRule="atLeast"/>
        <w:ind w:left="140" w:right="229" w:firstLine="835"/>
      </w:pPr>
      <w:r>
        <w:rPr>
          <w:spacing w:val="-12"/>
        </w:rPr>
        <w:t xml:space="preserve">本工程计划施工工期 </w:t>
      </w:r>
      <w:r>
        <w:rPr>
          <w:rFonts w:ascii="Arial" w:eastAsia="Arial"/>
        </w:rPr>
        <w:t xml:space="preserve">16 </w:t>
      </w:r>
      <w:r>
        <w:rPr>
          <w:spacing w:val="-24"/>
        </w:rPr>
        <w:t xml:space="preserve">个月，控制为基础 </w:t>
      </w:r>
      <w:r>
        <w:rPr>
          <w:rFonts w:ascii="Arial" w:eastAsia="Arial"/>
        </w:rPr>
        <w:t xml:space="preserve">3 </w:t>
      </w:r>
      <w:r>
        <w:rPr>
          <w:spacing w:val="-33"/>
        </w:rPr>
        <w:t xml:space="preserve">个月、结构 </w:t>
      </w:r>
      <w:r>
        <w:rPr>
          <w:rFonts w:ascii="Arial" w:eastAsia="Arial"/>
        </w:rPr>
        <w:t xml:space="preserve">7 </w:t>
      </w:r>
      <w:r>
        <w:rPr>
          <w:spacing w:val="-5"/>
        </w:rPr>
        <w:t>个月、</w:t>
      </w:r>
      <w:r>
        <w:rPr>
          <w:spacing w:val="-19"/>
        </w:rPr>
        <w:t xml:space="preserve">装修及整理 </w:t>
      </w:r>
      <w:r>
        <w:rPr>
          <w:rFonts w:ascii="Arial" w:eastAsia="Arial"/>
        </w:rPr>
        <w:t xml:space="preserve">6 </w:t>
      </w:r>
      <w:r>
        <w:t>个月。</w:t>
      </w:r>
    </w:p>
    <w:p>
      <w:pPr>
        <w:pStyle w:val="Heading1"/>
        <w:spacing w:before="143"/>
        <w:ind w:left="1105" w:firstLine="0"/>
      </w:pPr>
      <w:bookmarkStart w:id="3" w:name="_TOC_250017"/>
      <w:r>
        <w:rPr>
          <w:rFonts w:ascii="Arial" w:eastAsia="Arial"/>
        </w:rPr>
        <w:t>2</w:t>
      </w:r>
      <w:bookmarkEnd w:id="3"/>
      <w:r>
        <w:t>、结构施工方案的选择</w:t>
      </w:r>
    </w:p>
    <w:p>
      <w:pPr>
        <w:pStyle w:val="BodyText"/>
        <w:spacing w:before="366" w:line="417" w:lineRule="auto"/>
        <w:ind w:left="140" w:right="496" w:firstLine="835"/>
      </w:pPr>
      <w:r>
        <w:rPr>
          <w:spacing w:val="-8"/>
        </w:rPr>
        <w:t>本工程结构施工方案主要取决于竖向运输方法的确定。根据工程</w:t>
      </w:r>
      <w:r>
        <w:t>对象的特点，施工中竖向运输的组织有多种可能：</w:t>
      </w:r>
    </w:p>
    <w:p>
      <w:pPr>
        <w:pStyle w:val="ListParagraph"/>
        <w:numPr>
          <w:ilvl w:val="1"/>
          <w:numId w:val="21"/>
        </w:numPr>
        <w:tabs>
          <w:tab w:val="left" w:pos="2039"/>
        </w:tabs>
        <w:spacing w:before="0" w:after="0" w:line="417" w:lineRule="auto"/>
        <w:ind w:left="140" w:right="269" w:firstLine="835"/>
        <w:jc w:val="both"/>
        <w:rPr>
          <w:sz w:val="42"/>
        </w:rPr>
      </w:pPr>
      <w:r>
        <w:rPr>
          <w:sz w:val="42"/>
        </w:rPr>
        <w:t xml:space="preserve">外侧布塔：施工安排方便，进度较快。但占地多，要布置 </w:t>
      </w:r>
      <w:r>
        <w:rPr>
          <w:rFonts w:ascii="Arial" w:eastAsia="Arial"/>
          <w:sz w:val="42"/>
        </w:rPr>
        <w:t>2</w:t>
      </w:r>
      <w:r>
        <w:rPr>
          <w:rFonts w:ascii="Arial" w:eastAsia="Arial"/>
          <w:spacing w:val="-28"/>
          <w:sz w:val="42"/>
        </w:rPr>
        <w:t xml:space="preserve"> </w:t>
      </w:r>
      <w:r>
        <w:rPr>
          <w:spacing w:val="-19"/>
          <w:sz w:val="42"/>
        </w:rPr>
        <w:t xml:space="preserve">台塔吊或设置 </w:t>
      </w:r>
      <w:r>
        <w:rPr>
          <w:rFonts w:ascii="Arial" w:eastAsia="Arial"/>
          <w:sz w:val="42"/>
        </w:rPr>
        <w:t>2</w:t>
      </w:r>
      <w:r>
        <w:rPr>
          <w:rFonts w:ascii="Arial" w:eastAsia="Arial"/>
          <w:spacing w:val="-26"/>
          <w:sz w:val="42"/>
        </w:rPr>
        <w:t xml:space="preserve"> </w:t>
      </w:r>
      <w:r>
        <w:rPr>
          <w:spacing w:val="-21"/>
          <w:sz w:val="42"/>
        </w:rPr>
        <w:t xml:space="preserve">个弯道。考虑观众厅的 </w:t>
      </w:r>
      <w:r>
        <w:rPr>
          <w:rFonts w:ascii="Arial" w:eastAsia="Arial"/>
          <w:sz w:val="42"/>
        </w:rPr>
        <w:t>24m</w:t>
      </w:r>
      <w:r>
        <w:rPr>
          <w:rFonts w:ascii="Arial" w:eastAsia="Arial"/>
          <w:spacing w:val="-31"/>
          <w:sz w:val="42"/>
        </w:rPr>
        <w:t xml:space="preserve"> </w:t>
      </w:r>
      <w:r>
        <w:rPr>
          <w:spacing w:val="-31"/>
          <w:sz w:val="42"/>
        </w:rPr>
        <w:t xml:space="preserve">钢屋架 </w:t>
      </w:r>
      <w:r>
        <w:rPr>
          <w:rFonts w:ascii="Arial" w:eastAsia="Arial"/>
          <w:sz w:val="42"/>
        </w:rPr>
        <w:t>5.2t</w:t>
      </w:r>
      <w:r>
        <w:rPr>
          <w:rFonts w:ascii="Arial" w:eastAsia="Arial"/>
          <w:spacing w:val="-32"/>
          <w:sz w:val="42"/>
        </w:rPr>
        <w:t xml:space="preserve"> </w:t>
      </w:r>
      <w:r>
        <w:rPr>
          <w:spacing w:val="-17"/>
          <w:sz w:val="42"/>
        </w:rPr>
        <w:t>重，需在一</w:t>
      </w:r>
      <w:r>
        <w:rPr>
          <w:spacing w:val="23"/>
          <w:sz w:val="42"/>
        </w:rPr>
        <w:t>侧布置</w:t>
      </w:r>
      <w:r>
        <w:rPr>
          <w:rFonts w:ascii="Arial" w:eastAsia="Arial"/>
          <w:sz w:val="42"/>
        </w:rPr>
        <w:t>QT4</w:t>
      </w:r>
      <w:r>
        <w:rPr>
          <w:rFonts w:ascii="Arial" w:eastAsia="Arial"/>
          <w:spacing w:val="-51"/>
          <w:sz w:val="42"/>
        </w:rPr>
        <w:t xml:space="preserve"> </w:t>
      </w:r>
      <w:r>
        <w:rPr>
          <w:spacing w:val="-34"/>
          <w:sz w:val="42"/>
        </w:rPr>
        <w:t xml:space="preserve">塔吊，或两侧用 </w:t>
      </w:r>
      <w:r>
        <w:rPr>
          <w:rFonts w:ascii="Arial" w:eastAsia="Arial"/>
          <w:sz w:val="42"/>
        </w:rPr>
        <w:t>2</w:t>
      </w:r>
      <w:r>
        <w:rPr>
          <w:rFonts w:ascii="Arial" w:eastAsia="Arial"/>
          <w:spacing w:val="-49"/>
          <w:sz w:val="42"/>
        </w:rPr>
        <w:t xml:space="preserve"> </w:t>
      </w:r>
      <w:r>
        <w:rPr>
          <w:spacing w:val="104"/>
          <w:sz w:val="42"/>
        </w:rPr>
        <w:t>台</w:t>
      </w:r>
      <w:r>
        <w:rPr>
          <w:rFonts w:ascii="Arial" w:eastAsia="Arial"/>
          <w:sz w:val="42"/>
        </w:rPr>
        <w:t>TQ50/80</w:t>
      </w:r>
      <w:r>
        <w:rPr>
          <w:rFonts w:ascii="Arial" w:eastAsia="Arial"/>
          <w:spacing w:val="-53"/>
          <w:sz w:val="42"/>
        </w:rPr>
        <w:t xml:space="preserve"> </w:t>
      </w:r>
      <w:r>
        <w:rPr>
          <w:spacing w:val="-2"/>
          <w:sz w:val="42"/>
        </w:rPr>
        <w:t>塔吊以双机抬吊进行吊装。</w:t>
      </w:r>
    </w:p>
    <w:p>
      <w:pPr>
        <w:pStyle w:val="ListParagraph"/>
        <w:numPr>
          <w:ilvl w:val="1"/>
          <w:numId w:val="21"/>
        </w:numPr>
        <w:tabs>
          <w:tab w:val="left" w:pos="2032"/>
        </w:tabs>
        <w:spacing w:before="0" w:after="0" w:line="417" w:lineRule="auto"/>
        <w:ind w:left="140" w:right="271" w:firstLine="835"/>
        <w:jc w:val="both"/>
        <w:rPr>
          <w:sz w:val="42"/>
        </w:rPr>
      </w:pPr>
      <w:r>
        <w:rPr>
          <w:spacing w:val="-7"/>
          <w:sz w:val="42"/>
        </w:rPr>
        <w:t>中间纵向布塔：</w:t>
      </w:r>
      <w:r>
        <w:rPr>
          <w:rFonts w:ascii="Arial" w:eastAsia="Arial"/>
          <w:spacing w:val="-47"/>
          <w:sz w:val="42"/>
        </w:rPr>
        <w:t>1</w:t>
      </w:r>
      <w:r>
        <w:rPr>
          <w:rFonts w:ascii="Arial" w:eastAsia="Arial"/>
          <w:spacing w:val="-49"/>
          <w:sz w:val="42"/>
        </w:rPr>
        <w:t xml:space="preserve"> </w:t>
      </w:r>
      <w:r>
        <w:rPr>
          <w:spacing w:val="104"/>
          <w:sz w:val="42"/>
        </w:rPr>
        <w:t>台</w:t>
      </w:r>
      <w:r>
        <w:rPr>
          <w:rFonts w:ascii="Arial" w:eastAsia="Arial"/>
          <w:sz w:val="42"/>
        </w:rPr>
        <w:t>TQ60</w:t>
      </w:r>
      <w:r>
        <w:rPr>
          <w:sz w:val="42"/>
        </w:rPr>
        <w:t>／</w:t>
      </w:r>
      <w:r>
        <w:rPr>
          <w:rFonts w:ascii="Arial" w:eastAsia="Arial"/>
          <w:sz w:val="42"/>
        </w:rPr>
        <w:t>80</w:t>
      </w:r>
      <w:r>
        <w:rPr>
          <w:rFonts w:ascii="Arial" w:eastAsia="Arial"/>
          <w:spacing w:val="-49"/>
          <w:sz w:val="42"/>
        </w:rPr>
        <w:t xml:space="preserve"> </w:t>
      </w:r>
      <w:r>
        <w:rPr>
          <w:sz w:val="42"/>
        </w:rPr>
        <w:t>塔吊，场地布置紧凑，可满</w:t>
      </w:r>
      <w:r>
        <w:rPr>
          <w:spacing w:val="-20"/>
          <w:sz w:val="42"/>
        </w:rPr>
        <w:t xml:space="preserve">足主要部位的施工材料、构件的吊运；受台口和观众厅人口宽度限制， </w:t>
      </w:r>
      <w:r>
        <w:rPr>
          <w:sz w:val="42"/>
        </w:rPr>
        <w:t>需喂料，吊运幅度大；由于塔臂工作半径限制，需塔吊由北向南逐段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2420" w:right="2200" w:bottom="280" w:left="2560" w:header="708" w:footer="708"/>
          <w:pgNumType w:start="5"/>
          <w:cols w:space="708"/>
        </w:sectPr>
      </w:pPr>
    </w:p>
    <w:p>
      <w:pPr>
        <w:pStyle w:val="BodyText"/>
        <w:spacing w:before="40"/>
        <w:ind w:left="140"/>
      </w:pPr>
      <w:r>
        <w:rPr>
          <w:spacing w:val="13"/>
        </w:rPr>
        <w:t>退出，在</w:t>
      </w:r>
      <w:r>
        <w:rPr>
          <w:rFonts w:ascii="Arial" w:eastAsia="Arial"/>
        </w:rPr>
        <w:t xml:space="preserve">8 </w:t>
      </w:r>
      <w:r>
        <w:rPr>
          <w:spacing w:val="-22"/>
        </w:rPr>
        <w:t xml:space="preserve">轴台口外和 </w:t>
      </w:r>
      <w:r>
        <w:rPr>
          <w:rFonts w:ascii="Arial" w:eastAsia="Arial"/>
        </w:rPr>
        <w:t>14</w:t>
      </w:r>
      <w:r>
        <w:rPr>
          <w:spacing w:val="-51"/>
        </w:rPr>
        <w:t>、</w:t>
      </w:r>
      <w:r>
        <w:rPr>
          <w:rFonts w:ascii="Arial" w:eastAsia="Arial"/>
        </w:rPr>
        <w:t xml:space="preserve">15 </w:t>
      </w:r>
      <w:r>
        <w:t>轴门厅处作两度停留，等候结构封闭。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22"/>
        </w:numPr>
        <w:tabs>
          <w:tab w:val="left" w:pos="2039"/>
        </w:tabs>
        <w:spacing w:before="0" w:after="0" w:line="417" w:lineRule="auto"/>
        <w:ind w:left="140" w:right="529" w:firstLine="835"/>
        <w:jc w:val="left"/>
        <w:rPr>
          <w:sz w:val="42"/>
        </w:rPr>
      </w:pPr>
      <w:r>
        <w:rPr>
          <w:spacing w:val="-1"/>
          <w:sz w:val="42"/>
        </w:rPr>
        <w:t>履带吊：使用灵活，能满足各部位的施工要求；但服务于</w:t>
      </w:r>
      <w:r>
        <w:rPr>
          <w:sz w:val="42"/>
        </w:rPr>
        <w:t>现浇结构，工效较低，综合吊装能力较差，需若干辅助设施配合。</w:t>
      </w:r>
    </w:p>
    <w:p>
      <w:pPr>
        <w:pStyle w:val="ListParagraph"/>
        <w:numPr>
          <w:ilvl w:val="1"/>
          <w:numId w:val="22"/>
        </w:numPr>
        <w:tabs>
          <w:tab w:val="left" w:pos="2039"/>
        </w:tabs>
        <w:spacing w:before="0" w:after="0" w:line="417" w:lineRule="auto"/>
        <w:ind w:left="140" w:right="491" w:firstLine="835"/>
        <w:jc w:val="left"/>
        <w:rPr>
          <w:sz w:val="42"/>
        </w:rPr>
      </w:pPr>
      <w:r>
        <w:rPr>
          <w:w w:val="100"/>
          <w:sz w:val="42"/>
        </w:rPr>
        <w:t>外侧布塔与中间用履带吊结合：本方案兼有</w:t>
      </w:r>
      <w:r>
        <w:rPr>
          <w:spacing w:val="26"/>
          <w:w w:val="100"/>
          <w:sz w:val="42"/>
        </w:rPr>
        <w:t>（</w:t>
      </w:r>
      <w:r>
        <w:rPr>
          <w:rFonts w:ascii="Arial" w:eastAsia="Arial"/>
          <w:spacing w:val="2"/>
          <w:w w:val="90"/>
          <w:sz w:val="42"/>
        </w:rPr>
        <w:t>1</w:t>
      </w:r>
      <w:r>
        <w:rPr>
          <w:spacing w:val="-209"/>
          <w:w w:val="100"/>
          <w:sz w:val="42"/>
        </w:rPr>
        <w:t>）、</w:t>
      </w:r>
      <w:r>
        <w:rPr>
          <w:w w:val="100"/>
          <w:sz w:val="42"/>
        </w:rPr>
        <w:t>（</w:t>
      </w:r>
      <w:r>
        <w:rPr>
          <w:rFonts w:ascii="Arial" w:eastAsia="Arial"/>
          <w:spacing w:val="5"/>
          <w:w w:val="90"/>
          <w:sz w:val="42"/>
        </w:rPr>
        <w:t>2</w:t>
      </w:r>
      <w:r>
        <w:rPr>
          <w:w w:val="100"/>
          <w:sz w:val="42"/>
        </w:rPr>
        <w:t>）</w:t>
      </w:r>
      <w:r>
        <w:rPr>
          <w:spacing w:val="-14"/>
          <w:w w:val="100"/>
          <w:sz w:val="42"/>
        </w:rPr>
        <w:t>方</w:t>
      </w:r>
      <w:r>
        <w:rPr>
          <w:sz w:val="42"/>
        </w:rPr>
        <w:t>案的优点，但机械费用较高。</w:t>
      </w:r>
    </w:p>
    <w:p>
      <w:pPr>
        <w:pStyle w:val="BodyText"/>
        <w:spacing w:line="417" w:lineRule="auto"/>
        <w:ind w:left="140" w:right="269" w:firstLine="835"/>
      </w:pPr>
      <w:r>
        <w:t>分析场地条件、机械供应条件、综合经济技术指标、本单位施工</w:t>
      </w:r>
      <w:r>
        <w:rPr>
          <w:spacing w:val="-7"/>
        </w:rPr>
        <w:t>特点以及合理组织施工力量后达到结构施工工期要求的可能性，本工</w:t>
      </w:r>
      <w:r>
        <w:rPr>
          <w:spacing w:val="-75"/>
          <w:w w:val="100"/>
        </w:rPr>
        <w:t>程采用</w:t>
      </w:r>
      <w:r>
        <w:rPr>
          <w:spacing w:val="-4"/>
          <w:w w:val="100"/>
        </w:rPr>
        <w:t>（</w:t>
      </w:r>
      <w:r>
        <w:rPr>
          <w:rFonts w:ascii="Arial" w:eastAsia="Arial"/>
          <w:spacing w:val="1"/>
          <w:w w:val="90"/>
        </w:rPr>
        <w:t>2</w:t>
      </w:r>
      <w:r>
        <w:rPr>
          <w:spacing w:val="-209"/>
          <w:w w:val="100"/>
        </w:rPr>
        <w:t>）</w:t>
      </w:r>
      <w:r>
        <w:rPr>
          <w:spacing w:val="-53"/>
          <w:w w:val="100"/>
        </w:rPr>
        <w:t>方案，选</w:t>
      </w:r>
      <w:r>
        <w:rPr>
          <w:spacing w:val="-109"/>
        </w:rPr>
        <w:t xml:space="preserve"> </w:t>
      </w:r>
      <w:r>
        <w:rPr>
          <w:rFonts w:ascii="Arial" w:eastAsia="Arial"/>
          <w:w w:val="90"/>
        </w:rPr>
        <w:t>1</w:t>
      </w:r>
      <w:r>
        <w:rPr>
          <w:rFonts w:ascii="Arial" w:eastAsia="Arial"/>
        </w:rPr>
        <w:t xml:space="preserve"> </w:t>
      </w:r>
      <w:r>
        <w:rPr>
          <w:spacing w:val="104"/>
          <w:w w:val="100"/>
        </w:rPr>
        <w:t>台</w:t>
      </w:r>
      <w:r>
        <w:rPr>
          <w:rFonts w:ascii="Arial" w:eastAsia="Arial"/>
          <w:w w:val="93"/>
        </w:rPr>
        <w:t>TQ6</w:t>
      </w:r>
      <w:r>
        <w:rPr>
          <w:rFonts w:ascii="Arial" w:eastAsia="Arial"/>
          <w:spacing w:val="-4"/>
          <w:w w:val="93"/>
        </w:rPr>
        <w:t>0</w:t>
      </w:r>
      <w:r>
        <w:rPr>
          <w:w w:val="100"/>
        </w:rPr>
        <w:t>／</w:t>
      </w:r>
      <w:r>
        <w:rPr>
          <w:rFonts w:ascii="Arial" w:eastAsia="Arial"/>
          <w:w w:val="90"/>
        </w:rPr>
        <w:t>80</w:t>
      </w:r>
      <w:r>
        <w:rPr>
          <w:rFonts w:ascii="Arial" w:eastAsia="Arial"/>
        </w:rPr>
        <w:t xml:space="preserve"> </w:t>
      </w:r>
      <w:r>
        <w:rPr>
          <w:spacing w:val="-28"/>
          <w:w w:val="100"/>
        </w:rPr>
        <w:t>塔式起重机，塔高</w:t>
      </w:r>
      <w:r>
        <w:rPr>
          <w:spacing w:val="-109"/>
        </w:rPr>
        <w:t xml:space="preserve"> </w:t>
      </w:r>
      <w:r>
        <w:rPr>
          <w:rFonts w:ascii="Arial" w:eastAsia="Arial"/>
          <w:w w:val="91"/>
        </w:rPr>
        <w:t>30m</w:t>
      </w:r>
      <w:r>
        <w:rPr>
          <w:rFonts w:ascii="Arial" w:eastAsia="Arial"/>
          <w:spacing w:val="-5"/>
          <w:w w:val="91"/>
        </w:rPr>
        <w:t>,</w:t>
      </w:r>
      <w:r>
        <w:rPr>
          <w:w w:val="100"/>
        </w:rPr>
        <w:t>臂长</w:t>
      </w:r>
      <w:r>
        <w:rPr>
          <w:spacing w:val="-105"/>
        </w:rPr>
        <w:t xml:space="preserve"> </w:t>
      </w:r>
      <w:r>
        <w:rPr>
          <w:rFonts w:ascii="Arial" w:eastAsia="Arial"/>
          <w:w w:val="91"/>
        </w:rPr>
        <w:t>255</w:t>
      </w:r>
      <w:r>
        <w:rPr>
          <w:rFonts w:ascii="Arial" w:eastAsia="Arial"/>
          <w:spacing w:val="-6"/>
          <w:w w:val="91"/>
        </w:rPr>
        <w:t>m</w:t>
      </w:r>
      <w:r>
        <w:rPr>
          <w:w w:val="100"/>
        </w:rPr>
        <w:t>。</w:t>
      </w:r>
      <w:r>
        <w:rPr>
          <w:spacing w:val="-29"/>
        </w:rPr>
        <w:t xml:space="preserve">结构施工阶段，在北、东、西三侧先后立 </w:t>
      </w:r>
      <w:r>
        <w:rPr>
          <w:rFonts w:ascii="Arial" w:eastAsia="Arial"/>
        </w:rPr>
        <w:t xml:space="preserve">3 </w:t>
      </w:r>
      <w:r>
        <w:rPr>
          <w:spacing w:val="-2"/>
        </w:rPr>
        <w:t>套双柱式卷扬机提升装置，</w:t>
      </w:r>
    </w:p>
    <w:p>
      <w:pPr>
        <w:pStyle w:val="BodyText"/>
        <w:spacing w:line="538" w:lineRule="exact"/>
        <w:ind w:left="140"/>
      </w:pPr>
      <w:r>
        <w:t>作为辅助手段。</w:t>
      </w:r>
    </w:p>
    <w:p>
      <w:pPr>
        <w:pStyle w:val="Heading1"/>
        <w:numPr>
          <w:ilvl w:val="0"/>
          <w:numId w:val="14"/>
        </w:numPr>
        <w:tabs>
          <w:tab w:val="left" w:pos="1848"/>
        </w:tabs>
        <w:spacing w:before="136" w:after="0" w:line="240" w:lineRule="auto"/>
        <w:ind w:left="1848" w:right="0" w:hanging="743"/>
        <w:jc w:val="left"/>
        <w:rPr>
          <w:rFonts w:ascii="幼圆" w:eastAsia="幼圆" w:hint="eastAsia"/>
        </w:rPr>
      </w:pPr>
      <w:bookmarkStart w:id="4" w:name="_TOC_250016"/>
      <w:bookmarkEnd w:id="4"/>
      <w:r>
        <w:rPr>
          <w:rFonts w:ascii="幼圆" w:eastAsia="幼圆" w:hint="eastAsia"/>
        </w:rPr>
        <w:t>施工段的划分</w:t>
      </w:r>
    </w:p>
    <w:p>
      <w:pPr>
        <w:pStyle w:val="BodyText"/>
        <w:tabs>
          <w:tab w:val="left" w:pos="10495"/>
        </w:tabs>
        <w:spacing w:before="365" w:line="417" w:lineRule="auto"/>
        <w:ind w:left="140" w:right="269" w:firstLine="835"/>
      </w:pPr>
      <w:r>
        <w:t>本工程为无节奏流水</w:t>
      </w:r>
      <w:r>
        <w:rPr>
          <w:spacing w:val="-148"/>
        </w:rPr>
        <w:t>。</w:t>
      </w:r>
      <w:r>
        <w:t>根据垂直运输方案提供的条件和工程结构部位的可分特征，为保证施工实施，尽可能缩短工期，并使工具与劳动力均衡投入</w:t>
      </w:r>
      <w:r>
        <w:rPr>
          <w:spacing w:val="-76"/>
        </w:rPr>
        <w:t>，</w:t>
      </w:r>
      <w:r>
        <w:t>划分施工段如图</w:t>
      </w:r>
      <w:r>
        <w:rPr>
          <w:spacing w:val="-139"/>
        </w:rPr>
        <w:t xml:space="preserve">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>252</w:t>
      </w:r>
      <w:r>
        <w:rPr>
          <w:rFonts w:ascii="Arial" w:eastAsia="Arial"/>
          <w:spacing w:val="-41"/>
        </w:rPr>
        <w:t xml:space="preserve"> </w:t>
      </w:r>
      <w:r>
        <w:t>所示</w:t>
      </w:r>
      <w:r>
        <w:rPr>
          <w:spacing w:val="-72"/>
        </w:rPr>
        <w:t>。</w:t>
      </w:r>
      <w:r>
        <w:t>本工程结构施工阶段</w:t>
      </w:r>
      <w:r>
        <w:rPr>
          <w:spacing w:val="-17"/>
        </w:rPr>
        <w:t xml:space="preserve">， </w:t>
      </w:r>
      <w:r>
        <w:t>工种间工序穿插较多，为方便组织生产，流水工序不宜划分过细。如以满足操作面展开为条件，可将施工段分成较小的队</w:t>
      </w:r>
      <w:r>
        <w:rPr>
          <w:spacing w:val="38"/>
        </w:rPr>
        <w:t xml:space="preserve"> </w:t>
      </w:r>
      <w:r>
        <w:rPr>
          <w:rFonts w:ascii="Arial" w:eastAsia="Arial"/>
        </w:rPr>
        <w:t>1</w:t>
        <w:tab/>
      </w:r>
      <w:r>
        <w:t>段的部分工序施工时，尚须再分小段流水施工。</w:t>
      </w:r>
    </w:p>
    <w:p>
      <w:pPr>
        <w:spacing w:after="0" w:line="417" w:lineRule="auto"/>
        <w:sectPr>
          <w:pgSz w:w="17860" w:h="25260"/>
          <w:pgMar w:top="1940" w:right="2200" w:bottom="280" w:left="256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95"/>
        <w:ind w:left="1049" w:right="766"/>
        <w:jc w:val="center"/>
      </w:pPr>
      <w:r>
        <w:rPr>
          <w:spacing w:val="-54"/>
        </w:rPr>
        <w:t xml:space="preserve">图 </w:t>
      </w:r>
      <w:r>
        <w:rPr>
          <w:rFonts w:ascii="Arial" w:eastAsia="Arial"/>
        </w:rPr>
        <w:t xml:space="preserve">2 </w:t>
      </w:r>
      <w:r>
        <w:rPr>
          <w:spacing w:val="-54"/>
        </w:rPr>
        <w:t xml:space="preserve">一 </w:t>
      </w:r>
      <w:r>
        <w:rPr>
          <w:rFonts w:ascii="Arial" w:eastAsia="Arial"/>
        </w:rPr>
        <w:t xml:space="preserve">5 </w:t>
      </w:r>
      <w:r>
        <w:t>流水段划分平面示意图</w:t>
      </w:r>
    </w:p>
    <w:p>
      <w:pPr>
        <w:pStyle w:val="Heading1"/>
        <w:numPr>
          <w:ilvl w:val="0"/>
          <w:numId w:val="23"/>
        </w:numPr>
        <w:tabs>
          <w:tab w:val="left" w:pos="1848"/>
        </w:tabs>
        <w:spacing w:before="137" w:after="0" w:line="240" w:lineRule="auto"/>
        <w:ind w:left="1848" w:right="0" w:hanging="747"/>
        <w:jc w:val="left"/>
      </w:pPr>
      <w:bookmarkStart w:id="5" w:name="_TOC_250015"/>
      <w:bookmarkEnd w:id="5"/>
      <w:r>
        <w:t>基础施工顺序</w:t>
      </w:r>
    </w:p>
    <w:p>
      <w:pPr>
        <w:pStyle w:val="BodyText"/>
        <w:spacing w:before="365"/>
        <w:ind w:left="770"/>
      </w:pPr>
      <w:r>
        <w:t xml:space="preserve">基础施工顺序如图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 xml:space="preserve">253 </w:t>
      </w:r>
      <w:r>
        <w:t>所示。</w:t>
      </w:r>
    </w:p>
    <w:p>
      <w:pPr>
        <w:pStyle w:val="Heading1"/>
        <w:numPr>
          <w:ilvl w:val="0"/>
          <w:numId w:val="23"/>
        </w:numPr>
        <w:tabs>
          <w:tab w:val="left" w:pos="1848"/>
        </w:tabs>
        <w:spacing w:before="138" w:after="0" w:line="240" w:lineRule="auto"/>
        <w:ind w:left="1848" w:right="0" w:hanging="747"/>
        <w:jc w:val="left"/>
      </w:pPr>
      <w:bookmarkStart w:id="6" w:name="_TOC_250014"/>
      <w:bookmarkEnd w:id="6"/>
      <w:r>
        <w:t>结构施工顺序</w:t>
      </w:r>
    </w:p>
    <w:p>
      <w:pPr>
        <w:pStyle w:val="BodyText"/>
        <w:spacing w:before="366"/>
        <w:ind w:left="770"/>
      </w:pPr>
      <w:r>
        <w:t>结构施工原则：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1827"/>
        </w:tabs>
        <w:spacing w:before="1" w:after="0" w:line="240" w:lineRule="auto"/>
        <w:ind w:left="1826" w:right="0" w:hanging="1057"/>
        <w:jc w:val="left"/>
        <w:rPr>
          <w:sz w:val="42"/>
        </w:rPr>
      </w:pPr>
      <w:r>
        <w:rPr>
          <w:sz w:val="42"/>
        </w:rPr>
        <w:t>提前为舞台、观众厅屋顶吊装创造条件；</w:t>
      </w:r>
    </w:p>
    <w:p>
      <w:pPr>
        <w:pStyle w:val="ListParagraph"/>
        <w:numPr>
          <w:ilvl w:val="0"/>
          <w:numId w:val="13"/>
        </w:numPr>
        <w:tabs>
          <w:tab w:val="left" w:pos="1827"/>
        </w:tabs>
        <w:spacing w:before="398" w:after="0" w:line="240" w:lineRule="auto"/>
        <w:ind w:left="1826" w:right="0" w:hanging="1057"/>
        <w:jc w:val="left"/>
        <w:rPr>
          <w:sz w:val="42"/>
        </w:rPr>
      </w:pPr>
      <w:r>
        <w:rPr>
          <w:sz w:val="42"/>
        </w:rPr>
        <w:t>避免在施施工面相互干挠；</w:t>
      </w:r>
    </w:p>
    <w:p>
      <w:pPr>
        <w:pStyle w:val="ListParagraph"/>
        <w:numPr>
          <w:ilvl w:val="0"/>
          <w:numId w:val="13"/>
        </w:numPr>
        <w:tabs>
          <w:tab w:val="left" w:pos="1827"/>
        </w:tabs>
        <w:spacing w:before="397" w:after="0" w:line="240" w:lineRule="auto"/>
        <w:ind w:left="1826" w:right="0" w:hanging="1057"/>
        <w:jc w:val="left"/>
        <w:rPr>
          <w:sz w:val="42"/>
        </w:rPr>
      </w:pPr>
      <w:r>
        <w:rPr>
          <w:sz w:val="42"/>
        </w:rPr>
        <w:t>充分利用辅助的竖向运输设施；</w:t>
      </w:r>
    </w:p>
    <w:p>
      <w:pPr>
        <w:pStyle w:val="ListParagraph"/>
        <w:numPr>
          <w:ilvl w:val="0"/>
          <w:numId w:val="13"/>
        </w:numPr>
        <w:tabs>
          <w:tab w:val="left" w:pos="1827"/>
        </w:tabs>
        <w:spacing w:before="398" w:after="0" w:line="240" w:lineRule="auto"/>
        <w:ind w:left="1826" w:right="0" w:hanging="1057"/>
        <w:jc w:val="left"/>
        <w:rPr>
          <w:sz w:val="42"/>
        </w:rPr>
      </w:pPr>
      <w:r>
        <w:rPr>
          <w:sz w:val="42"/>
        </w:rPr>
        <w:t>施工装备转移方便；</w:t>
      </w:r>
    </w:p>
    <w:p>
      <w:pPr>
        <w:pStyle w:val="ListParagraph"/>
        <w:numPr>
          <w:ilvl w:val="0"/>
          <w:numId w:val="13"/>
        </w:numPr>
        <w:tabs>
          <w:tab w:val="left" w:pos="1827"/>
        </w:tabs>
        <w:spacing w:before="68" w:after="0" w:line="938" w:lineRule="exact"/>
        <w:ind w:left="770" w:right="4111" w:firstLine="0"/>
        <w:jc w:val="left"/>
        <w:rPr>
          <w:sz w:val="42"/>
        </w:rPr>
      </w:pPr>
      <w:r>
        <w:rPr>
          <w:spacing w:val="-1"/>
          <w:sz w:val="42"/>
        </w:rPr>
        <w:t>为部分装修工程提前插人创造工作面。</w:t>
      </w:r>
      <w:r>
        <w:rPr>
          <w:spacing w:val="-13"/>
          <w:sz w:val="42"/>
        </w:rPr>
        <w:t xml:space="preserve">结构施工顺序如图 </w:t>
      </w:r>
      <w:r>
        <w:rPr>
          <w:rFonts w:ascii="Arial" w:eastAsia="Arial"/>
          <w:sz w:val="42"/>
        </w:rPr>
        <w:t>2</w:t>
      </w:r>
      <w:r>
        <w:rPr>
          <w:sz w:val="42"/>
        </w:rPr>
        <w:t>－</w:t>
      </w:r>
      <w:r>
        <w:rPr>
          <w:rFonts w:ascii="Arial" w:eastAsia="Arial"/>
          <w:sz w:val="42"/>
        </w:rPr>
        <w:t>254</w:t>
      </w:r>
      <w:r>
        <w:rPr>
          <w:rFonts w:ascii="Arial" w:eastAsia="Arial"/>
          <w:spacing w:val="-15"/>
          <w:sz w:val="42"/>
        </w:rPr>
        <w:t xml:space="preserve"> </w:t>
      </w:r>
      <w:r>
        <w:rPr>
          <w:sz w:val="42"/>
        </w:rPr>
        <w:t>所示。</w:t>
      </w:r>
    </w:p>
    <w:p>
      <w:pPr>
        <w:pStyle w:val="Heading1"/>
        <w:numPr>
          <w:ilvl w:val="0"/>
          <w:numId w:val="23"/>
        </w:numPr>
        <w:tabs>
          <w:tab w:val="left" w:pos="1848"/>
        </w:tabs>
        <w:spacing w:before="67" w:after="0" w:line="240" w:lineRule="auto"/>
        <w:ind w:left="1848" w:right="0" w:hanging="747"/>
        <w:jc w:val="left"/>
      </w:pPr>
      <w:bookmarkStart w:id="7" w:name="_TOC_250013"/>
      <w:bookmarkEnd w:id="7"/>
      <w:r>
        <w:t>装修施工顺序</w:t>
      </w:r>
    </w:p>
    <w:p>
      <w:pPr>
        <w:pStyle w:val="BodyText"/>
        <w:spacing w:before="365"/>
        <w:ind w:left="770"/>
      </w:pPr>
      <w:r>
        <w:t>装修施工的原则是：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827"/>
        </w:tabs>
        <w:spacing w:before="0" w:after="0" w:line="240" w:lineRule="auto"/>
        <w:ind w:left="1826" w:right="0" w:hanging="1057"/>
        <w:jc w:val="left"/>
        <w:rPr>
          <w:sz w:val="42"/>
        </w:rPr>
      </w:pPr>
      <w:r>
        <w:rPr>
          <w:sz w:val="42"/>
        </w:rPr>
        <w:t>以舞台、观众厅为中心，统一调度周围部分的装修进度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2420" w:right="2200" w:bottom="280" w:left="256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1827"/>
        </w:tabs>
        <w:spacing w:before="80" w:after="0" w:line="240" w:lineRule="auto"/>
        <w:ind w:left="1826" w:right="0" w:hanging="1057"/>
        <w:jc w:val="left"/>
        <w:rPr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外墙和屋顶应配合室内施工的要求和竖向运输进行安排</w:t>
      </w:r>
    </w:p>
    <w:p>
      <w:pPr>
        <w:pStyle w:val="ListParagraph"/>
        <w:numPr>
          <w:ilvl w:val="0"/>
          <w:numId w:val="12"/>
        </w:numPr>
        <w:tabs>
          <w:tab w:val="left" w:pos="1827"/>
        </w:tabs>
        <w:spacing w:before="398" w:after="0" w:line="417" w:lineRule="auto"/>
        <w:ind w:left="770" w:right="2848" w:firstLine="0"/>
        <w:jc w:val="left"/>
        <w:rPr>
          <w:sz w:val="42"/>
        </w:rPr>
      </w:pPr>
      <w:r>
        <w:rPr>
          <w:spacing w:val="-1"/>
          <w:sz w:val="42"/>
        </w:rPr>
        <w:t>协调各工作面的土建装修与设备安装的交叉。</w:t>
      </w:r>
      <w:r>
        <w:rPr>
          <w:spacing w:val="-13"/>
          <w:sz w:val="42"/>
        </w:rPr>
        <w:t xml:space="preserve">装修施工顺序如图 </w:t>
      </w:r>
      <w:r>
        <w:rPr>
          <w:rFonts w:ascii="Arial" w:eastAsia="Arial" w:hAnsi="Arial"/>
          <w:sz w:val="42"/>
        </w:rPr>
        <w:t>2</w:t>
      </w:r>
      <w:r>
        <w:rPr>
          <w:sz w:val="42"/>
        </w:rPr>
        <w:t>—</w:t>
      </w:r>
      <w:r>
        <w:rPr>
          <w:rFonts w:ascii="Arial" w:eastAsia="Arial" w:hAnsi="Arial"/>
          <w:sz w:val="42"/>
        </w:rPr>
        <w:t>255</w:t>
      </w:r>
      <w:r>
        <w:rPr>
          <w:rFonts w:ascii="Arial" w:eastAsia="Arial" w:hAnsi="Arial"/>
          <w:spacing w:val="-13"/>
          <w:sz w:val="42"/>
        </w:rPr>
        <w:t xml:space="preserve"> </w:t>
      </w:r>
      <w:r>
        <w:rPr>
          <w:sz w:val="42"/>
        </w:rPr>
        <w:t>所示。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9"/>
        </w:rPr>
      </w:pPr>
    </w:p>
    <w:p>
      <w:pPr>
        <w:pStyle w:val="BodyText"/>
        <w:ind w:left="4479"/>
      </w:pPr>
      <w:r>
        <w:rPr>
          <w:spacing w:val="-55"/>
        </w:rPr>
        <w:t xml:space="preserve">图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 xml:space="preserve">253 </w:t>
      </w:r>
      <w:r>
        <w:t>基础施工顺序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61"/>
        </w:rPr>
      </w:pPr>
    </w:p>
    <w:p>
      <w:pPr>
        <w:pStyle w:val="BodyText"/>
        <w:ind w:left="4270"/>
      </w:pPr>
      <w:r>
        <w:t>图2—254结构施工顺序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193" w:right="766"/>
        <w:jc w:val="center"/>
      </w:pPr>
      <w:r>
        <w:t>图2—255舞台、观众厅部分结构施工顺序</w:t>
      </w:r>
    </w:p>
    <w:p>
      <w:pPr>
        <w:spacing w:after="0"/>
        <w:jc w:val="center"/>
        <w:sectPr>
          <w:pgSz w:w="17860" w:h="25260"/>
          <w:pgMar w:top="1900" w:right="2200" w:bottom="280" w:left="2560" w:header="708" w:footer="708"/>
          <w:pgNumType w:start="8"/>
          <w:cols w:space="708"/>
        </w:sectPr>
      </w:pPr>
    </w:p>
    <w:p>
      <w:pPr>
        <w:pStyle w:val="Heading2"/>
        <w:spacing w:before="2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8" w:name="_TOC_250012"/>
      <w:bookmarkEnd w:id="8"/>
      <w:r>
        <w:t>三、施工进度计划</w:t>
      </w:r>
    </w:p>
    <w:p>
      <w:pPr>
        <w:pStyle w:val="BodyText"/>
        <w:spacing w:before="350"/>
        <w:ind w:left="770"/>
      </w:pPr>
      <w:r>
        <w:t xml:space="preserve">施工进度计划如表 </w:t>
      </w:r>
      <w:r>
        <w:rPr>
          <w:rFonts w:ascii="Arial" w:eastAsia="Arial" w:hAnsi="Arial"/>
        </w:rPr>
        <w:t>2</w:t>
      </w:r>
      <w:r>
        <w:t>——</w:t>
      </w:r>
      <w:r>
        <w:rPr>
          <w:rFonts w:ascii="Arial" w:eastAsia="Arial" w:hAnsi="Arial"/>
        </w:rPr>
        <w:t>191</w:t>
      </w:r>
      <w:r>
        <w:t xml:space="preserve">、表 </w:t>
      </w:r>
      <w:r>
        <w:rPr>
          <w:rFonts w:ascii="Arial" w:eastAsia="Arial" w:hAnsi="Arial"/>
        </w:rPr>
        <w:t>2</w:t>
      </w:r>
      <w:r>
        <w:t>——</w:t>
      </w:r>
      <w:r>
        <w:rPr>
          <w:rFonts w:ascii="Arial" w:eastAsia="Arial" w:hAnsi="Arial"/>
        </w:rPr>
        <w:t xml:space="preserve">192 </w:t>
      </w:r>
      <w:r>
        <w:t>所示</w:t>
      </w:r>
    </w:p>
    <w:p>
      <w:pPr>
        <w:pStyle w:val="Heading2"/>
      </w:pPr>
      <w:bookmarkStart w:id="9" w:name="_TOC_250011"/>
      <w:bookmarkEnd w:id="9"/>
      <w:r>
        <w:t>四、施工总平面布置图</w:t>
      </w:r>
    </w:p>
    <w:p>
      <w:pPr>
        <w:pStyle w:val="BodyText"/>
        <w:spacing w:before="350"/>
        <w:ind w:left="975"/>
      </w:pPr>
      <w:r>
        <w:t xml:space="preserve">施工平面图如图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 xml:space="preserve">256 </w:t>
      </w:r>
      <w:r>
        <w:t>所示。</w:t>
      </w:r>
    </w:p>
    <w:p>
      <w:pPr>
        <w:pStyle w:val="Heading2"/>
        <w:spacing w:before="192"/>
      </w:pPr>
      <w:bookmarkStart w:id="10" w:name="_TOC_250010"/>
      <w:bookmarkEnd w:id="10"/>
      <w:r>
        <w:t>五、施工准备工作</w:t>
      </w:r>
    </w:p>
    <w:p>
      <w:pPr>
        <w:pStyle w:val="Heading1"/>
        <w:numPr>
          <w:ilvl w:val="0"/>
          <w:numId w:val="24"/>
        </w:numPr>
        <w:tabs>
          <w:tab w:val="left" w:pos="1848"/>
        </w:tabs>
        <w:spacing w:before="89" w:after="0" w:line="240" w:lineRule="auto"/>
        <w:ind w:left="1848" w:right="0" w:hanging="743"/>
        <w:jc w:val="left"/>
      </w:pPr>
      <w:bookmarkStart w:id="11" w:name="_TOC_250009"/>
      <w:bookmarkEnd w:id="11"/>
      <w:r>
        <w:t>场地与道路</w:t>
      </w:r>
    </w:p>
    <w:p>
      <w:pPr>
        <w:pStyle w:val="BodyText"/>
        <w:spacing w:before="365" w:line="417" w:lineRule="auto"/>
        <w:ind w:left="140" w:right="467" w:firstLine="835"/>
        <w:jc w:val="both"/>
      </w:pPr>
      <w:r>
        <w:rPr>
          <w:spacing w:val="4"/>
        </w:rPr>
        <w:t>场地以就地平整为主，向西、向南留</w:t>
      </w:r>
      <w:r>
        <w:rPr>
          <w:rFonts w:ascii="Arial" w:eastAsia="Arial" w:hAnsi="Arial"/>
        </w:rPr>
        <w:t>1</w:t>
      </w:r>
      <w:r>
        <w:rPr>
          <w:spacing w:val="-2"/>
        </w:rPr>
        <w:t>‰坡度。道路和构件存放</w:t>
      </w:r>
      <w:r>
        <w:rPr>
          <w:spacing w:val="-15"/>
        </w:rPr>
        <w:t xml:space="preserve">区的地表面均应夯拍 </w:t>
      </w:r>
      <w:r>
        <w:rPr>
          <w:rFonts w:ascii="Arial" w:eastAsia="Arial" w:hAnsi="Arial"/>
        </w:rPr>
        <w:t>3</w:t>
      </w:r>
      <w:r>
        <w:t>—</w:t>
      </w:r>
      <w:r>
        <w:rPr>
          <w:rFonts w:ascii="Arial" w:eastAsia="Arial" w:hAnsi="Arial"/>
        </w:rPr>
        <w:t xml:space="preserve">4 </w:t>
      </w:r>
      <w:r>
        <w:rPr>
          <w:spacing w:val="-45"/>
        </w:rPr>
        <w:t xml:space="preserve">遍，加铺 </w:t>
      </w:r>
      <w:r>
        <w:rPr>
          <w:rFonts w:ascii="Arial" w:eastAsia="Arial" w:hAnsi="Arial"/>
        </w:rPr>
        <w:t>200mm</w:t>
      </w:r>
      <w:r>
        <w:rPr>
          <w:rFonts w:ascii="Arial" w:eastAsia="Arial" w:hAnsi="Arial"/>
          <w:spacing w:val="-51"/>
        </w:rPr>
        <w:t xml:space="preserve"> </w:t>
      </w:r>
      <w:r>
        <w:rPr>
          <w:spacing w:val="-10"/>
        </w:rPr>
        <w:t>厚级配砂石。排水明沟深</w:t>
      </w:r>
      <w:r>
        <w:rPr>
          <w:rFonts w:ascii="Arial" w:eastAsia="Arial" w:hAnsi="Arial"/>
          <w:spacing w:val="-10"/>
        </w:rPr>
        <w:t>0.4</w:t>
      </w:r>
      <w:r>
        <w:rPr>
          <w:rFonts w:ascii="Arial" w:eastAsia="Arial" w:hAnsi="Arial"/>
          <w:spacing w:val="-62"/>
        </w:rPr>
        <w:t xml:space="preserve"> </w:t>
      </w:r>
      <w:r>
        <w:rPr>
          <w:spacing w:val="-78"/>
        </w:rPr>
        <w:t xml:space="preserve">一 </w:t>
      </w:r>
      <w:r>
        <w:rPr>
          <w:rFonts w:ascii="Arial" w:eastAsia="Arial" w:hAnsi="Arial"/>
        </w:rPr>
        <w:t>0.6m</w:t>
      </w:r>
      <w:r>
        <w:rPr>
          <w:spacing w:val="-39"/>
        </w:rPr>
        <w:t xml:space="preserve">，底宽 </w:t>
      </w:r>
      <w:r>
        <w:rPr>
          <w:rFonts w:ascii="Arial" w:eastAsia="Arial" w:hAnsi="Arial"/>
        </w:rPr>
        <w:t>0.3m</w:t>
      </w:r>
      <w:r>
        <w:rPr>
          <w:spacing w:val="-32"/>
        </w:rPr>
        <w:t xml:space="preserve">，上口宽 </w:t>
      </w:r>
      <w:r>
        <w:rPr>
          <w:rFonts w:ascii="Arial" w:eastAsia="Arial" w:hAnsi="Arial"/>
        </w:rPr>
        <w:t>1.0</w:t>
      </w:r>
      <w:r>
        <w:rPr>
          <w:rFonts w:ascii="Arial" w:eastAsia="Arial" w:hAnsi="Arial"/>
          <w:spacing w:val="-61"/>
        </w:rPr>
        <w:t xml:space="preserve"> </w:t>
      </w:r>
      <w:r>
        <w:rPr>
          <w:spacing w:val="-78"/>
        </w:rPr>
        <w:t xml:space="preserve">一 </w:t>
      </w:r>
      <w:r>
        <w:rPr>
          <w:rFonts w:ascii="Arial" w:eastAsia="Arial" w:hAnsi="Arial"/>
        </w:rPr>
        <w:t>1.4m</w:t>
      </w:r>
      <w:r>
        <w:rPr>
          <w:spacing w:val="-39"/>
        </w:rPr>
        <w:t xml:space="preserve">，按图 </w:t>
      </w:r>
      <w:r>
        <w:rPr>
          <w:rFonts w:ascii="Arial" w:eastAsia="Arial" w:hAnsi="Arial"/>
        </w:rPr>
        <w:t>2</w:t>
      </w:r>
      <w:r>
        <w:t>－</w:t>
      </w:r>
      <w:r>
        <w:rPr>
          <w:rFonts w:ascii="Arial" w:eastAsia="Arial" w:hAnsi="Arial"/>
        </w:rPr>
        <w:t>256</w:t>
      </w:r>
      <w:r>
        <w:rPr>
          <w:rFonts w:ascii="Arial" w:eastAsia="Arial" w:hAnsi="Arial"/>
          <w:spacing w:val="-63"/>
        </w:rPr>
        <w:t xml:space="preserve"> </w:t>
      </w:r>
      <w:r>
        <w:t>布置。道路与明沟交叉时，路下埋设</w:t>
      </w:r>
      <w:r>
        <w:rPr>
          <w:spacing w:val="-3"/>
        </w:rPr>
        <w:t>Φ</w:t>
      </w:r>
      <w:r>
        <w:rPr>
          <w:rFonts w:ascii="Arial" w:eastAsia="Arial" w:hAnsi="Arial"/>
          <w:spacing w:val="-3"/>
        </w:rPr>
        <w:t xml:space="preserve">400mm </w:t>
      </w:r>
      <w:r>
        <w:t>铸铁管过水。</w:t>
      </w:r>
    </w:p>
    <w:p>
      <w:pPr>
        <w:pStyle w:val="BodyText"/>
        <w:spacing w:line="417" w:lineRule="auto"/>
        <w:ind w:left="140" w:right="488" w:firstLine="835"/>
      </w:pPr>
      <w:r>
        <w:rPr>
          <w:spacing w:val="-11"/>
        </w:rPr>
        <w:t>为避免施工污水淤塞市政下水，在搅拌站边布置“地下污水沉淀</w:t>
      </w:r>
      <w:r>
        <w:rPr>
          <w:spacing w:val="-15"/>
          <w:w w:val="100"/>
        </w:rPr>
        <w:t>循环池”，蓄纳清刷污水，沉淀后，以泵抽回利用，形成施工清刷用</w:t>
      </w:r>
    </w:p>
    <w:p>
      <w:pPr>
        <w:pStyle w:val="BodyText"/>
        <w:ind w:left="140"/>
      </w:pPr>
      <w:r>
        <w:t>水的封闭系统。</w:t>
      </w:r>
    </w:p>
    <w:p>
      <w:pPr>
        <w:pStyle w:val="Heading1"/>
        <w:numPr>
          <w:ilvl w:val="0"/>
          <w:numId w:val="24"/>
        </w:numPr>
        <w:tabs>
          <w:tab w:val="left" w:pos="1848"/>
        </w:tabs>
        <w:spacing w:before="137" w:after="0" w:line="240" w:lineRule="auto"/>
        <w:ind w:left="1848" w:right="0" w:hanging="743"/>
        <w:jc w:val="left"/>
      </w:pPr>
      <w:bookmarkStart w:id="12" w:name="_TOC_250008"/>
      <w:bookmarkEnd w:id="12"/>
      <w:r>
        <w:t>施工机械机具</w:t>
      </w:r>
    </w:p>
    <w:p>
      <w:pPr>
        <w:pStyle w:val="BodyText"/>
        <w:spacing w:before="365"/>
        <w:ind w:left="860"/>
      </w:pPr>
      <w:r>
        <w:t xml:space="preserve">施工机械机具列于表 </w:t>
      </w:r>
      <w:r>
        <w:rPr>
          <w:rFonts w:ascii="Arial" w:eastAsia="Arial"/>
        </w:rPr>
        <w:t>2</w:t>
      </w:r>
      <w:r>
        <w:t>－</w:t>
      </w:r>
      <w:r>
        <w:rPr>
          <w:rFonts w:ascii="Arial" w:eastAsia="Arial"/>
        </w:rPr>
        <w:t>193</w:t>
      </w:r>
      <w:r>
        <w:t>。</w:t>
      </w:r>
    </w:p>
    <w:p>
      <w:pPr>
        <w:spacing w:after="0"/>
        <w:sectPr>
          <w:pgSz w:w="17860" w:h="25260"/>
          <w:pgMar w:top="2220" w:right="2200" w:bottom="280" w:left="2560" w:header="708" w:footer="708"/>
          <w:pgNumType w:start="9"/>
          <w:cols w:space="708"/>
        </w:sectPr>
      </w:pPr>
    </w:p>
    <w:p>
      <w:pPr>
        <w:pStyle w:val="Heading1"/>
        <w:numPr>
          <w:ilvl w:val="0"/>
          <w:numId w:val="11"/>
        </w:numPr>
        <w:tabs>
          <w:tab w:val="left" w:pos="1848"/>
        </w:tabs>
        <w:spacing w:before="68" w:after="0" w:line="240" w:lineRule="auto"/>
        <w:ind w:left="1848" w:right="0" w:hanging="743"/>
        <w:jc w:val="left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3" w:name="_TOC_250007"/>
      <w:bookmarkEnd w:id="13"/>
      <w:r>
        <w:t>施工水电设施</w:t>
      </w:r>
    </w:p>
    <w:p>
      <w:pPr>
        <w:pStyle w:val="ListParagraph"/>
        <w:numPr>
          <w:ilvl w:val="1"/>
          <w:numId w:val="12"/>
        </w:numPr>
        <w:tabs>
          <w:tab w:val="left" w:pos="2036"/>
        </w:tabs>
        <w:spacing w:before="365" w:after="0" w:line="417" w:lineRule="auto"/>
        <w:ind w:left="140" w:right="768" w:firstLine="842"/>
        <w:jc w:val="left"/>
        <w:rPr>
          <w:sz w:val="42"/>
        </w:rPr>
      </w:pPr>
      <w:r>
        <w:rPr>
          <w:sz w:val="42"/>
        </w:rPr>
        <w:t>现场有Φ100mm市政上水干线，从预留接口井接出</w:t>
      </w:r>
      <w:r>
        <w:rPr>
          <w:spacing w:val="-7"/>
          <w:sz w:val="42"/>
        </w:rPr>
        <w:t xml:space="preserve">Φ65mm </w:t>
      </w:r>
      <w:r>
        <w:rPr>
          <w:sz w:val="42"/>
        </w:rPr>
        <w:t>施工干线，可满足施工与消防需要。</w:t>
      </w:r>
    </w:p>
    <w:p>
      <w:pPr>
        <w:pStyle w:val="ListParagraph"/>
        <w:numPr>
          <w:ilvl w:val="1"/>
          <w:numId w:val="12"/>
        </w:numPr>
        <w:tabs>
          <w:tab w:val="left" w:pos="2036"/>
        </w:tabs>
        <w:spacing w:before="0" w:after="0" w:line="417" w:lineRule="auto"/>
        <w:ind w:left="140" w:right="494" w:firstLine="842"/>
        <w:jc w:val="left"/>
        <w:rPr>
          <w:sz w:val="42"/>
        </w:rPr>
      </w:pPr>
      <w:r>
        <w:rPr>
          <w:spacing w:val="-2"/>
          <w:sz w:val="42"/>
        </w:rPr>
        <w:t>现场有建设单位提供的</w:t>
      </w:r>
      <w:r>
        <w:rPr>
          <w:sz w:val="42"/>
        </w:rPr>
        <w:t>250kVA</w:t>
      </w:r>
      <w:r>
        <w:rPr>
          <w:spacing w:val="-4"/>
          <w:sz w:val="42"/>
        </w:rPr>
        <w:t>的</w:t>
      </w:r>
      <w:r>
        <w:rPr>
          <w:sz w:val="42"/>
        </w:rPr>
        <w:t>10kV／380V变压器，可满</w:t>
      </w:r>
      <w:r>
        <w:rPr>
          <w:spacing w:val="-12"/>
          <w:sz w:val="42"/>
        </w:rPr>
        <w:t>足不同施工阶段的动力需求。塔吊影响范围内敷地下电缆，接头处砌</w:t>
      </w:r>
    </w:p>
    <w:p>
      <w:pPr>
        <w:pStyle w:val="BodyText"/>
        <w:spacing w:line="537" w:lineRule="exact"/>
        <w:ind w:left="140"/>
      </w:pPr>
      <w:r>
        <w:t>方砖井并加盖防护。</w:t>
      </w:r>
    </w:p>
    <w:p>
      <w:pPr>
        <w:pStyle w:val="Heading1"/>
        <w:numPr>
          <w:ilvl w:val="0"/>
          <w:numId w:val="11"/>
        </w:numPr>
        <w:tabs>
          <w:tab w:val="left" w:pos="1848"/>
        </w:tabs>
        <w:spacing w:before="138" w:after="0" w:line="240" w:lineRule="auto"/>
        <w:ind w:left="1848" w:right="0" w:hanging="743"/>
        <w:jc w:val="left"/>
      </w:pPr>
      <w:bookmarkStart w:id="14" w:name="_TOC_250006"/>
      <w:bookmarkEnd w:id="14"/>
      <w:r>
        <w:t>施工临时建筑及设施</w:t>
      </w:r>
    </w:p>
    <w:p>
      <w:pPr>
        <w:pStyle w:val="BodyText"/>
        <w:spacing w:before="365"/>
        <w:ind w:left="983"/>
      </w:pPr>
      <w:r>
        <w:t>施工临时建筑及设施列于表2－194。</w:t>
      </w:r>
    </w:p>
    <w:p>
      <w:pPr>
        <w:pStyle w:val="Heading1"/>
        <w:numPr>
          <w:ilvl w:val="0"/>
          <w:numId w:val="11"/>
        </w:numPr>
        <w:tabs>
          <w:tab w:val="left" w:pos="1848"/>
        </w:tabs>
        <w:spacing w:before="137" w:after="0" w:line="240" w:lineRule="auto"/>
        <w:ind w:left="1848" w:right="0" w:hanging="743"/>
        <w:jc w:val="left"/>
      </w:pPr>
      <w:bookmarkStart w:id="15" w:name="_TOC_250005"/>
      <w:bookmarkEnd w:id="15"/>
      <w:r>
        <w:t>塔道处理</w:t>
      </w:r>
    </w:p>
    <w:p>
      <w:pPr>
        <w:pStyle w:val="BodyText"/>
        <w:spacing w:before="37" w:line="936" w:lineRule="exact"/>
        <w:ind w:left="140" w:right="482" w:firstLine="842"/>
        <w:jc w:val="both"/>
      </w:pPr>
      <w:r>
        <w:rPr>
          <w:spacing w:val="-2"/>
        </w:rPr>
        <w:t>塔基枕木上皮标高定为一</w:t>
      </w:r>
      <w:r>
        <w:rPr>
          <w:spacing w:val="-22"/>
        </w:rPr>
        <w:t>0.10mm</w:t>
      </w:r>
      <w:r>
        <w:rPr>
          <w:spacing w:val="-6"/>
        </w:rPr>
        <w:t>，乐池和观众厅前部应将塔基填</w:t>
      </w:r>
      <w:r>
        <w:rPr>
          <w:spacing w:val="-2"/>
        </w:rPr>
        <w:t>上分层夯填至一</w:t>
      </w:r>
      <w:r>
        <w:t>0.60m，然后作塔基（</w:t>
      </w:r>
      <w:r>
        <w:rPr>
          <w:spacing w:val="-11"/>
        </w:rPr>
        <w:t>图</w:t>
      </w:r>
      <w:r>
        <w:t>2－257）。塔道布置在地下室上面时，应对其顶板加固（</w:t>
      </w:r>
      <w:r>
        <w:rPr>
          <w:spacing w:val="-18"/>
        </w:rPr>
        <w:t>图</w:t>
      </w:r>
      <w:r>
        <w:t>2－258）。</w:t>
      </w:r>
    </w:p>
    <w:p>
      <w:pPr>
        <w:pStyle w:val="Heading2"/>
        <w:spacing w:before="124"/>
        <w:ind w:left="813"/>
      </w:pPr>
      <w:bookmarkStart w:id="16" w:name="_TOC_250004"/>
      <w:bookmarkEnd w:id="16"/>
      <w:r>
        <w:t>六、主要项目施工方法</w:t>
      </w:r>
    </w:p>
    <w:p>
      <w:pPr>
        <w:pStyle w:val="Heading1"/>
        <w:numPr>
          <w:ilvl w:val="0"/>
          <w:numId w:val="10"/>
        </w:numPr>
        <w:tabs>
          <w:tab w:val="left" w:pos="1848"/>
        </w:tabs>
        <w:spacing w:before="88" w:after="0" w:line="240" w:lineRule="auto"/>
        <w:ind w:left="1848" w:right="0" w:hanging="743"/>
        <w:jc w:val="left"/>
      </w:pPr>
      <w:bookmarkStart w:id="17" w:name="_TOC_250003"/>
      <w:bookmarkEnd w:id="17"/>
      <w:r>
        <w:t>地下室和基础</w:t>
      </w:r>
    </w:p>
    <w:p>
      <w:pPr>
        <w:spacing w:after="0" w:line="240" w:lineRule="auto"/>
        <w:jc w:val="lef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https://d.book118.com/827144001036006036</w:t>
        </w:r>
      </w:hyperlink>
    </w:p>
    <w:p>
      <w:pPr>
        <w:spacing w:after="0" w:line="240" w:lineRule="auto"/>
        <w:jc w:val="left"/>
      </w:pPr>
    </w:p>
    <w:sectPr>
      <w:pgSz w:w="17860" w:h="25260"/>
      <w:pgMar w:top="2120" w:right="220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4D773"/>
    <w:multiLevelType w:val="hybridMultilevel"/>
    <w:tmpl w:val="00000000"/>
    <w:lvl w:ilvl="0">
      <w:start w:val="1"/>
      <w:numFmt w:val="decimal"/>
      <w:lvlText w:val="%1）"/>
      <w:lvlJc w:val="left"/>
      <w:pPr>
        <w:ind w:left="140" w:hanging="63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9"/>
      </w:pPr>
      <w:rPr>
        <w:rFonts w:hint="default"/>
      </w:rPr>
    </w:lvl>
  </w:abstractNum>
  <w:abstractNum w:abstractNumId="1">
    <w:nsid w:val="04A223D1"/>
    <w:multiLevelType w:val="hybridMultilevel"/>
    <w:tmpl w:val="00000000"/>
    <w:lvl w:ilvl="0">
      <w:start w:val="1"/>
      <w:numFmt w:val="decimal"/>
      <w:lvlText w:val="%1."/>
      <w:lvlJc w:val="left"/>
      <w:pPr>
        <w:ind w:left="1124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5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1063"/>
      </w:pPr>
      <w:rPr>
        <w:rFonts w:hint="default"/>
      </w:rPr>
    </w:lvl>
  </w:abstractNum>
  <w:abstractNum w:abstractNumId="2">
    <w:nsid w:val="1256D426"/>
    <w:multiLevelType w:val="hybridMultilevel"/>
    <w:tmpl w:val="00000000"/>
    <w:lvl w:ilvl="0">
      <w:start w:val="1"/>
      <w:numFmt w:val="decimal"/>
      <w:lvlText w:val="（%1）"/>
      <w:lvlJc w:val="left"/>
      <w:pPr>
        <w:ind w:left="1826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1"/>
      <w:numFmt w:val="decimal"/>
      <w:lvlText w:val="（%2）"/>
      <w:lvlJc w:val="left"/>
      <w:pPr>
        <w:ind w:left="14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7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3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3" w:hanging="1053"/>
      </w:pPr>
      <w:rPr>
        <w:rFonts w:hint="default"/>
      </w:rPr>
    </w:lvl>
  </w:abstractNum>
  <w:abstractNum w:abstractNumId="3">
    <w:nsid w:val="1433A028"/>
    <w:multiLevelType w:val="hybridMultilevel"/>
    <w:tmpl w:val="00000000"/>
    <w:lvl w:ilvl="0">
      <w:start w:val="1"/>
      <w:numFmt w:val="decimal"/>
      <w:lvlText w:val="%1."/>
      <w:lvlJc w:val="left"/>
      <w:pPr>
        <w:ind w:left="1124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5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1063"/>
      </w:pPr>
      <w:rPr>
        <w:rFonts w:hint="default"/>
      </w:rPr>
    </w:lvl>
  </w:abstractNum>
  <w:abstractNum w:abstractNumId="4">
    <w:nsid w:val="18E0711B"/>
    <w:multiLevelType w:val="hybridMultilevel"/>
    <w:tmpl w:val="00000000"/>
    <w:lvl w:ilvl="0">
      <w:start w:val="1"/>
      <w:numFmt w:val="decimal"/>
      <w:lvlText w:val="%1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5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743"/>
      </w:pPr>
      <w:rPr>
        <w:rFonts w:hint="default"/>
      </w:rPr>
    </w:lvl>
  </w:abstractNum>
  <w:abstractNum w:abstractNumId="5">
    <w:nsid w:val="1F1A1F92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63"/>
      </w:pPr>
      <w:rPr>
        <w:rFonts w:hint="default"/>
      </w:rPr>
    </w:lvl>
  </w:abstractNum>
  <w:abstractNum w:abstractNumId="6">
    <w:nsid w:val="202F7BD2"/>
    <w:multiLevelType w:val="hybridMultilevel"/>
    <w:tmpl w:val="00000000"/>
    <w:lvl w:ilvl="0">
      <w:start w:val="1"/>
      <w:numFmt w:val="decimal"/>
      <w:lvlText w:val="（%1）"/>
      <w:lvlJc w:val="left"/>
      <w:pPr>
        <w:ind w:left="1826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1056"/>
      </w:pPr>
      <w:rPr>
        <w:rFonts w:hint="default"/>
      </w:rPr>
    </w:lvl>
  </w:abstractNum>
  <w:abstractNum w:abstractNumId="7">
    <w:nsid w:val="2A4818E4"/>
    <w:multiLevelType w:val="hybridMultilevel"/>
    <w:tmpl w:val="00000000"/>
    <w:lvl w:ilvl="0">
      <w:start w:val="4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72"/>
        <w:w w:val="90"/>
        <w:sz w:val="40"/>
        <w:szCs w:val="40"/>
      </w:rPr>
    </w:lvl>
    <w:lvl w:ilvl="1">
      <w:start w:val="1"/>
      <w:numFmt w:val="decimal"/>
      <w:lvlText w:val="（%2）"/>
      <w:lvlJc w:val="left"/>
      <w:pPr>
        <w:ind w:left="140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1"/>
      <w:numFmt w:val="decimal"/>
      <w:lvlText w:val="%3."/>
      <w:lvlJc w:val="left"/>
      <w:pPr>
        <w:ind w:left="1848" w:hanging="743"/>
        <w:jc w:val="right"/>
      </w:pPr>
      <w:rPr>
        <w:rFonts w:hint="default"/>
        <w:b/>
        <w:bCs/>
        <w:spacing w:val="-4"/>
        <w:w w:val="97"/>
      </w:rPr>
    </w:lvl>
    <w:lvl w:ilvl="3">
      <w:start w:val="1"/>
      <w:numFmt w:val="decimal"/>
      <w:lvlText w:val="%4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559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743"/>
      </w:pPr>
      <w:rPr>
        <w:rFonts w:hint="default"/>
      </w:rPr>
    </w:lvl>
  </w:abstractNum>
  <w:abstractNum w:abstractNumId="8">
    <w:nsid w:val="39CE68DC"/>
    <w:multiLevelType w:val="hybridMultilevel"/>
    <w:tmpl w:val="00000000"/>
    <w:lvl w:ilvl="0">
      <w:start w:val="1"/>
      <w:numFmt w:val="decimal"/>
      <w:lvlText w:val="%1."/>
      <w:lvlJc w:val="left"/>
      <w:pPr>
        <w:ind w:left="1124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5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2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1063"/>
      </w:pPr>
      <w:rPr>
        <w:rFonts w:hint="default"/>
      </w:rPr>
    </w:lvl>
  </w:abstractNum>
  <w:abstractNum w:abstractNumId="9">
    <w:nsid w:val="3E5F53D5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63"/>
      </w:pPr>
      <w:rPr>
        <w:rFonts w:hint="default"/>
      </w:rPr>
    </w:lvl>
  </w:abstractNum>
  <w:abstractNum w:abstractNumId="10">
    <w:nsid w:val="4A4DF11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63"/>
      </w:pPr>
      <w:rPr>
        <w:rFonts w:hint="default"/>
      </w:rPr>
    </w:lvl>
  </w:abstractNum>
  <w:abstractNum w:abstractNumId="11">
    <w:nsid w:val="4E194640"/>
    <w:multiLevelType w:val="hybridMultilevel"/>
    <w:tmpl w:val="00000000"/>
    <w:lvl w:ilvl="0">
      <w:start w:val="8"/>
      <w:numFmt w:val="decimal"/>
      <w:lvlText w:val="%1"/>
      <w:lvlJc w:val="left"/>
      <w:pPr>
        <w:ind w:left="382" w:hanging="147"/>
        <w:jc w:val="right"/>
      </w:pPr>
      <w:rPr>
        <w:rFonts w:hint="default"/>
        <w:w w:val="47"/>
      </w:rPr>
    </w:lvl>
    <w:lvl w:ilvl="1">
      <w:start w:val="1"/>
      <w:numFmt w:val="decimal"/>
      <w:lvlText w:val="（%2）"/>
      <w:lvlJc w:val="left"/>
      <w:pPr>
        <w:ind w:left="165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2"/>
      <w:numFmt w:val="decimal"/>
      <w:lvlText w:val="（%3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1660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74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090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007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923" w:hanging="1063"/>
      </w:pPr>
      <w:rPr>
        <w:rFonts w:hint="default"/>
      </w:rPr>
    </w:lvl>
  </w:abstractNum>
  <w:abstractNum w:abstractNumId="12">
    <w:nsid w:val="5349FA17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5"/>
      </w:pPr>
      <w:rPr>
        <w:rFonts w:hint="default"/>
      </w:rPr>
    </w:lvl>
  </w:abstractNum>
  <w:abstractNum w:abstractNumId="13">
    <w:nsid w:val="54FAF062"/>
    <w:multiLevelType w:val="hybridMultilevel"/>
    <w:tmpl w:val="00000000"/>
    <w:lvl w:ilvl="0">
      <w:start w:val="3"/>
      <w:numFmt w:val="decimal"/>
      <w:lvlText w:val="%1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5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743"/>
      </w:pPr>
      <w:rPr>
        <w:rFonts w:hint="default"/>
      </w:rPr>
    </w:lvl>
  </w:abstractNum>
  <w:abstractNum w:abstractNumId="14">
    <w:nsid w:val="570A5B73"/>
    <w:multiLevelType w:val="hybridMultilevel"/>
    <w:tmpl w:val="00000000"/>
    <w:lvl w:ilvl="0">
      <w:start w:val="3"/>
      <w:numFmt w:val="decimal"/>
      <w:lvlText w:val="%1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5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743"/>
      </w:pPr>
      <w:rPr>
        <w:rFonts w:hint="default"/>
      </w:rPr>
    </w:lvl>
  </w:abstractNum>
  <w:abstractNum w:abstractNumId="15">
    <w:nsid w:val="5A00B896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5"/>
      </w:pPr>
      <w:rPr>
        <w:rFonts w:hint="default"/>
      </w:rPr>
    </w:lvl>
  </w:abstractNum>
  <w:abstractNum w:abstractNumId="16">
    <w:nsid w:val="5A627131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63"/>
      </w:pPr>
      <w:rPr>
        <w:rFonts w:hint="default"/>
      </w:rPr>
    </w:lvl>
  </w:abstractNum>
  <w:abstractNum w:abstractNumId="17">
    <w:nsid w:val="5AAF23FB"/>
    <w:multiLevelType w:val="hybridMultilevel"/>
    <w:tmpl w:val="00000000"/>
    <w:lvl w:ilvl="0">
      <w:start w:val="1"/>
      <w:numFmt w:val="decimal"/>
      <w:lvlText w:val="%1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5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743"/>
      </w:pPr>
      <w:rPr>
        <w:rFonts w:hint="default"/>
      </w:rPr>
    </w:lvl>
  </w:abstractNum>
  <w:abstractNum w:abstractNumId="18">
    <w:nsid w:val="65013F18"/>
    <w:multiLevelType w:val="hybridMultilevel"/>
    <w:tmpl w:val="00000000"/>
    <w:lvl w:ilvl="0">
      <w:start w:val="1"/>
      <w:numFmt w:val="decimal"/>
      <w:lvlText w:val="%1）"/>
      <w:lvlJc w:val="left"/>
      <w:pPr>
        <w:ind w:left="1610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6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3" w:hanging="635"/>
      </w:pPr>
      <w:rPr>
        <w:rFonts w:hint="default"/>
      </w:rPr>
    </w:lvl>
  </w:abstractNum>
  <w:abstractNum w:abstractNumId="19">
    <w:nsid w:val="6507A35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3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1063"/>
      </w:pPr>
      <w:rPr>
        <w:rFonts w:hint="default"/>
      </w:rPr>
    </w:lvl>
  </w:abstractNum>
  <w:abstractNum w:abstractNumId="20">
    <w:nsid w:val="7C7CFCE0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2240" w:hanging="635"/>
        <w:jc w:val="righ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446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6" w:hanging="635"/>
      </w:pPr>
      <w:rPr>
        <w:rFonts w:hint="default"/>
      </w:rPr>
    </w:lvl>
  </w:abstractNum>
  <w:abstractNum w:abstractNumId="21">
    <w:nsid w:val="7D9EAEE7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6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5"/>
      </w:pPr>
      <w:rPr>
        <w:rFonts w:hint="default"/>
      </w:rPr>
    </w:lvl>
  </w:abstractNum>
  <w:abstractNum w:abstractNumId="22">
    <w:nsid w:val="7EDFF515"/>
    <w:multiLevelType w:val="hybridMultilevel"/>
    <w:tmpl w:val="00000000"/>
    <w:lvl w:ilvl="0">
      <w:start w:val="4"/>
      <w:numFmt w:val="decimal"/>
      <w:lvlText w:val="%1."/>
      <w:lvlJc w:val="left"/>
      <w:pPr>
        <w:ind w:left="1296" w:hanging="526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47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526"/>
      </w:pPr>
      <w:rPr>
        <w:rFonts w:hint="default"/>
      </w:rPr>
    </w:lvl>
  </w:abstractNum>
  <w:abstractNum w:abstractNumId="23">
    <w:nsid w:val="7F39D021"/>
    <w:multiLevelType w:val="hybridMultilevel"/>
    <w:tmpl w:val="00000000"/>
    <w:lvl w:ilvl="0">
      <w:start w:val="1"/>
      <w:numFmt w:val="decimal"/>
      <w:lvlText w:val="%1."/>
      <w:lvlJc w:val="left"/>
      <w:pPr>
        <w:ind w:left="1848" w:hanging="743"/>
        <w:jc w:val="left"/>
      </w:pPr>
      <w:rPr>
        <w:rFonts w:ascii="Arial" w:eastAsia="Arial" w:hAnsi="Arial" w:cs="Arial" w:hint="default"/>
        <w:b/>
        <w:bCs/>
        <w:spacing w:val="-4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840" w:hanging="7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7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2" w:hanging="7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3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7" w:hanging="743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18"/>
  </w:num>
  <w:num w:numId="4">
    <w:abstractNumId w:val="19"/>
  </w:num>
  <w:num w:numId="5">
    <w:abstractNumId w:val="10"/>
  </w:num>
  <w:num w:numId="6">
    <w:abstractNumId w:val="7"/>
  </w:num>
  <w:num w:numId="7">
    <w:abstractNumId w:val="5"/>
  </w:num>
  <w:num w:numId="8">
    <w:abstractNumId w:val="16"/>
  </w:num>
  <w:num w:numId="9">
    <w:abstractNumId w:val="11"/>
  </w:num>
  <w:num w:numId="10">
    <w:abstractNumId w:val="23"/>
  </w:num>
  <w:num w:numId="11">
    <w:abstractNumId w:val="4"/>
  </w:num>
  <w:num w:numId="12">
    <w:abstractNumId w:val="2"/>
  </w:num>
  <w:num w:numId="13">
    <w:abstractNumId w:val="6"/>
  </w:num>
  <w:num w:numId="14">
    <w:abstractNumId w:val="13"/>
  </w:num>
  <w:num w:numId="15">
    <w:abstractNumId w:val="1"/>
  </w:num>
  <w:num w:numId="16">
    <w:abstractNumId w:val="15"/>
  </w:num>
  <w:num w:numId="17">
    <w:abstractNumId w:val="12"/>
  </w:num>
  <w:num w:numId="18">
    <w:abstractNumId w:val="22"/>
  </w:num>
  <w:num w:numId="19">
    <w:abstractNumId w:val="20"/>
  </w:num>
  <w:num w:numId="20">
    <w:abstractNumId w:val="21"/>
  </w:num>
  <w:num w:numId="21">
    <w:abstractNumId w:val="8"/>
  </w:num>
  <w:num w:numId="22">
    <w:abstractNumId w:val="3"/>
  </w:num>
  <w:num w:numId="23">
    <w:abstractNumId w:val="14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37"/>
      <w:ind w:left="1848" w:hanging="743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91"/>
      <w:ind w:left="140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9"/>
      <w:ind w:left="140"/>
    </w:pPr>
    <w:rPr>
      <w:rFonts w:ascii="宋体" w:eastAsia="宋体" w:hAnsi="宋体" w:cs="宋体"/>
      <w:sz w:val="45"/>
      <w:szCs w:val="45"/>
    </w:rPr>
  </w:style>
  <w:style w:type="paragraph" w:styleId="TOC2">
    <w:name w:val="toc 2"/>
    <w:basedOn w:val="Normal"/>
    <w:uiPriority w:val="1"/>
    <w:qFormat/>
    <w:pPr>
      <w:spacing w:before="398"/>
      <w:ind w:left="1405" w:hanging="636"/>
    </w:pPr>
    <w:rPr>
      <w:rFonts w:ascii="宋体" w:eastAsia="宋体" w:hAnsi="宋体" w:cs="宋体"/>
      <w:sz w:val="42"/>
      <w:szCs w:val="42"/>
    </w:rPr>
  </w:style>
  <w:style w:type="paragraph" w:styleId="TOC3">
    <w:name w:val="toc 3"/>
    <w:basedOn w:val="Normal"/>
    <w:uiPriority w:val="1"/>
    <w:qFormat/>
    <w:pPr>
      <w:spacing w:before="404"/>
      <w:ind w:left="2240" w:hanging="636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0" w:firstLine="8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144001036006036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2024-01-27T12:16:10Z</dcterms:created>
  <dcterms:modified xsi:type="dcterms:W3CDTF">2024-01-27T12:16:10Z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2024-01-27T00:00:00Z</vt:filetime>
  </property>
</Properties>
</file>