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2024年烟草种植行业趋势报</w:t>
      </w:r>
      <w:r>
        <w:rPr>
          <w:rFonts w:ascii="微软雅黑" w:eastAsia="微软雅黑" w:hAnsi="微软雅黑" w:cs="微软雅黑"/>
          <w:b/>
          <w:bCs/>
          <w:color w:val="2D54A0"/>
          <w:spacing w:val="8"/>
          <w:sz w:val="59"/>
          <w:szCs w:val="59"/>
        </w:rPr>
        <w:t>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15243"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_Toc15243 \h </w:instrText>
        </w:r>
        <w:r>
          <w:fldChar w:fldCharType="separate"/>
        </w:r>
        <w:r>
          <w:t>4</w:t>
        </w:r>
        <w:r>
          <w:fldChar w:fldCharType="end"/>
        </w:r>
      </w:hyperlink>
    </w:p>
    <w:p>
      <w:pPr>
        <w:pStyle w:val="TOC1"/>
        <w:tabs>
          <w:tab w:val="right" w:leader="dot" w:pos="8306"/>
        </w:tabs>
      </w:pPr>
      <w:hyperlink w:anchor="_Toc4601" w:history="1">
        <w:r>
          <w:rPr>
            <w:rFonts w:ascii="微软雅黑" w:eastAsia="微软雅黑" w:hAnsi="微软雅黑" w:cs="微软雅黑" w:hint="eastAsia"/>
            <w:color w:val="001CAC" w:themeColor="hyperlink" w:themeShade="BF"/>
            <w:szCs w:val="32"/>
            <w:lang w:eastAsia="zh-CN"/>
          </w:rPr>
          <w:t>一、领导力发展与企业文化</w:t>
        </w:r>
        <w:r>
          <w:tab/>
        </w:r>
        <w:r>
          <w:fldChar w:fldCharType="begin"/>
        </w:r>
        <w:r>
          <w:instrText xml:space="preserve"> PAGEREF _Toc4601 \h </w:instrText>
        </w:r>
        <w:r>
          <w:fldChar w:fldCharType="separate"/>
        </w:r>
        <w:r>
          <w:t>4</w:t>
        </w:r>
        <w:r>
          <w:fldChar w:fldCharType="end"/>
        </w:r>
      </w:hyperlink>
    </w:p>
    <w:p>
      <w:pPr>
        <w:pStyle w:val="TOC2"/>
        <w:tabs>
          <w:tab w:val="right" w:leader="dot" w:pos="8306"/>
        </w:tabs>
      </w:pPr>
      <w:hyperlink w:anchor="_Toc105" w:history="1">
        <w:r>
          <w:rPr>
            <w:rFonts w:ascii="宋体" w:eastAsia="宋体" w:hAnsi="宋体" w:cs="宋体" w:hint="eastAsia"/>
            <w:bCs w:val="0"/>
            <w:szCs w:val="28"/>
            <w:lang w:eastAsia="zh-CN"/>
          </w:rPr>
          <w:t>(一)、高效团队建设原则</w:t>
        </w:r>
        <w:r>
          <w:tab/>
        </w:r>
        <w:r>
          <w:fldChar w:fldCharType="begin"/>
        </w:r>
        <w:r>
          <w:instrText xml:space="preserve"> PAGEREF _Toc105 \h </w:instrText>
        </w:r>
        <w:r>
          <w:fldChar w:fldCharType="separate"/>
        </w:r>
        <w:r>
          <w:t>4</w:t>
        </w:r>
        <w:r>
          <w:fldChar w:fldCharType="end"/>
        </w:r>
      </w:hyperlink>
    </w:p>
    <w:p>
      <w:pPr>
        <w:pStyle w:val="TOC2"/>
        <w:tabs>
          <w:tab w:val="right" w:leader="dot" w:pos="8306"/>
        </w:tabs>
      </w:pPr>
      <w:hyperlink w:anchor="_Toc13724" w:history="1">
        <w:r>
          <w:rPr>
            <w:rFonts w:ascii="宋体" w:eastAsia="宋体" w:hAnsi="宋体" w:cs="宋体" w:hint="eastAsia"/>
            <w:bCs w:val="0"/>
            <w:szCs w:val="28"/>
            <w:lang w:eastAsia="zh-CN"/>
          </w:rPr>
          <w:t>(二)、团队文化与价值观塑造</w:t>
        </w:r>
        <w:r>
          <w:tab/>
        </w:r>
        <w:r>
          <w:fldChar w:fldCharType="begin"/>
        </w:r>
        <w:r>
          <w:instrText xml:space="preserve"> PAGEREF _Toc13724 \h </w:instrText>
        </w:r>
        <w:r>
          <w:fldChar w:fldCharType="separate"/>
        </w:r>
        <w:r>
          <w:t>5</w:t>
        </w:r>
        <w:r>
          <w:fldChar w:fldCharType="end"/>
        </w:r>
      </w:hyperlink>
    </w:p>
    <w:p>
      <w:pPr>
        <w:pStyle w:val="TOC2"/>
        <w:tabs>
          <w:tab w:val="right" w:leader="dot" w:pos="8306"/>
        </w:tabs>
      </w:pPr>
      <w:hyperlink w:anchor="_Toc21354" w:history="1">
        <w:r>
          <w:rPr>
            <w:rFonts w:ascii="宋体" w:eastAsia="宋体" w:hAnsi="宋体" w:cs="宋体" w:hint="eastAsia"/>
            <w:bCs w:val="0"/>
            <w:szCs w:val="28"/>
            <w:lang w:eastAsia="zh-CN"/>
          </w:rPr>
          <w:t>(三)、领导力发展计划</w:t>
        </w:r>
        <w:r>
          <w:tab/>
        </w:r>
        <w:r>
          <w:fldChar w:fldCharType="begin"/>
        </w:r>
        <w:r>
          <w:instrText xml:space="preserve"> PAGEREF _Toc21354 \h </w:instrText>
        </w:r>
        <w:r>
          <w:fldChar w:fldCharType="separate"/>
        </w:r>
        <w:r>
          <w:t>5</w:t>
        </w:r>
        <w:r>
          <w:fldChar w:fldCharType="end"/>
        </w:r>
      </w:hyperlink>
    </w:p>
    <w:p>
      <w:pPr>
        <w:pStyle w:val="TOC2"/>
        <w:tabs>
          <w:tab w:val="right" w:leader="dot" w:pos="8306"/>
        </w:tabs>
      </w:pPr>
      <w:hyperlink w:anchor="_Toc17660" w:history="1">
        <w:r>
          <w:rPr>
            <w:rFonts w:ascii="宋体" w:eastAsia="宋体" w:hAnsi="宋体" w:cs="宋体" w:hint="eastAsia"/>
            <w:bCs w:val="0"/>
            <w:szCs w:val="28"/>
            <w:lang w:eastAsia="zh-CN"/>
          </w:rPr>
          <w:t>(四)、领导力在变革中的作用</w:t>
        </w:r>
        <w:r>
          <w:tab/>
        </w:r>
        <w:r>
          <w:fldChar w:fldCharType="begin"/>
        </w:r>
        <w:r>
          <w:instrText xml:space="preserve"> PAGEREF _Toc17660 \h </w:instrText>
        </w:r>
        <w:r>
          <w:fldChar w:fldCharType="separate"/>
        </w:r>
        <w:r>
          <w:t>7</w:t>
        </w:r>
        <w:r>
          <w:fldChar w:fldCharType="end"/>
        </w:r>
      </w:hyperlink>
    </w:p>
    <w:p>
      <w:pPr>
        <w:pStyle w:val="TOC1"/>
        <w:tabs>
          <w:tab w:val="right" w:leader="dot" w:pos="8306"/>
        </w:tabs>
      </w:pPr>
      <w:hyperlink w:anchor="_Toc17860" w:history="1">
        <w:r>
          <w:rPr>
            <w:rFonts w:ascii="微软雅黑" w:eastAsia="微软雅黑" w:hAnsi="微软雅黑" w:cs="微软雅黑" w:hint="eastAsia"/>
            <w:color w:val="001CAC" w:themeColor="hyperlink" w:themeShade="BF"/>
            <w:szCs w:val="32"/>
            <w:lang w:eastAsia="zh-CN"/>
          </w:rPr>
          <w:t>二、市场营销与推广策略</w:t>
        </w:r>
        <w:r>
          <w:tab/>
        </w:r>
        <w:r>
          <w:fldChar w:fldCharType="begin"/>
        </w:r>
        <w:r>
          <w:instrText xml:space="preserve"> PAGEREF _Toc17860 \h </w:instrText>
        </w:r>
        <w:r>
          <w:fldChar w:fldCharType="separate"/>
        </w:r>
        <w:r>
          <w:t>8</w:t>
        </w:r>
        <w:r>
          <w:fldChar w:fldCharType="end"/>
        </w:r>
      </w:hyperlink>
    </w:p>
    <w:p>
      <w:pPr>
        <w:pStyle w:val="TOC2"/>
        <w:tabs>
          <w:tab w:val="right" w:leader="dot" w:pos="8306"/>
        </w:tabs>
      </w:pPr>
      <w:hyperlink w:anchor="_Toc24479" w:history="1">
        <w:r>
          <w:rPr>
            <w:rFonts w:ascii="宋体" w:eastAsia="宋体" w:hAnsi="宋体" w:cs="宋体" w:hint="eastAsia"/>
            <w:bCs w:val="0"/>
            <w:szCs w:val="28"/>
            <w:lang w:eastAsia="zh-CN"/>
          </w:rPr>
          <w:t>(一)、目标市场分析</w:t>
        </w:r>
        <w:r>
          <w:tab/>
        </w:r>
        <w:r>
          <w:fldChar w:fldCharType="begin"/>
        </w:r>
        <w:r>
          <w:instrText xml:space="preserve"> PAGEREF _Toc24479 \h </w:instrText>
        </w:r>
        <w:r>
          <w:fldChar w:fldCharType="separate"/>
        </w:r>
        <w:r>
          <w:t>8</w:t>
        </w:r>
        <w:r>
          <w:fldChar w:fldCharType="end"/>
        </w:r>
      </w:hyperlink>
    </w:p>
    <w:p>
      <w:pPr>
        <w:pStyle w:val="TOC2"/>
        <w:tabs>
          <w:tab w:val="right" w:leader="dot" w:pos="8306"/>
        </w:tabs>
      </w:pPr>
      <w:hyperlink w:anchor="_Toc10089" w:history="1">
        <w:r>
          <w:rPr>
            <w:rFonts w:ascii="宋体" w:eastAsia="宋体" w:hAnsi="宋体" w:cs="宋体" w:hint="eastAsia"/>
            <w:bCs w:val="0"/>
            <w:szCs w:val="28"/>
            <w:lang w:eastAsia="zh-CN"/>
          </w:rPr>
          <w:t>(二)、市场定位与竞争分析</w:t>
        </w:r>
        <w:r>
          <w:tab/>
        </w:r>
        <w:r>
          <w:fldChar w:fldCharType="begin"/>
        </w:r>
        <w:r>
          <w:instrText xml:space="preserve"> PAGEREF _Toc10089 \h </w:instrText>
        </w:r>
        <w:r>
          <w:fldChar w:fldCharType="separate"/>
        </w:r>
        <w:r>
          <w:t>8</w:t>
        </w:r>
        <w:r>
          <w:fldChar w:fldCharType="end"/>
        </w:r>
      </w:hyperlink>
    </w:p>
    <w:p>
      <w:pPr>
        <w:pStyle w:val="TOC2"/>
        <w:tabs>
          <w:tab w:val="right" w:leader="dot" w:pos="8306"/>
        </w:tabs>
      </w:pPr>
      <w:hyperlink w:anchor="_Toc4652" w:history="1">
        <w:r>
          <w:rPr>
            <w:rFonts w:ascii="宋体" w:eastAsia="宋体" w:hAnsi="宋体" w:cs="宋体" w:hint="eastAsia"/>
            <w:bCs w:val="0"/>
            <w:szCs w:val="28"/>
            <w:lang w:eastAsia="zh-CN"/>
          </w:rPr>
          <w:t>(三)、推广与宣传策略</w:t>
        </w:r>
        <w:r>
          <w:tab/>
        </w:r>
        <w:r>
          <w:fldChar w:fldCharType="begin"/>
        </w:r>
        <w:r>
          <w:instrText xml:space="preserve"> PAGEREF _Toc4652 \h </w:instrText>
        </w:r>
        <w:r>
          <w:fldChar w:fldCharType="separate"/>
        </w:r>
        <w:r>
          <w:t>8</w:t>
        </w:r>
        <w:r>
          <w:fldChar w:fldCharType="end"/>
        </w:r>
      </w:hyperlink>
    </w:p>
    <w:p>
      <w:pPr>
        <w:pStyle w:val="TOC1"/>
        <w:tabs>
          <w:tab w:val="right" w:leader="dot" w:pos="8306"/>
        </w:tabs>
      </w:pPr>
      <w:hyperlink w:anchor="_Toc17651" w:history="1">
        <w:r>
          <w:rPr>
            <w:rFonts w:ascii="微软雅黑" w:eastAsia="微软雅黑" w:hAnsi="微软雅黑" w:cs="微软雅黑" w:hint="eastAsia"/>
            <w:color w:val="001CAC" w:themeColor="hyperlink" w:themeShade="BF"/>
            <w:szCs w:val="32"/>
            <w:lang w:eastAsia="zh-CN"/>
          </w:rPr>
          <w:t>三、烟草种植行业选址方案分析</w:t>
        </w:r>
        <w:r>
          <w:tab/>
        </w:r>
        <w:r>
          <w:fldChar w:fldCharType="begin"/>
        </w:r>
        <w:r>
          <w:instrText xml:space="preserve"> PAGEREF _Toc17651 \h </w:instrText>
        </w:r>
        <w:r>
          <w:fldChar w:fldCharType="separate"/>
        </w:r>
        <w:r>
          <w:t>9</w:t>
        </w:r>
        <w:r>
          <w:fldChar w:fldCharType="end"/>
        </w:r>
      </w:hyperlink>
    </w:p>
    <w:p>
      <w:pPr>
        <w:pStyle w:val="TOC2"/>
        <w:tabs>
          <w:tab w:val="right" w:leader="dot" w:pos="8306"/>
        </w:tabs>
      </w:pPr>
      <w:hyperlink w:anchor="_Toc26394" w:history="1">
        <w:r>
          <w:rPr>
            <w:rFonts w:ascii="宋体" w:eastAsia="宋体" w:hAnsi="宋体" w:cs="宋体" w:hint="eastAsia"/>
            <w:bCs w:val="0"/>
            <w:szCs w:val="28"/>
            <w:lang w:eastAsia="zh-CN"/>
          </w:rPr>
          <w:t>(一)、烟草种植行业选址影响因素</w:t>
        </w:r>
        <w:r>
          <w:tab/>
        </w:r>
        <w:r>
          <w:fldChar w:fldCharType="begin"/>
        </w:r>
        <w:r>
          <w:instrText xml:space="preserve"> PAGEREF _Toc26394 \h </w:instrText>
        </w:r>
        <w:r>
          <w:fldChar w:fldCharType="separate"/>
        </w:r>
        <w:r>
          <w:t>9</w:t>
        </w:r>
        <w:r>
          <w:fldChar w:fldCharType="end"/>
        </w:r>
      </w:hyperlink>
    </w:p>
    <w:p>
      <w:pPr>
        <w:pStyle w:val="TOC2"/>
        <w:tabs>
          <w:tab w:val="right" w:leader="dot" w:pos="8306"/>
        </w:tabs>
      </w:pPr>
      <w:hyperlink w:anchor="_Toc22047" w:history="1">
        <w:r>
          <w:rPr>
            <w:rFonts w:ascii="宋体" w:eastAsia="宋体" w:hAnsi="宋体" w:cs="宋体" w:hint="eastAsia"/>
            <w:bCs w:val="0"/>
            <w:szCs w:val="28"/>
            <w:lang w:eastAsia="zh-CN"/>
          </w:rPr>
          <w:t>(二)、烟草种植行业选址原则</w:t>
        </w:r>
        <w:r>
          <w:tab/>
        </w:r>
        <w:r>
          <w:fldChar w:fldCharType="begin"/>
        </w:r>
        <w:r>
          <w:instrText xml:space="preserve"> PAGEREF _Toc22047 \h </w:instrText>
        </w:r>
        <w:r>
          <w:fldChar w:fldCharType="separate"/>
        </w:r>
        <w:r>
          <w:t>11</w:t>
        </w:r>
        <w:r>
          <w:fldChar w:fldCharType="end"/>
        </w:r>
      </w:hyperlink>
    </w:p>
    <w:p>
      <w:pPr>
        <w:pStyle w:val="TOC2"/>
        <w:tabs>
          <w:tab w:val="right" w:leader="dot" w:pos="8306"/>
        </w:tabs>
      </w:pPr>
      <w:hyperlink w:anchor="_Toc14800" w:history="1">
        <w:r>
          <w:rPr>
            <w:rFonts w:ascii="宋体" w:eastAsia="宋体" w:hAnsi="宋体" w:cs="宋体" w:hint="eastAsia"/>
            <w:bCs w:val="0"/>
            <w:szCs w:val="28"/>
            <w:lang w:eastAsia="zh-CN"/>
          </w:rPr>
          <w:t>(三)、消费习惯对烟草种植行业选址的影响</w:t>
        </w:r>
        <w:r>
          <w:tab/>
        </w:r>
        <w:r>
          <w:fldChar w:fldCharType="begin"/>
        </w:r>
        <w:r>
          <w:instrText xml:space="preserve"> PAGEREF _Toc14800 \h </w:instrText>
        </w:r>
        <w:r>
          <w:fldChar w:fldCharType="separate"/>
        </w:r>
        <w:r>
          <w:t>12</w:t>
        </w:r>
        <w:r>
          <w:fldChar w:fldCharType="end"/>
        </w:r>
      </w:hyperlink>
    </w:p>
    <w:p>
      <w:pPr>
        <w:pStyle w:val="TOC2"/>
        <w:tabs>
          <w:tab w:val="right" w:leader="dot" w:pos="8306"/>
        </w:tabs>
      </w:pPr>
      <w:hyperlink w:anchor="_Toc10476" w:history="1">
        <w:r>
          <w:rPr>
            <w:rFonts w:ascii="宋体" w:eastAsia="宋体" w:hAnsi="宋体" w:cs="宋体" w:hint="eastAsia"/>
            <w:bCs w:val="0"/>
            <w:szCs w:val="28"/>
            <w:lang w:eastAsia="zh-CN"/>
          </w:rPr>
          <w:t>(四)、消费能力对烟草种植行业选址的影响</w:t>
        </w:r>
        <w:r>
          <w:tab/>
        </w:r>
        <w:r>
          <w:fldChar w:fldCharType="begin"/>
        </w:r>
        <w:r>
          <w:instrText xml:space="preserve"> PAGEREF _Toc10476 \h </w:instrText>
        </w:r>
        <w:r>
          <w:fldChar w:fldCharType="separate"/>
        </w:r>
        <w:r>
          <w:t>14</w:t>
        </w:r>
        <w:r>
          <w:fldChar w:fldCharType="end"/>
        </w:r>
      </w:hyperlink>
    </w:p>
    <w:p>
      <w:pPr>
        <w:pStyle w:val="TOC2"/>
        <w:tabs>
          <w:tab w:val="right" w:leader="dot" w:pos="8306"/>
        </w:tabs>
      </w:pPr>
      <w:hyperlink w:anchor="_Toc18364" w:history="1">
        <w:r>
          <w:rPr>
            <w:rFonts w:ascii="宋体" w:eastAsia="宋体" w:hAnsi="宋体" w:cs="宋体" w:hint="eastAsia"/>
            <w:bCs w:val="0"/>
            <w:szCs w:val="28"/>
            <w:lang w:eastAsia="zh-CN"/>
          </w:rPr>
          <w:t>(五)、经营成本对烟草种植行业选址的影响</w:t>
        </w:r>
        <w:r>
          <w:tab/>
        </w:r>
        <w:r>
          <w:fldChar w:fldCharType="begin"/>
        </w:r>
        <w:r>
          <w:instrText xml:space="preserve"> PAGEREF _Toc18364 \h </w:instrText>
        </w:r>
        <w:r>
          <w:fldChar w:fldCharType="separate"/>
        </w:r>
        <w:r>
          <w:t>15</w:t>
        </w:r>
        <w:r>
          <w:fldChar w:fldCharType="end"/>
        </w:r>
      </w:hyperlink>
    </w:p>
    <w:p>
      <w:pPr>
        <w:pStyle w:val="TOC2"/>
        <w:tabs>
          <w:tab w:val="right" w:leader="dot" w:pos="8306"/>
        </w:tabs>
      </w:pPr>
      <w:hyperlink w:anchor="_Toc14035" w:history="1">
        <w:r>
          <w:rPr>
            <w:rFonts w:ascii="宋体" w:eastAsia="宋体" w:hAnsi="宋体" w:cs="宋体" w:hint="eastAsia"/>
            <w:bCs w:val="0"/>
            <w:szCs w:val="28"/>
            <w:lang w:eastAsia="zh-CN"/>
          </w:rPr>
          <w:t>(六)、交通条件对烟草种植行业选址的影响</w:t>
        </w:r>
        <w:r>
          <w:tab/>
        </w:r>
        <w:r>
          <w:fldChar w:fldCharType="begin"/>
        </w:r>
        <w:r>
          <w:instrText xml:space="preserve"> PAGEREF _Toc14035 \h </w:instrText>
        </w:r>
        <w:r>
          <w:fldChar w:fldCharType="separate"/>
        </w:r>
        <w:r>
          <w:t>17</w:t>
        </w:r>
        <w:r>
          <w:fldChar w:fldCharType="end"/>
        </w:r>
      </w:hyperlink>
    </w:p>
    <w:p>
      <w:pPr>
        <w:pStyle w:val="TOC1"/>
        <w:tabs>
          <w:tab w:val="right" w:leader="dot" w:pos="8306"/>
        </w:tabs>
      </w:pPr>
      <w:hyperlink w:anchor="_Toc5931" w:history="1">
        <w:r>
          <w:rPr>
            <w:rFonts w:ascii="微软雅黑" w:eastAsia="微软雅黑" w:hAnsi="微软雅黑" w:cs="微软雅黑" w:hint="eastAsia"/>
            <w:color w:val="001CAC" w:themeColor="hyperlink" w:themeShade="BF"/>
            <w:szCs w:val="32"/>
            <w:lang w:eastAsia="zh-CN"/>
          </w:rPr>
          <w:t>四、质量与技术管理</w:t>
        </w:r>
        <w:r>
          <w:tab/>
        </w:r>
        <w:r>
          <w:fldChar w:fldCharType="begin"/>
        </w:r>
        <w:r>
          <w:instrText xml:space="preserve"> PAGEREF _Toc5931 \h </w:instrText>
        </w:r>
        <w:r>
          <w:fldChar w:fldCharType="separate"/>
        </w:r>
        <w:r>
          <w:t>18</w:t>
        </w:r>
        <w:r>
          <w:fldChar w:fldCharType="end"/>
        </w:r>
      </w:hyperlink>
    </w:p>
    <w:p>
      <w:pPr>
        <w:pStyle w:val="TOC2"/>
        <w:tabs>
          <w:tab w:val="right" w:leader="dot" w:pos="8306"/>
        </w:tabs>
      </w:pPr>
      <w:hyperlink w:anchor="_Toc31933" w:history="1">
        <w:r>
          <w:rPr>
            <w:rFonts w:ascii="宋体" w:eastAsia="宋体" w:hAnsi="宋体" w:cs="宋体" w:hint="eastAsia"/>
            <w:bCs w:val="0"/>
            <w:szCs w:val="28"/>
            <w:lang w:eastAsia="zh-CN"/>
          </w:rPr>
          <w:t>(一)、质量管理体系建设</w:t>
        </w:r>
        <w:r>
          <w:tab/>
        </w:r>
        <w:r>
          <w:fldChar w:fldCharType="begin"/>
        </w:r>
        <w:r>
          <w:instrText xml:space="preserve"> PAGEREF _Toc31933 \h </w:instrText>
        </w:r>
        <w:r>
          <w:fldChar w:fldCharType="separate"/>
        </w:r>
        <w:r>
          <w:t>18</w:t>
        </w:r>
        <w:r>
          <w:fldChar w:fldCharType="end"/>
        </w:r>
      </w:hyperlink>
    </w:p>
    <w:p>
      <w:pPr>
        <w:pStyle w:val="TOC2"/>
        <w:tabs>
          <w:tab w:val="right" w:leader="dot" w:pos="8306"/>
        </w:tabs>
      </w:pPr>
      <w:hyperlink w:anchor="_Toc18925" w:history="1">
        <w:r>
          <w:rPr>
            <w:rFonts w:ascii="宋体" w:eastAsia="宋体" w:hAnsi="宋体" w:cs="宋体" w:hint="eastAsia"/>
            <w:bCs w:val="0"/>
            <w:szCs w:val="28"/>
            <w:lang w:eastAsia="zh-CN"/>
          </w:rPr>
          <w:t>(二)、技术标准与创新</w:t>
        </w:r>
        <w:r>
          <w:tab/>
        </w:r>
        <w:r>
          <w:fldChar w:fldCharType="begin"/>
        </w:r>
        <w:r>
          <w:instrText xml:space="preserve"> PAGEREF _Toc18925 \h </w:instrText>
        </w:r>
        <w:r>
          <w:fldChar w:fldCharType="separate"/>
        </w:r>
        <w:r>
          <w:t>19</w:t>
        </w:r>
        <w:r>
          <w:fldChar w:fldCharType="end"/>
        </w:r>
      </w:hyperlink>
    </w:p>
    <w:p>
      <w:pPr>
        <w:pStyle w:val="TOC1"/>
        <w:tabs>
          <w:tab w:val="right" w:leader="dot" w:pos="8306"/>
        </w:tabs>
      </w:pPr>
      <w:hyperlink w:anchor="_Toc29594" w:history="1">
        <w:r>
          <w:rPr>
            <w:rFonts w:ascii="微软雅黑" w:eastAsia="微软雅黑" w:hAnsi="微软雅黑" w:cs="微软雅黑" w:hint="eastAsia"/>
            <w:color w:val="001CAC" w:themeColor="hyperlink" w:themeShade="BF"/>
            <w:szCs w:val="32"/>
            <w:lang w:eastAsia="zh-CN"/>
          </w:rPr>
          <w:t>五、可持续发展与绿色经营</w:t>
        </w:r>
        <w:r>
          <w:tab/>
        </w:r>
        <w:r>
          <w:fldChar w:fldCharType="begin"/>
        </w:r>
        <w:r>
          <w:instrText xml:space="preserve"> PAGEREF _Toc29594 \h </w:instrText>
        </w:r>
        <w:r>
          <w:fldChar w:fldCharType="separate"/>
        </w:r>
        <w:r>
          <w:t>20</w:t>
        </w:r>
        <w:r>
          <w:fldChar w:fldCharType="end"/>
        </w:r>
      </w:hyperlink>
    </w:p>
    <w:p>
      <w:pPr>
        <w:pStyle w:val="TOC2"/>
        <w:tabs>
          <w:tab w:val="right" w:leader="dot" w:pos="8306"/>
        </w:tabs>
      </w:pPr>
      <w:hyperlink w:anchor="_Toc25096" w:history="1">
        <w:r>
          <w:rPr>
            <w:rFonts w:ascii="宋体" w:eastAsia="宋体" w:hAnsi="宋体" w:cs="宋体" w:hint="eastAsia"/>
            <w:bCs w:val="0"/>
            <w:szCs w:val="28"/>
            <w:lang w:eastAsia="zh-CN"/>
          </w:rPr>
          <w:t>(一)、可持续发展战略与目标</w:t>
        </w:r>
        <w:r>
          <w:tab/>
        </w:r>
        <w:r>
          <w:fldChar w:fldCharType="begin"/>
        </w:r>
        <w:r>
          <w:instrText xml:space="preserve"> PAGEREF _Toc25096 \h </w:instrText>
        </w:r>
        <w:r>
          <w:fldChar w:fldCharType="separate"/>
        </w:r>
        <w:r>
          <w:t>20</w:t>
        </w:r>
        <w:r>
          <w:fldChar w:fldCharType="end"/>
        </w:r>
      </w:hyperlink>
    </w:p>
    <w:p>
      <w:pPr>
        <w:pStyle w:val="TOC2"/>
        <w:tabs>
          <w:tab w:val="right" w:leader="dot" w:pos="8306"/>
        </w:tabs>
      </w:pPr>
      <w:hyperlink w:anchor="_Toc14029" w:history="1">
        <w:r>
          <w:rPr>
            <w:rFonts w:ascii="宋体" w:eastAsia="宋体" w:hAnsi="宋体" w:cs="宋体" w:hint="eastAsia"/>
            <w:bCs w:val="0"/>
            <w:szCs w:val="28"/>
            <w:lang w:eastAsia="zh-CN"/>
          </w:rPr>
          <w:t>(二)、环保政策与实践</w:t>
        </w:r>
        <w:r>
          <w:tab/>
        </w:r>
        <w:r>
          <w:fldChar w:fldCharType="begin"/>
        </w:r>
        <w:r>
          <w:instrText xml:space="preserve"> PAGEREF _Toc14029 \h </w:instrText>
        </w:r>
        <w:r>
          <w:fldChar w:fldCharType="separate"/>
        </w:r>
        <w:r>
          <w:t>22</w:t>
        </w:r>
        <w:r>
          <w:fldChar w:fldCharType="end"/>
        </w:r>
      </w:hyperlink>
    </w:p>
    <w:p>
      <w:pPr>
        <w:pStyle w:val="TOC2"/>
        <w:tabs>
          <w:tab w:val="right" w:leader="dot" w:pos="8306"/>
        </w:tabs>
      </w:pPr>
      <w:hyperlink w:anchor="_Toc28932" w:history="1">
        <w:r>
          <w:rPr>
            <w:rFonts w:ascii="宋体" w:eastAsia="宋体" w:hAnsi="宋体" w:cs="宋体" w:hint="eastAsia"/>
            <w:bCs w:val="0"/>
            <w:szCs w:val="28"/>
            <w:lang w:eastAsia="zh-CN"/>
          </w:rPr>
          <w:t>(三)、资源利用与循环经济</w:t>
        </w:r>
        <w:r>
          <w:tab/>
        </w:r>
        <w:r>
          <w:fldChar w:fldCharType="begin"/>
        </w:r>
        <w:r>
          <w:instrText xml:space="preserve"> PAGEREF _Toc28932 \h </w:instrText>
        </w:r>
        <w:r>
          <w:fldChar w:fldCharType="separate"/>
        </w:r>
        <w:r>
          <w:t>24</w:t>
        </w:r>
        <w:r>
          <w:fldChar w:fldCharType="end"/>
        </w:r>
      </w:hyperlink>
    </w:p>
    <w:p>
      <w:pPr>
        <w:pStyle w:val="TOC2"/>
        <w:tabs>
          <w:tab w:val="right" w:leader="dot" w:pos="8306"/>
        </w:tabs>
      </w:pPr>
      <w:hyperlink w:anchor="_Toc3776" w:history="1">
        <w:r>
          <w:rPr>
            <w:rFonts w:ascii="宋体" w:eastAsia="宋体" w:hAnsi="宋体" w:cs="宋体" w:hint="eastAsia"/>
            <w:bCs w:val="0"/>
            <w:szCs w:val="28"/>
            <w:lang w:eastAsia="zh-CN"/>
          </w:rPr>
          <w:t>(四)、碳中和与生态足迹</w:t>
        </w:r>
        <w:r>
          <w:tab/>
        </w:r>
        <w:r>
          <w:fldChar w:fldCharType="begin"/>
        </w:r>
        <w:r>
          <w:instrText xml:space="preserve"> PAGEREF _Toc3776 \h </w:instrText>
        </w:r>
        <w:r>
          <w:fldChar w:fldCharType="separate"/>
        </w:r>
        <w:r>
          <w:t>25</w:t>
        </w:r>
        <w:r>
          <w:fldChar w:fldCharType="end"/>
        </w:r>
      </w:hyperlink>
    </w:p>
    <w:p>
      <w:pPr>
        <w:pStyle w:val="TOC1"/>
        <w:tabs>
          <w:tab w:val="right" w:leader="dot" w:pos="8306"/>
        </w:tabs>
      </w:pPr>
      <w:hyperlink w:anchor="_Toc11926" w:history="1">
        <w:r>
          <w:rPr>
            <w:rFonts w:ascii="微软雅黑" w:eastAsia="微软雅黑" w:hAnsi="微软雅黑" w:cs="微软雅黑" w:hint="eastAsia"/>
            <w:color w:val="001CAC" w:themeColor="hyperlink" w:themeShade="BF"/>
            <w:szCs w:val="32"/>
            <w:lang w:eastAsia="zh-CN"/>
          </w:rPr>
          <w:t>六、烟草种植行业质量管理方案</w:t>
        </w:r>
        <w:r>
          <w:tab/>
        </w:r>
        <w:r>
          <w:fldChar w:fldCharType="begin"/>
        </w:r>
        <w:r>
          <w:instrText xml:space="preserve"> PAGEREF _Toc11926 \h </w:instrText>
        </w:r>
        <w:r>
          <w:fldChar w:fldCharType="separate"/>
        </w:r>
        <w:r>
          <w:t>27</w:t>
        </w:r>
        <w:r>
          <w:fldChar w:fldCharType="end"/>
        </w:r>
      </w:hyperlink>
    </w:p>
    <w:p>
      <w:pPr>
        <w:pStyle w:val="TOC2"/>
        <w:tabs>
          <w:tab w:val="right" w:leader="dot" w:pos="8306"/>
        </w:tabs>
      </w:pPr>
      <w:hyperlink w:anchor="_Toc2404" w:history="1">
        <w:r>
          <w:rPr>
            <w:rFonts w:ascii="宋体" w:eastAsia="宋体" w:hAnsi="宋体" w:cs="宋体" w:hint="eastAsia"/>
            <w:bCs w:val="0"/>
            <w:szCs w:val="28"/>
            <w:lang w:eastAsia="zh-CN"/>
          </w:rPr>
          <w:t>(一)、烟草种植行业质量管理要求</w:t>
        </w:r>
        <w:r>
          <w:tab/>
        </w:r>
        <w:r>
          <w:fldChar w:fldCharType="begin"/>
        </w:r>
        <w:r>
          <w:instrText xml:space="preserve"> PAGEREF _Toc2404 \h </w:instrText>
        </w:r>
        <w:r>
          <w:fldChar w:fldCharType="separate"/>
        </w:r>
        <w:r>
          <w:t>27</w:t>
        </w:r>
        <w:r>
          <w:fldChar w:fldCharType="end"/>
        </w:r>
      </w:hyperlink>
    </w:p>
    <w:p>
      <w:pPr>
        <w:pStyle w:val="TOC2"/>
        <w:tabs>
          <w:tab w:val="right" w:leader="dot" w:pos="8306"/>
        </w:tabs>
      </w:pPr>
      <w:hyperlink w:anchor="_Toc6586" w:history="1">
        <w:r>
          <w:rPr>
            <w:rFonts w:ascii="宋体" w:eastAsia="宋体" w:hAnsi="宋体" w:cs="宋体" w:hint="eastAsia"/>
            <w:bCs w:val="0"/>
            <w:szCs w:val="28"/>
            <w:lang w:eastAsia="zh-CN"/>
          </w:rPr>
          <w:t>(二)、烟草种植行业服务质量管理方案</w:t>
        </w:r>
        <w:r>
          <w:tab/>
        </w:r>
        <w:r>
          <w:fldChar w:fldCharType="begin"/>
        </w:r>
        <w:r>
          <w:instrText xml:space="preserve"> PAGEREF _Toc6586 \h </w:instrText>
        </w:r>
        <w:r>
          <w:fldChar w:fldCharType="separate"/>
        </w:r>
        <w:r>
          <w:t>28</w:t>
        </w:r>
        <w:r>
          <w:fldChar w:fldCharType="end"/>
        </w:r>
      </w:hyperlink>
    </w:p>
    <w:p>
      <w:pPr>
        <w:pStyle w:val="TOC2"/>
        <w:tabs>
          <w:tab w:val="right" w:leader="dot" w:pos="8306"/>
        </w:tabs>
      </w:pPr>
      <w:hyperlink w:anchor="_Toc22377" w:history="1">
        <w:r>
          <w:rPr>
            <w:rFonts w:ascii="宋体" w:eastAsia="宋体" w:hAnsi="宋体" w:cs="宋体" w:hint="eastAsia"/>
            <w:bCs w:val="0"/>
            <w:szCs w:val="28"/>
            <w:lang w:eastAsia="zh-CN"/>
          </w:rPr>
          <w:t>(三)、烟草种植行业质量成本管理方案</w:t>
        </w:r>
        <w:r>
          <w:tab/>
        </w:r>
        <w:r>
          <w:fldChar w:fldCharType="begin"/>
        </w:r>
        <w:r>
          <w:instrText xml:space="preserve"> PAGEREF _Toc22377 \h </w:instrText>
        </w:r>
        <w:r>
          <w:fldChar w:fldCharType="separate"/>
        </w:r>
        <w:r>
          <w:t>29</w:t>
        </w:r>
        <w:r>
          <w:fldChar w:fldCharType="end"/>
        </w:r>
      </w:hyperlink>
    </w:p>
    <w:p>
      <w:pPr>
        <w:pStyle w:val="TOC1"/>
        <w:tabs>
          <w:tab w:val="right" w:leader="dot" w:pos="8306"/>
        </w:tabs>
      </w:pPr>
      <w:hyperlink w:anchor="_Toc8054" w:history="1">
        <w:r>
          <w:rPr>
            <w:rFonts w:ascii="微软雅黑" w:eastAsia="微软雅黑" w:hAnsi="微软雅黑" w:cs="微软雅黑" w:hint="eastAsia"/>
            <w:color w:val="001CAC" w:themeColor="hyperlink" w:themeShade="BF"/>
            <w:szCs w:val="32"/>
            <w:lang w:eastAsia="zh-CN"/>
          </w:rPr>
          <w:t>七、公司文化与社会责任</w:t>
        </w:r>
        <w:r>
          <w:tab/>
        </w:r>
        <w:r>
          <w:fldChar w:fldCharType="begin"/>
        </w:r>
        <w:r>
          <w:instrText xml:space="preserve"> PAGEREF _Toc8054 \h </w:instrText>
        </w:r>
        <w:r>
          <w:fldChar w:fldCharType="separate"/>
        </w:r>
        <w:r>
          <w:t>30</w:t>
        </w:r>
        <w:r>
          <w:fldChar w:fldCharType="end"/>
        </w:r>
      </w:hyperlink>
    </w:p>
    <w:p>
      <w:pPr>
        <w:pStyle w:val="TOC2"/>
        <w:tabs>
          <w:tab w:val="right" w:leader="dot" w:pos="8306"/>
        </w:tabs>
      </w:pPr>
      <w:hyperlink w:anchor="_Toc7277" w:history="1">
        <w:r>
          <w:rPr>
            <w:rFonts w:ascii="宋体" w:eastAsia="宋体" w:hAnsi="宋体" w:cs="宋体" w:hint="eastAsia"/>
            <w:bCs w:val="0"/>
            <w:szCs w:val="28"/>
            <w:lang w:eastAsia="zh-CN"/>
          </w:rPr>
          <w:t>(一)、公司文化建设</w:t>
        </w:r>
        <w:r>
          <w:tab/>
        </w:r>
        <w:r>
          <w:fldChar w:fldCharType="begin"/>
        </w:r>
        <w:r>
          <w:instrText xml:space="preserve"> PAGEREF _Toc7277 \h </w:instrText>
        </w:r>
        <w:r>
          <w:fldChar w:fldCharType="separate"/>
        </w:r>
        <w:r>
          <w:t>30</w:t>
        </w:r>
        <w:r>
          <w:fldChar w:fldCharType="end"/>
        </w:r>
      </w:hyperlink>
    </w:p>
    <w:p>
      <w:pPr>
        <w:pStyle w:val="TOC2"/>
        <w:tabs>
          <w:tab w:val="right" w:leader="dot" w:pos="8306"/>
        </w:tabs>
      </w:pPr>
      <w:hyperlink w:anchor="_Toc23774" w:history="1">
        <w:r>
          <w:rPr>
            <w:rFonts w:ascii="宋体" w:eastAsia="宋体" w:hAnsi="宋体" w:cs="宋体" w:hint="eastAsia"/>
            <w:bCs w:val="0"/>
            <w:szCs w:val="28"/>
            <w:lang w:eastAsia="zh-CN"/>
          </w:rPr>
          <w:t>(二)、企业社会责任与可持续发展</w:t>
        </w:r>
        <w:r>
          <w:tab/>
        </w:r>
        <w:r>
          <w:fldChar w:fldCharType="begin"/>
        </w:r>
        <w:r>
          <w:instrText xml:space="preserve"> PAGEREF _Toc23774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72" w:history="1">
        <w:r>
          <w:rPr>
            <w:rFonts w:ascii="微软雅黑" w:eastAsia="微软雅黑" w:hAnsi="微软雅黑" w:cs="微软雅黑" w:hint="eastAsia"/>
            <w:color w:val="001CAC" w:themeColor="hyperlink" w:themeShade="BF"/>
            <w:szCs w:val="32"/>
            <w:lang w:eastAsia="zh-CN"/>
          </w:rPr>
          <w:t>八、制度运行与优化</w:t>
        </w:r>
        <w:r>
          <w:tab/>
        </w:r>
        <w:r>
          <w:fldChar w:fldCharType="begin"/>
        </w:r>
        <w:r>
          <w:instrText xml:space="preserve"> PAGEREF _Toc4472 \h </w:instrText>
        </w:r>
        <w:r>
          <w:fldChar w:fldCharType="separate"/>
        </w:r>
        <w:r>
          <w:t>31</w:t>
        </w:r>
        <w:r>
          <w:fldChar w:fldCharType="end"/>
        </w:r>
      </w:hyperlink>
    </w:p>
    <w:p>
      <w:pPr>
        <w:pStyle w:val="TOC2"/>
        <w:tabs>
          <w:tab w:val="right" w:leader="dot" w:pos="8306"/>
        </w:tabs>
      </w:pPr>
      <w:hyperlink w:anchor="_Toc32275" w:history="1">
        <w:r>
          <w:rPr>
            <w:rFonts w:ascii="宋体" w:eastAsia="宋体" w:hAnsi="宋体" w:cs="宋体" w:hint="eastAsia"/>
            <w:bCs w:val="0"/>
            <w:szCs w:val="28"/>
            <w:lang w:eastAsia="zh-CN"/>
          </w:rPr>
          <w:t>(一)、制度执行与监督</w:t>
        </w:r>
        <w:r>
          <w:tab/>
        </w:r>
        <w:r>
          <w:fldChar w:fldCharType="begin"/>
        </w:r>
        <w:r>
          <w:instrText xml:space="preserve"> PAGEREF _Toc32275 \h </w:instrText>
        </w:r>
        <w:r>
          <w:fldChar w:fldCharType="separate"/>
        </w:r>
        <w:r>
          <w:t>31</w:t>
        </w:r>
        <w:r>
          <w:fldChar w:fldCharType="end"/>
        </w:r>
      </w:hyperlink>
    </w:p>
    <w:p>
      <w:pPr>
        <w:pStyle w:val="TOC2"/>
        <w:tabs>
          <w:tab w:val="right" w:leader="dot" w:pos="8306"/>
        </w:tabs>
      </w:pPr>
      <w:hyperlink w:anchor="_Toc5243" w:history="1">
        <w:r>
          <w:rPr>
            <w:rFonts w:ascii="宋体" w:eastAsia="宋体" w:hAnsi="宋体" w:cs="宋体" w:hint="eastAsia"/>
            <w:bCs w:val="0"/>
            <w:szCs w:val="28"/>
            <w:lang w:eastAsia="zh-CN"/>
          </w:rPr>
          <w:t>(二)、制度优化与更新</w:t>
        </w:r>
        <w:r>
          <w:tab/>
        </w:r>
        <w:r>
          <w:fldChar w:fldCharType="begin"/>
        </w:r>
        <w:r>
          <w:instrText xml:space="preserve"> PAGEREF _Toc5243 \h </w:instrText>
        </w:r>
        <w:r>
          <w:fldChar w:fldCharType="separate"/>
        </w:r>
        <w:r>
          <w:t>32</w:t>
        </w:r>
        <w:r>
          <w:fldChar w:fldCharType="end"/>
        </w:r>
      </w:hyperlink>
    </w:p>
    <w:p>
      <w:pPr>
        <w:pStyle w:val="TOC1"/>
        <w:tabs>
          <w:tab w:val="right" w:leader="dot" w:pos="8306"/>
        </w:tabs>
      </w:pPr>
      <w:hyperlink w:anchor="_Toc2635" w:history="1">
        <w:r>
          <w:rPr>
            <w:rFonts w:ascii="微软雅黑" w:eastAsia="微软雅黑" w:hAnsi="微软雅黑" w:cs="微软雅黑" w:hint="eastAsia"/>
            <w:color w:val="001CAC" w:themeColor="hyperlink" w:themeShade="BF"/>
            <w:szCs w:val="32"/>
            <w:lang w:eastAsia="zh-CN"/>
          </w:rPr>
          <w:t>九、项目技术流程</w:t>
        </w:r>
        <w:r>
          <w:tab/>
        </w:r>
        <w:r>
          <w:fldChar w:fldCharType="begin"/>
        </w:r>
        <w:r>
          <w:instrText xml:space="preserve"> PAGEREF _Toc2635 \h </w:instrText>
        </w:r>
        <w:r>
          <w:fldChar w:fldCharType="separate"/>
        </w:r>
        <w:r>
          <w:t>33</w:t>
        </w:r>
        <w:r>
          <w:fldChar w:fldCharType="end"/>
        </w:r>
      </w:hyperlink>
    </w:p>
    <w:p>
      <w:pPr>
        <w:pStyle w:val="TOC2"/>
        <w:tabs>
          <w:tab w:val="right" w:leader="dot" w:pos="8306"/>
        </w:tabs>
      </w:pPr>
      <w:hyperlink w:anchor="_Toc21680" w:history="1">
        <w:r>
          <w:rPr>
            <w:rFonts w:ascii="宋体" w:eastAsia="宋体" w:hAnsi="宋体" w:cs="宋体" w:hint="eastAsia"/>
            <w:bCs w:val="0"/>
            <w:szCs w:val="28"/>
            <w:lang w:eastAsia="zh-CN"/>
          </w:rPr>
          <w:t>(一)、技术方案选择</w:t>
        </w:r>
        <w:r>
          <w:tab/>
        </w:r>
        <w:r>
          <w:fldChar w:fldCharType="begin"/>
        </w:r>
        <w:r>
          <w:instrText xml:space="preserve"> PAGEREF _Toc21680 \h </w:instrText>
        </w:r>
        <w:r>
          <w:fldChar w:fldCharType="separate"/>
        </w:r>
        <w:r>
          <w:t>33</w:t>
        </w:r>
        <w:r>
          <w:fldChar w:fldCharType="end"/>
        </w:r>
      </w:hyperlink>
    </w:p>
    <w:p>
      <w:pPr>
        <w:pStyle w:val="TOC2"/>
        <w:tabs>
          <w:tab w:val="right" w:leader="dot" w:pos="8306"/>
        </w:tabs>
      </w:pPr>
      <w:hyperlink w:anchor="_Toc11570" w:history="1">
        <w:r>
          <w:rPr>
            <w:rFonts w:ascii="宋体" w:eastAsia="宋体" w:hAnsi="宋体" w:cs="宋体" w:hint="eastAsia"/>
            <w:bCs w:val="0"/>
            <w:szCs w:val="28"/>
            <w:lang w:eastAsia="zh-CN"/>
          </w:rPr>
          <w:t>(二)、设备选型方案</w:t>
        </w:r>
        <w:r>
          <w:tab/>
        </w:r>
        <w:r>
          <w:fldChar w:fldCharType="begin"/>
        </w:r>
        <w:r>
          <w:instrText xml:space="preserve"> PAGEREF _Toc11570 \h </w:instrText>
        </w:r>
        <w:r>
          <w:fldChar w:fldCharType="separate"/>
        </w:r>
        <w:r>
          <w:t>33</w:t>
        </w:r>
        <w:r>
          <w:fldChar w:fldCharType="end"/>
        </w:r>
      </w:hyperlink>
    </w:p>
    <w:p>
      <w:pPr>
        <w:pStyle w:val="TOC2"/>
        <w:tabs>
          <w:tab w:val="right" w:leader="dot" w:pos="8306"/>
        </w:tabs>
      </w:pPr>
      <w:hyperlink w:anchor="_Toc2827" w:history="1">
        <w:r>
          <w:rPr>
            <w:rFonts w:ascii="宋体" w:eastAsia="宋体" w:hAnsi="宋体" w:cs="宋体" w:hint="eastAsia"/>
            <w:bCs w:val="0"/>
            <w:szCs w:val="28"/>
            <w:lang w:eastAsia="zh-CN"/>
          </w:rPr>
          <w:t>(三)、技术流程与工艺设计</w:t>
        </w:r>
        <w:r>
          <w:tab/>
        </w:r>
        <w:r>
          <w:fldChar w:fldCharType="begin"/>
        </w:r>
        <w:r>
          <w:instrText xml:space="preserve"> PAGEREF _Toc2827 \h </w:instrText>
        </w:r>
        <w:r>
          <w:fldChar w:fldCharType="separate"/>
        </w:r>
        <w:r>
          <w:t>34</w:t>
        </w:r>
        <w:r>
          <w:fldChar w:fldCharType="end"/>
        </w:r>
      </w:hyperlink>
    </w:p>
    <w:p>
      <w:pPr>
        <w:pStyle w:val="TOC1"/>
        <w:tabs>
          <w:tab w:val="right" w:leader="dot" w:pos="8306"/>
        </w:tabs>
      </w:pPr>
      <w:hyperlink w:anchor="_Toc20504" w:history="1">
        <w:r>
          <w:rPr>
            <w:rFonts w:ascii="微软雅黑" w:eastAsia="微软雅黑" w:hAnsi="微软雅黑" w:cs="微软雅黑" w:hint="eastAsia"/>
            <w:color w:val="001CAC" w:themeColor="hyperlink" w:themeShade="BF"/>
            <w:szCs w:val="32"/>
            <w:lang w:eastAsia="zh-CN"/>
          </w:rPr>
          <w:t>十、烟草种植行业运营管理及商业模式分析</w:t>
        </w:r>
        <w:r>
          <w:tab/>
        </w:r>
        <w:r>
          <w:fldChar w:fldCharType="begin"/>
        </w:r>
        <w:r>
          <w:instrText xml:space="preserve"> PAGEREF _Toc20504 \h </w:instrText>
        </w:r>
        <w:r>
          <w:fldChar w:fldCharType="separate"/>
        </w:r>
        <w:r>
          <w:t>35</w:t>
        </w:r>
        <w:r>
          <w:fldChar w:fldCharType="end"/>
        </w:r>
      </w:hyperlink>
    </w:p>
    <w:p>
      <w:pPr>
        <w:pStyle w:val="TOC2"/>
        <w:tabs>
          <w:tab w:val="right" w:leader="dot" w:pos="8306"/>
        </w:tabs>
      </w:pPr>
      <w:hyperlink w:anchor="_Toc26393" w:history="1">
        <w:r>
          <w:rPr>
            <w:rFonts w:ascii="宋体" w:eastAsia="宋体" w:hAnsi="宋体" w:cs="宋体" w:hint="eastAsia"/>
            <w:bCs w:val="0"/>
            <w:szCs w:val="28"/>
            <w:lang w:eastAsia="zh-CN"/>
          </w:rPr>
          <w:t>(一)、烟草种植行业数字化发展方案</w:t>
        </w:r>
        <w:r>
          <w:tab/>
        </w:r>
        <w:r>
          <w:fldChar w:fldCharType="begin"/>
        </w:r>
        <w:r>
          <w:instrText xml:space="preserve"> PAGEREF _Toc26393 \h </w:instrText>
        </w:r>
        <w:r>
          <w:fldChar w:fldCharType="separate"/>
        </w:r>
        <w:r>
          <w:t>35</w:t>
        </w:r>
        <w:r>
          <w:fldChar w:fldCharType="end"/>
        </w:r>
      </w:hyperlink>
    </w:p>
    <w:p>
      <w:pPr>
        <w:pStyle w:val="TOC2"/>
        <w:tabs>
          <w:tab w:val="right" w:leader="dot" w:pos="8306"/>
        </w:tabs>
      </w:pPr>
      <w:hyperlink w:anchor="_Toc10698" w:history="1">
        <w:r>
          <w:rPr>
            <w:rFonts w:ascii="宋体" w:eastAsia="宋体" w:hAnsi="宋体" w:cs="宋体" w:hint="eastAsia"/>
            <w:bCs w:val="0"/>
            <w:szCs w:val="28"/>
            <w:lang w:eastAsia="zh-CN"/>
          </w:rPr>
          <w:t>(二)、烟草种植行业新型运营方式</w:t>
        </w:r>
        <w:r>
          <w:tab/>
        </w:r>
        <w:r>
          <w:fldChar w:fldCharType="begin"/>
        </w:r>
        <w:r>
          <w:instrText xml:space="preserve"> PAGEREF _Toc10698 \h </w:instrText>
        </w:r>
        <w:r>
          <w:fldChar w:fldCharType="separate"/>
        </w:r>
        <w:r>
          <w:t>38</w:t>
        </w:r>
        <w:r>
          <w:fldChar w:fldCharType="end"/>
        </w:r>
      </w:hyperlink>
    </w:p>
    <w:p>
      <w:pPr>
        <w:pStyle w:val="TOC2"/>
        <w:tabs>
          <w:tab w:val="right" w:leader="dot" w:pos="8306"/>
        </w:tabs>
      </w:pPr>
      <w:hyperlink w:anchor="_Toc23561" w:history="1">
        <w:r>
          <w:rPr>
            <w:rFonts w:ascii="宋体" w:eastAsia="宋体" w:hAnsi="宋体" w:cs="宋体" w:hint="eastAsia"/>
            <w:bCs w:val="0"/>
            <w:szCs w:val="28"/>
            <w:lang w:eastAsia="zh-CN"/>
          </w:rPr>
          <w:t>(三)、烟草种植行业风险管理</w:t>
        </w:r>
        <w:r>
          <w:tab/>
        </w:r>
        <w:r>
          <w:fldChar w:fldCharType="begin"/>
        </w:r>
        <w:r>
          <w:instrText xml:space="preserve"> PAGEREF _Toc23561 \h </w:instrText>
        </w:r>
        <w:r>
          <w:fldChar w:fldCharType="separate"/>
        </w:r>
        <w:r>
          <w:t>41</w:t>
        </w:r>
        <w:r>
          <w:fldChar w:fldCharType="end"/>
        </w:r>
      </w:hyperlink>
    </w:p>
    <w:p>
      <w:pPr>
        <w:pStyle w:val="TOC1"/>
        <w:tabs>
          <w:tab w:val="right" w:leader="dot" w:pos="8306"/>
        </w:tabs>
      </w:pPr>
      <w:hyperlink w:anchor="_Toc25102" w:history="1">
        <w:r>
          <w:rPr>
            <w:rFonts w:ascii="微软雅黑" w:eastAsia="微软雅黑" w:hAnsi="微软雅黑" w:cs="微软雅黑" w:hint="eastAsia"/>
            <w:color w:val="001CAC" w:themeColor="hyperlink" w:themeShade="BF"/>
            <w:szCs w:val="32"/>
            <w:lang w:eastAsia="zh-CN"/>
          </w:rPr>
          <w:t>十一、烟草种植行业财务管理分析</w:t>
        </w:r>
        <w:r>
          <w:tab/>
        </w:r>
        <w:r>
          <w:fldChar w:fldCharType="begin"/>
        </w:r>
        <w:r>
          <w:instrText xml:space="preserve"> PAGEREF _Toc25102 \h </w:instrText>
        </w:r>
        <w:r>
          <w:fldChar w:fldCharType="separate"/>
        </w:r>
        <w:r>
          <w:t>45</w:t>
        </w:r>
        <w:r>
          <w:fldChar w:fldCharType="end"/>
        </w:r>
      </w:hyperlink>
    </w:p>
    <w:p>
      <w:pPr>
        <w:pStyle w:val="TOC2"/>
        <w:tabs>
          <w:tab w:val="right" w:leader="dot" w:pos="8306"/>
        </w:tabs>
      </w:pPr>
      <w:hyperlink w:anchor="_Toc5798" w:history="1">
        <w:r>
          <w:rPr>
            <w:rFonts w:ascii="宋体" w:eastAsia="宋体" w:hAnsi="宋体" w:cs="宋体" w:hint="eastAsia"/>
            <w:bCs w:val="0"/>
            <w:szCs w:val="28"/>
            <w:lang w:eastAsia="zh-CN"/>
          </w:rPr>
          <w:t>(一)、烟草种植行业财务管理制度</w:t>
        </w:r>
        <w:r>
          <w:tab/>
        </w:r>
        <w:r>
          <w:fldChar w:fldCharType="begin"/>
        </w:r>
        <w:r>
          <w:instrText xml:space="preserve"> PAGEREF _Toc5798 \h </w:instrText>
        </w:r>
        <w:r>
          <w:fldChar w:fldCharType="separate"/>
        </w:r>
        <w:r>
          <w:t>45</w:t>
        </w:r>
        <w:r>
          <w:fldChar w:fldCharType="end"/>
        </w:r>
      </w:hyperlink>
    </w:p>
    <w:p>
      <w:pPr>
        <w:pStyle w:val="TOC2"/>
        <w:tabs>
          <w:tab w:val="right" w:leader="dot" w:pos="8306"/>
        </w:tabs>
      </w:pPr>
      <w:hyperlink w:anchor="_Toc3605" w:history="1">
        <w:r>
          <w:rPr>
            <w:rFonts w:ascii="宋体" w:eastAsia="宋体" w:hAnsi="宋体" w:cs="宋体" w:hint="eastAsia"/>
            <w:bCs w:val="0"/>
            <w:szCs w:val="28"/>
            <w:lang w:eastAsia="zh-CN"/>
          </w:rPr>
          <w:t>(二)、烟草种植行业经济效益分析</w:t>
        </w:r>
        <w:r>
          <w:tab/>
        </w:r>
        <w:r>
          <w:fldChar w:fldCharType="begin"/>
        </w:r>
        <w:r>
          <w:instrText xml:space="preserve"> PAGEREF _Toc3605 \h </w:instrText>
        </w:r>
        <w:r>
          <w:fldChar w:fldCharType="separate"/>
        </w:r>
        <w:r>
          <w:t>47</w:t>
        </w:r>
        <w:r>
          <w:fldChar w:fldCharType="end"/>
        </w:r>
      </w:hyperlink>
    </w:p>
    <w:p>
      <w:pPr>
        <w:pStyle w:val="TOC2"/>
        <w:tabs>
          <w:tab w:val="right" w:leader="dot" w:pos="8306"/>
        </w:tabs>
      </w:pPr>
      <w:hyperlink w:anchor="_Toc27797" w:history="1">
        <w:r>
          <w:rPr>
            <w:rFonts w:ascii="宋体" w:eastAsia="宋体" w:hAnsi="宋体" w:cs="宋体" w:hint="eastAsia"/>
            <w:bCs w:val="0"/>
            <w:szCs w:val="28"/>
            <w:lang w:eastAsia="zh-CN"/>
          </w:rPr>
          <w:t>(三)、烟草种植行业收入及成本核算</w:t>
        </w:r>
        <w:r>
          <w:tab/>
        </w:r>
        <w:r>
          <w:fldChar w:fldCharType="begin"/>
        </w:r>
        <w:r>
          <w:instrText xml:space="preserve"> PAGEREF _Toc27797 \h </w:instrText>
        </w:r>
        <w:r>
          <w:fldChar w:fldCharType="separate"/>
        </w:r>
        <w:r>
          <w:t>48</w:t>
        </w:r>
        <w:r>
          <w:fldChar w:fldCharType="end"/>
        </w:r>
      </w:hyperlink>
    </w:p>
    <w:p>
      <w:pPr>
        <w:pStyle w:val="TOC2"/>
        <w:tabs>
          <w:tab w:val="right" w:leader="dot" w:pos="8306"/>
        </w:tabs>
      </w:pPr>
      <w:hyperlink w:anchor="_Toc13663" w:history="1">
        <w:r>
          <w:rPr>
            <w:rFonts w:ascii="宋体" w:eastAsia="宋体" w:hAnsi="宋体" w:cs="宋体" w:hint="eastAsia"/>
            <w:bCs w:val="0"/>
            <w:szCs w:val="28"/>
            <w:lang w:eastAsia="zh-CN"/>
          </w:rPr>
          <w:t>(四)、烟草种植行业成本管理</w:t>
        </w:r>
        <w:r>
          <w:tab/>
        </w:r>
        <w:r>
          <w:fldChar w:fldCharType="begin"/>
        </w:r>
        <w:r>
          <w:instrText xml:space="preserve"> PAGEREF _Toc13663 \h </w:instrText>
        </w:r>
        <w:r>
          <w:fldChar w:fldCharType="separate"/>
        </w:r>
        <w:r>
          <w:t>50</w:t>
        </w:r>
        <w:r>
          <w:fldChar w:fldCharType="end"/>
        </w:r>
      </w:hyperlink>
    </w:p>
    <w:p>
      <w:pPr>
        <w:pStyle w:val="TOC1"/>
        <w:tabs>
          <w:tab w:val="right" w:leader="dot" w:pos="8306"/>
        </w:tabs>
      </w:pPr>
      <w:hyperlink w:anchor="_Toc22036" w:history="1">
        <w:r>
          <w:rPr>
            <w:rFonts w:ascii="微软雅黑" w:eastAsia="微软雅黑" w:hAnsi="微软雅黑" w:cs="微软雅黑" w:hint="eastAsia"/>
            <w:color w:val="001CAC" w:themeColor="hyperlink" w:themeShade="BF"/>
            <w:szCs w:val="32"/>
            <w:lang w:eastAsia="zh-CN"/>
          </w:rPr>
          <w:t>十二、项目实施与进度安排</w:t>
        </w:r>
        <w:r>
          <w:tab/>
        </w:r>
        <w:r>
          <w:fldChar w:fldCharType="begin"/>
        </w:r>
        <w:r>
          <w:instrText xml:space="preserve"> PAGEREF _Toc22036 \h </w:instrText>
        </w:r>
        <w:r>
          <w:fldChar w:fldCharType="separate"/>
        </w:r>
        <w:r>
          <w:t>53</w:t>
        </w:r>
        <w:r>
          <w:fldChar w:fldCharType="end"/>
        </w:r>
      </w:hyperlink>
    </w:p>
    <w:p>
      <w:pPr>
        <w:pStyle w:val="TOC2"/>
        <w:tabs>
          <w:tab w:val="right" w:leader="dot" w:pos="8306"/>
        </w:tabs>
      </w:pPr>
      <w:hyperlink w:anchor="_Toc19175" w:history="1">
        <w:r>
          <w:rPr>
            <w:rFonts w:ascii="宋体" w:eastAsia="宋体" w:hAnsi="宋体" w:cs="宋体" w:hint="eastAsia"/>
            <w:bCs w:val="0"/>
            <w:szCs w:val="28"/>
            <w:lang w:eastAsia="zh-CN"/>
          </w:rPr>
          <w:t>(一)、项目计划与时间节点</w:t>
        </w:r>
        <w:r>
          <w:tab/>
        </w:r>
        <w:r>
          <w:fldChar w:fldCharType="begin"/>
        </w:r>
        <w:r>
          <w:instrText xml:space="preserve"> PAGEREF _Toc19175 \h </w:instrText>
        </w:r>
        <w:r>
          <w:fldChar w:fldCharType="separate"/>
        </w:r>
        <w:r>
          <w:t>53</w:t>
        </w:r>
        <w:r>
          <w:fldChar w:fldCharType="end"/>
        </w:r>
      </w:hyperlink>
    </w:p>
    <w:p>
      <w:pPr>
        <w:pStyle w:val="TOC2"/>
        <w:tabs>
          <w:tab w:val="right" w:leader="dot" w:pos="8306"/>
        </w:tabs>
      </w:pPr>
      <w:hyperlink w:anchor="_Toc20230" w:history="1">
        <w:r>
          <w:rPr>
            <w:rFonts w:ascii="宋体" w:eastAsia="宋体" w:hAnsi="宋体" w:cs="宋体" w:hint="eastAsia"/>
            <w:bCs w:val="0"/>
            <w:szCs w:val="28"/>
            <w:lang w:eastAsia="zh-CN"/>
          </w:rPr>
          <w:t>(二)、项目进度安排</w:t>
        </w:r>
        <w:r>
          <w:tab/>
        </w:r>
        <w:r>
          <w:fldChar w:fldCharType="begin"/>
        </w:r>
        <w:r>
          <w:instrText xml:space="preserve"> PAGEREF _Toc20230 \h </w:instrText>
        </w:r>
        <w:r>
          <w:fldChar w:fldCharType="separate"/>
        </w:r>
        <w:r>
          <w:t>55</w:t>
        </w:r>
        <w:r>
          <w:fldChar w:fldCharType="end"/>
        </w:r>
      </w:hyperlink>
    </w:p>
    <w:p>
      <w:pPr>
        <w:pStyle w:val="TOC2"/>
        <w:tabs>
          <w:tab w:val="right" w:leader="dot" w:pos="8306"/>
        </w:tabs>
      </w:pPr>
      <w:hyperlink w:anchor="_Toc9364" w:history="1">
        <w:r>
          <w:rPr>
            <w:rFonts w:ascii="宋体" w:eastAsia="宋体" w:hAnsi="宋体" w:cs="宋体" w:hint="eastAsia"/>
            <w:bCs w:val="0"/>
            <w:szCs w:val="28"/>
            <w:lang w:eastAsia="zh-CN"/>
          </w:rPr>
          <w:t>(三)、风险管理与对策</w:t>
        </w:r>
        <w:r>
          <w:tab/>
        </w:r>
        <w:r>
          <w:fldChar w:fldCharType="begin"/>
        </w:r>
        <w:r>
          <w:instrText xml:space="preserve"> PAGEREF _Toc9364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15243"/>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烟草种植行业研究报告旨在对烟草种植行业进行深入分析和研究,为 相关从业人员提供参考依据。报告内容仅供学习交流使用，不可用于商业用途。通过梳理烟草种植行业发展历程、分析市场潜力和主要竞争对手，探讨行业趋势及未来发展方向，旨在提供启示和建议。</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4601"/>
      <w:r>
        <w:rPr>
          <w:rFonts w:ascii="微软雅黑" w:eastAsia="微软雅黑" w:hAnsi="微软雅黑" w:cs="微软雅黑" w:hint="eastAsia"/>
          <w:color w:val="2E54A1" w:themeColor="accent1" w:themeShade="BF"/>
          <w:sz w:val="32"/>
          <w:szCs w:val="32"/>
          <w:lang w:eastAsia="zh-CN"/>
        </w:rPr>
        <w:t>一、领导力发展与企业文化</w:t>
      </w:r>
      <w:bookmarkEnd w:id="2"/>
    </w:p>
    <w:p>
      <w:pPr>
        <w:pStyle w:val="Heading2"/>
        <w:spacing w:line="480" w:lineRule="auto"/>
        <w:rPr>
          <w:rFonts w:ascii="宋体" w:eastAsia="宋体" w:hAnsi="宋体" w:cs="宋体" w:hint="eastAsia"/>
          <w:bCs w:val="0"/>
          <w:sz w:val="28"/>
          <w:szCs w:val="28"/>
          <w:lang w:eastAsia="zh-CN"/>
        </w:rPr>
      </w:pPr>
      <w:bookmarkStart w:id="3" w:name="_Toc105"/>
      <w:r>
        <w:rPr>
          <w:rFonts w:ascii="宋体" w:eastAsia="宋体" w:hAnsi="宋体" w:cs="宋体" w:hint="eastAsia"/>
          <w:b/>
          <w:bCs w:val="0"/>
          <w:sz w:val="28"/>
          <w:szCs w:val="28"/>
          <w:lang w:eastAsia="zh-CN"/>
        </w:rPr>
        <w:t>(一)、高效团队建设原则</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在进行高效团队建设时，我们秉持着一系列重要的原则，以确保团队能够协同合作、追求卓越。下面是我们团队建设的核心原则：</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使命明确：团队的使命和目标需要清晰明确，让每位团队成员都能理解并为之努力。明确的使命能够激发团队成员的动力，使他们在共同的目标下更好地协同合作。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优势互补：我们鼓励团队成员发挥各自的优势，形成一个互补性强、多才多艺的团队。这种多元性有助于更好地应对各种任务和挑战，提高团队整体的综合素质。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开放沟通：沟通是团队协作的基石。我们倡导开放、透明的沟通机制，鼓励团队成员分享意见和建议。通过积极的沟通，团队能够更好地理解彼此，有效解决问题。</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sz w:val="24"/>
          <w:szCs w:val="24"/>
          <w:lang w:eastAsia="zh-CN"/>
        </w:rPr>
        <w:t>共同承担责任：每个团队成员都参与责任的分担，形成共同的责任感。这有助于建立团队协同工作的氛围，确保每个成员都为团队的目标负责。</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激发创新：我们鼓励团队成员提出新的想法和方法，不怕犯错误。创新是推动团队发展的重要动力，我们致力于创造一个鼓励创新的团队文化。</w:t>
      </w:r>
    </w:p>
    <w:p>
      <w:pPr>
        <w:pStyle w:val="Heading2"/>
        <w:spacing w:line="480" w:lineRule="auto"/>
        <w:rPr>
          <w:rFonts w:ascii="宋体" w:eastAsia="宋体" w:hAnsi="宋体" w:cs="宋体" w:hint="eastAsia"/>
          <w:bCs w:val="0"/>
          <w:sz w:val="28"/>
          <w:szCs w:val="28"/>
          <w:lang w:eastAsia="zh-CN"/>
        </w:rPr>
      </w:pPr>
      <w:bookmarkStart w:id="4" w:name="_Toc13724"/>
      <w:r>
        <w:rPr>
          <w:rFonts w:ascii="宋体" w:eastAsia="宋体" w:hAnsi="宋体" w:cs="宋体" w:hint="eastAsia"/>
          <w:b/>
          <w:bCs w:val="0"/>
          <w:sz w:val="28"/>
          <w:szCs w:val="28"/>
          <w:lang w:eastAsia="zh-CN"/>
        </w:rPr>
        <w:t>(二)、团队文化与价值观塑造</w:t>
      </w:r>
      <w:bookmarkEnd w:id="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团队文化和价值观方面的塑造原则：</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共同愿景：我们着眼于共同的愿景，通过共同的目标来激励团队成员。这一愿景能够为团队提供明确的方向，使每个成员在工作中能够感到使命必达。</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信任与透明度：我们倡导建立一个基于信任和透明度的文化。成员间相互信任能够促使更好的合作,而透明度则有助于团队成员全面了解团队的决策过程和发展方向。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合作与共享：我们强调合作和共享的文化，鼓励团队成员彼此支持，共同努力。通过合作，团队成员能够发挥各自的优势，创造出更大的价值。</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多元文化：我们重视多元文化的价值观，尊重不同背景和观点的存在。这有助于创造一个开放、包容的团队环境，鼓励成员间的多元化交流和合作。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持续学习：我们鼓励团队成员保持对新知识的渴求，持续学习和不断进步。这有助于形成积极向上、创新的文化氛围，推动团队不断提升综合素质。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通过这些原则,我们塑造了一个充满活力、积极向上的团队文化，使每位成员都能在共享的价值观下共同成长、共同进步。这有助于增强团队的凝聚力，推动团队不断向前发展。</w:t>
      </w:r>
    </w:p>
    <w:p>
      <w:pPr>
        <w:pStyle w:val="Heading2"/>
        <w:spacing w:line="480" w:lineRule="auto"/>
        <w:rPr>
          <w:rFonts w:ascii="宋体" w:eastAsia="宋体" w:hAnsi="宋体" w:cs="宋体" w:hint="eastAsia"/>
          <w:bCs w:val="0"/>
          <w:sz w:val="28"/>
          <w:szCs w:val="28"/>
          <w:lang w:eastAsia="zh-CN"/>
        </w:rPr>
      </w:pPr>
      <w:bookmarkStart w:id="5" w:name="_Toc21354"/>
      <w:r>
        <w:rPr>
          <w:rFonts w:ascii="宋体" w:eastAsia="宋体" w:hAnsi="宋体" w:cs="宋体" w:hint="eastAsia"/>
          <w:b/>
          <w:bCs w:val="0"/>
          <w:sz w:val="28"/>
          <w:szCs w:val="28"/>
          <w:lang w:eastAsia="zh-CN"/>
        </w:rPr>
        <w:t>(三)、领导力发展计划</w:t>
      </w:r>
      <w:bookmarkEnd w:id="5"/>
    </w:p>
    <w:p>
      <w:pPr>
        <w:spacing w:line="480" w:lineRule="auto"/>
        <w:ind w:firstLine="420" w:firstLineChars="0"/>
        <w:rPr>
          <w:rFonts w:ascii="宋体" w:eastAsia="宋体" w:hAnsi="宋体" w:cs="宋体" w:hint="eastAsia"/>
          <w:sz w:val="24"/>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领导力发展计划是确保烟草种植行业项目顺利推进和取得成功的关键组成部分。在这一计划中，我们将注重培养和提升团队领导层的领导力素质，以适应项目不断发展和变化的需求。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1.领导力评估与识别：</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首先，我们将进行全面的领导力评估，通过明确领导层的优势和发展领域，为个别领导制定个性化的发展计划。这涵盖了领导者的沟通技能、团队协作、决策能力等方面的综合评估。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2.培训与发展课程：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基于领导力评估的结果，我们将制定有针对性的培训和发展课程。这些课程涵盖领导力理论、沟通技巧、团队建设、冲突解决等方面旨在提高领导者的综合能力。培训将以定期的工作坊、讲座、在线学习等多种形式进行，确保领导者能够不断学习和成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3.导师制度与辅导：</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我们将建立导师制度，由经验丰富的领导者担任导师，与新晋领导者进行定期的一对一辅导。这有助于新领导者更好地理解项目的运作和公司文化，同时也提供了实践中的指导和反馈。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4.实战项目与领导经验：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除了理论学习,我们将推动领导者参与实际项目和领导团队的机会。通过亲身经历，领导者将能够更深入地理解项目的挑战和机遇，锻炼领导力技能。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5.持续反馈和评估：</w:t>
      </w:r>
    </w:p>
    <w:p>
      <w:pPr>
        <w:spacing w:line="480" w:lineRule="auto"/>
        <w:ind w:firstLine="420" w:firstLineChars="0"/>
        <w:rPr>
          <w:rFonts w:ascii="宋体" w:eastAsia="宋体" w:hAnsi="宋体" w:cs="宋体" w:hint="eastAsia"/>
          <w:sz w:val="24"/>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sz w:val="24"/>
          <w:szCs w:val="24"/>
          <w:lang w:eastAsia="zh-CN"/>
        </w:rPr>
        <w:t>领导力发展计划将持续进行反馈和评估。通过360度评估、员工调查和项目绩效评估等手段，我们将不断监测领导者的发展进程，及时调整和优化发展计划，确保其与项目目标保持一致。</w:t>
      </w:r>
    </w:p>
    <w:p>
      <w:pPr>
        <w:pStyle w:val="Heading2"/>
        <w:spacing w:line="480" w:lineRule="auto"/>
        <w:rPr>
          <w:rFonts w:ascii="宋体" w:eastAsia="宋体" w:hAnsi="宋体" w:cs="宋体" w:hint="eastAsia"/>
          <w:bCs w:val="0"/>
          <w:sz w:val="28"/>
          <w:szCs w:val="28"/>
          <w:lang w:eastAsia="zh-CN"/>
        </w:rPr>
      </w:pPr>
      <w:bookmarkStart w:id="6" w:name="_Toc17660"/>
      <w:r>
        <w:rPr>
          <w:rFonts w:ascii="宋体" w:eastAsia="宋体" w:hAnsi="宋体" w:cs="宋体" w:hint="eastAsia"/>
          <w:b/>
          <w:bCs w:val="0"/>
          <w:sz w:val="28"/>
          <w:szCs w:val="28"/>
          <w:lang w:eastAsia="zh-CN"/>
        </w:rPr>
        <w:t>(四)、领导力在变革中的作用</w:t>
      </w:r>
      <w:bookmarkEnd w:id="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1.制定愿景和方向：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领导者在变革中的首要任务是制定清晰的愿景和方向。通过与团队共享未来的理想状态，领导者能够激发团队的共鸣和动力。这一愿景应当明确定义变革的目标和意义,为团队提供一个明确的前进方向。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2.传递信任和支持：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在变革期间，团队成员可能面临不确定性和焦虑。领导者的角色就是传递信任和支持，使团队充满信心地迎接变革。建立良好的沟通机制,解答疑虑,同时为团队提供资源和支持,有助于稳定团队情绪。</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3.激发团队的积极性：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领导者应当激发团队的积极性和创造性,鼓励成员参与变革过程，分享想法和建议。通过赋予团队更多的责任和自主权，领导者能够激发成员的参与感和责任心，从而促进变革的顺利进行。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4.管理变革的复杂性：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领导者需要具备处理变革中复杂局面的能力。这包括对风险的识别和管理，解决团队内部的冲突，以及对外部压力的应对。领导者的决策和行动应当能够在变革的动荡中保持组织的稳定性。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5.促进文化变革：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变革通常伴随着组织文化的调整。领导者需要引领文化变革，确保组织的价值观和行为规范与变革目标相一致。通过示范和鼓励期望的行为，领导者可以引导团队逐步适应新的文化氛围。</w:t>
      </w:r>
    </w:p>
    <w:p>
      <w:pPr>
        <w:spacing w:line="480" w:lineRule="auto"/>
        <w:ind w:firstLine="420" w:firstLineChars="0"/>
        <w:rPr>
          <w:rFonts w:ascii="宋体" w:eastAsia="宋体" w:hAnsi="宋体" w:cs="宋体" w:hint="eastAsia"/>
          <w:sz w:val="24"/>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sz w:val="24"/>
          <w:szCs w:val="24"/>
          <w:lang w:eastAsia="zh-CN"/>
        </w:rPr>
        <w:t>6.持续学习和适应：</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领导者在变革中的作用也包括自身的不断学习和适应。对于变革的动态过程，领导者需要保持灵活性，随时调整策略，并从经验中吸取教训。这种反思和适应性是成功推动变革的重要因素。</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7" w:name="_Toc17860"/>
      <w:r>
        <w:rPr>
          <w:rFonts w:ascii="微软雅黑" w:eastAsia="微软雅黑" w:hAnsi="微软雅黑" w:cs="微软雅黑" w:hint="eastAsia"/>
          <w:color w:val="2E54A1" w:themeColor="accent1" w:themeShade="BF"/>
          <w:sz w:val="32"/>
          <w:szCs w:val="32"/>
          <w:lang w:eastAsia="zh-CN"/>
        </w:rPr>
        <w:t>二、市场营销与推广策略</w:t>
      </w:r>
      <w:bookmarkEnd w:id="7"/>
    </w:p>
    <w:p>
      <w:pPr>
        <w:pStyle w:val="Heading2"/>
        <w:spacing w:line="480" w:lineRule="auto"/>
        <w:rPr>
          <w:rFonts w:ascii="宋体" w:eastAsia="宋体" w:hAnsi="宋体" w:cs="宋体" w:hint="eastAsia"/>
          <w:bCs w:val="0"/>
          <w:sz w:val="28"/>
          <w:szCs w:val="28"/>
          <w:lang w:eastAsia="zh-CN"/>
        </w:rPr>
      </w:pPr>
      <w:bookmarkStart w:id="8" w:name="_Toc24479"/>
      <w:r>
        <w:rPr>
          <w:rFonts w:ascii="宋体" w:eastAsia="宋体" w:hAnsi="宋体" w:cs="宋体" w:hint="eastAsia"/>
          <w:b/>
          <w:bCs w:val="0"/>
          <w:sz w:val="28"/>
          <w:szCs w:val="28"/>
          <w:lang w:eastAsia="zh-CN"/>
        </w:rPr>
        <w:t>(一)、目标市场分析</w:t>
      </w:r>
      <w:bookmarkEnd w:id="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的成功与否在很大程度上取决于对目标市场的准确认知。深入了解潜在客户的需求和市场趋势是市场分析的核心。通过细致入微的市场调查，我们聚焦于客户的需求和行为模式,精准锁定目标市场。此外，我们通过数据分析和市场调研，识别了不同市场细分的需求，为项目提供了更具针对性的定位。</w:t>
      </w:r>
    </w:p>
    <w:p>
      <w:pPr>
        <w:pStyle w:val="Heading2"/>
        <w:spacing w:line="480" w:lineRule="auto"/>
        <w:rPr>
          <w:rFonts w:ascii="宋体" w:eastAsia="宋体" w:hAnsi="宋体" w:cs="宋体" w:hint="eastAsia"/>
          <w:bCs w:val="0"/>
          <w:sz w:val="28"/>
          <w:szCs w:val="28"/>
          <w:lang w:eastAsia="zh-CN"/>
        </w:rPr>
      </w:pPr>
      <w:bookmarkStart w:id="9" w:name="_Toc10089"/>
      <w:r>
        <w:rPr>
          <w:rFonts w:ascii="宋体" w:eastAsia="宋体" w:hAnsi="宋体" w:cs="宋体" w:hint="eastAsia"/>
          <w:b/>
          <w:bCs w:val="0"/>
          <w:sz w:val="28"/>
          <w:szCs w:val="28"/>
          <w:lang w:eastAsia="zh-CN"/>
        </w:rPr>
        <w:t>(二)、市场定位与竞争分析</w:t>
      </w:r>
      <w:bookmarkEnd w:id="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的成功与否在很大程度上取决于对目标市场的准确认知。深入了解潜在客户的需求和市场趋势是市场分析的核心。通过细致入微的市场调查，我们聚焦于客户的需求和行为模式,精准锁定目标市场。此外，我们通过数据分析和市场调研，识别了不同市场细分的需求，为项目提供了更具针对性的定位。</w:t>
      </w:r>
    </w:p>
    <w:p>
      <w:pPr>
        <w:pStyle w:val="Heading2"/>
        <w:spacing w:line="480" w:lineRule="auto"/>
        <w:rPr>
          <w:rFonts w:ascii="宋体" w:eastAsia="宋体" w:hAnsi="宋体" w:cs="宋体" w:hint="eastAsia"/>
          <w:bCs w:val="0"/>
          <w:sz w:val="28"/>
          <w:szCs w:val="28"/>
          <w:lang w:eastAsia="zh-CN"/>
        </w:rPr>
      </w:pPr>
      <w:bookmarkStart w:id="10" w:name="_Toc4652"/>
      <w:r>
        <w:rPr>
          <w:rFonts w:ascii="宋体" w:eastAsia="宋体" w:hAnsi="宋体" w:cs="宋体" w:hint="eastAsia"/>
          <w:b/>
          <w:bCs w:val="0"/>
          <w:sz w:val="28"/>
          <w:szCs w:val="28"/>
          <w:lang w:eastAsia="zh-CN"/>
        </w:rPr>
        <w:t>(三)、推广与宣传策略</w:t>
      </w:r>
      <w:bookmarkEnd w:id="10"/>
    </w:p>
    <w:p>
      <w:pPr>
        <w:spacing w:line="480" w:lineRule="auto"/>
        <w:ind w:firstLine="420" w:firstLineChars="0"/>
        <w:rPr>
          <w:rFonts w:ascii="宋体" w:eastAsia="宋体" w:hAnsi="宋体" w:cs="宋体" w:hint="eastAsia"/>
          <w:sz w:val="24"/>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sz w:val="24"/>
          <w:szCs w:val="24"/>
          <w:lang w:eastAsia="zh-CN"/>
        </w:rPr>
        <w:t>为了提高项目在市场中的知名度,我们实施了多渠道的推广和宣传策略。通过社交媒体、搜索引擎优化和线下活动等多种手段，我们全面覆盖了目标受众，增加了项目在各渠道上的曝光度。同时，我们注重内容营销，通过高质量的文章、视频和漫画等形式，吸引用户的关注和互动，提升了项目的专业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此外，我们致力于口碑营销和建立紧密的合作伙伴关系。通过客户满意度调查和用户评价，我们努力创造正面的口碑，提高用户对项目的信任感。与相关烟草种植行业的合作伙伴建立紧密的关系，通过互惠互利的方式共同推广，进一步扩大了项目的影响力。</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1" w:name="_Toc17651"/>
      <w:r>
        <w:rPr>
          <w:rFonts w:ascii="微软雅黑" w:eastAsia="微软雅黑" w:hAnsi="微软雅黑" w:cs="微软雅黑" w:hint="eastAsia"/>
          <w:color w:val="2E54A1" w:themeColor="accent1" w:themeShade="BF"/>
          <w:sz w:val="32"/>
          <w:szCs w:val="32"/>
          <w:lang w:eastAsia="zh-CN"/>
        </w:rPr>
        <w:t>三、烟草种植行业选址方案分析</w:t>
      </w:r>
      <w:bookmarkEnd w:id="11"/>
    </w:p>
    <w:p>
      <w:pPr>
        <w:pStyle w:val="Heading2"/>
        <w:spacing w:line="480" w:lineRule="auto"/>
        <w:rPr>
          <w:rFonts w:ascii="宋体" w:eastAsia="宋体" w:hAnsi="宋体" w:cs="宋体" w:hint="eastAsia"/>
          <w:bCs w:val="0"/>
          <w:sz w:val="28"/>
          <w:szCs w:val="28"/>
          <w:lang w:eastAsia="zh-CN"/>
        </w:rPr>
      </w:pPr>
      <w:bookmarkStart w:id="12" w:name="_Toc26394"/>
      <w:r>
        <w:rPr>
          <w:rFonts w:ascii="宋体" w:eastAsia="宋体" w:hAnsi="宋体" w:cs="宋体" w:hint="eastAsia"/>
          <w:b/>
          <w:bCs w:val="0"/>
          <w:sz w:val="28"/>
          <w:szCs w:val="28"/>
          <w:lang w:eastAsia="zh-CN"/>
        </w:rPr>
        <w:t>(一)、烟草种植行业选址影响因素</w:t>
      </w:r>
      <w:bookmarkEnd w:id="1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(一)市场需求与目标客户</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选址的首要因素之一是市场需求和目标客户的分析。了解目标客户群体的特征、消费习惯以及对产品或服务的需求，有助于确定最适合的选址地点。市场需求的研究可通过调查、市场分析和消费者行为研究等手段进行，为选址提供有力的数据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(二)交通便利度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交通便利度是影响选址的重要因素之一。选址应考虑附近交通网络的完善程度，包括道路、公共交通和停车设施等。一个交通便利的地点有助于吸引更多的顾客，提高企业的可达性，从而增加潜在客户的流量。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(三)周边竞争格局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周边竞争格局是选址决策的关键考量之一。了解附近竞争对手的数量、类型、规模和定位，有助于评估市场的竞争强度。避免过于密集的竞争，同时找到有利于自身业务发展的市场空白区域，是选择合适选址的重要因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(四)租金和成本</w:t>
      </w:r>
    </w:p>
    <w:p>
      <w:pPr>
        <w:spacing w:line="480" w:lineRule="auto"/>
        <w:ind w:firstLine="420" w:firstLineChars="0"/>
        <w:rPr>
          <w:rFonts w:ascii="宋体" w:eastAsia="宋体" w:hAnsi="宋体" w:cs="宋体" w:hint="eastAsia"/>
          <w:sz w:val="24"/>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租金和成本是企业运营不可忽视的成本因素。在选址过程中，需要综合考虑租金水平、人工成本、税费等因素，确保选址地点的运营成本能够与预期收益相匹配。通过合理的成本控制，提高企业的盈利能力。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(五)商业环境和消费氛围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商业环境和消费氛围直接影响到企业的形象和吸引力。选择位于商业繁华区域或具有良好商业氛围的地段，有助于提升品牌知名度，并吸引更多目标客户。良好的商业环境有助于形成良好的口碑和顾客忠诚度。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(六)安全与便利设施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选址的安全性和周边便利设施也是重要的考虑因素。安全的选址有助于提高员工和顾客的安全感，同时便利设施如医疗机构、银行、公共服务设施等的存在，可提升周边环境的整体品质，对企业形象产生积极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(七)未来发展潜力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考虑选址地点的未来发展潜力是长远规划的重要组成部分。通过分析城市规划、土地利用政策、经济发展趋势等因素，选择具有未来潜力的地区，有助于确保企业在未来市场中仍然具有竞争力。综合考虑这些因素，企业能够选择更符合自身战略发展的选址地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(八)人才资源与劳动力市场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人才资源的可及性对企业的成功至关重要。选址时需要考虑周边地区的人才储备和劳动力市场情况。选择位于人才辐射区域或临近教育机构的地点，有助于吸引高素质的员工，提升企业的核心竞争力。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(九)政策环境与法规要求</w:t>
      </w:r>
    </w:p>
    <w:p>
      <w:pPr>
        <w:spacing w:line="480" w:lineRule="auto"/>
        <w:ind w:firstLine="420" w:firstLineChars="0"/>
        <w:rPr>
          <w:rFonts w:ascii="宋体" w:eastAsia="宋体" w:hAnsi="宋体" w:cs="宋体" w:hint="eastAsia"/>
          <w:sz w:val="24"/>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了解选址地区的政策环境和法规要求是确保企业合规运营的关键。不同地区可能有不同的税收政策、烟草种植行业准入规定等，选择符合企业经营需求且政策环境较为稳定的地方,有助于降低经营风险。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(十)社会文化因素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社会文化因素也是选址考虑的一部分。企业需要适应当地社会文化，确保产品或服务与当地居民的文化背景相契合，避免因文化差异而引发的经营问题。了解当地的文化氛围有助于更好地进行市场定位和推广。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(十一)环境可持续性与社会责任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越来越多的企业注重环境可持续性和社会责任,选址时也要考虑到企业的社会形象。选择符合环保标准、推崇可持续发展理念的地方，有助于提升企业的社会责任感，赢得消费者的认可和支持。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(十二)数字化基础设施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在数字化时代，充足的数字化基础设施对企业的运营至关重要。选址时需要考虑当地的网络覆盖、电子支付设施等数字化基础设施，以确保企业能够顺利进行在线业务、数据管理等方面的运营。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(十三)自然灾害和气候因素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对自然灾害和气候因素的考虑是确保企业安全稳定运营的一项重要任务。选择地理位置相对安全、不容易受到自然灾害影响的地方，有助于降低企业的经营风险。</w:t>
      </w:r>
    </w:p>
    <w:p>
      <w:pPr>
        <w:pStyle w:val="Heading2"/>
        <w:spacing w:line="480" w:lineRule="auto"/>
        <w:rPr>
          <w:rFonts w:ascii="宋体" w:eastAsia="宋体" w:hAnsi="宋体" w:cs="宋体" w:hint="eastAsia"/>
          <w:bCs w:val="0"/>
          <w:sz w:val="28"/>
          <w:szCs w:val="28"/>
          <w:lang w:eastAsia="zh-CN"/>
        </w:rPr>
      </w:pPr>
      <w:bookmarkStart w:id="13" w:name="_Toc22047"/>
      <w:r>
        <w:rPr>
          <w:rFonts w:ascii="宋体" w:eastAsia="宋体" w:hAnsi="宋体" w:cs="宋体" w:hint="eastAsia"/>
          <w:b/>
          <w:bCs w:val="0"/>
          <w:sz w:val="28"/>
          <w:szCs w:val="28"/>
          <w:lang w:eastAsia="zh-CN"/>
        </w:rPr>
        <w:t>(二)、烟草种植行业选址原则</w:t>
      </w:r>
      <w:bookmarkEnd w:id="13"/>
    </w:p>
    <w:p>
      <w:pPr>
        <w:spacing w:line="480" w:lineRule="auto"/>
        <w:ind w:firstLine="420" w:firstLineChars="0"/>
        <w:rPr>
          <w:rFonts w:ascii="宋体" w:eastAsia="宋体" w:hAnsi="宋体" w:cs="宋体" w:hint="eastAsia"/>
          <w:sz w:val="24"/>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sz w:val="24"/>
          <w:szCs w:val="24"/>
          <w:lang w:eastAsia="zh-CN"/>
        </w:rPr>
        <w:t>市场需求与目标客户分布：选址时首先要分析市场需求，确保选址地点符合目标客户的分布。选择靠近目标客户密集区域的位置，有助于提高客流量和市场份额。</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交通便利度：选址地点的交通便利度直接影响客户的到访和物流的畅通。选择交通枢纽附近或交通便利的地段，有助于提高企业的可达性和运营效率。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周边竞争格局：要考虑周边竞争格局，避免选择过于竞争激烈的地区，同时也要确保有一定的同业竞争，以形成良性市场竞争和相互促进的局面。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租金和成本：要合理评估租金和其他成本，确保选址地点的租金水平在企业财务承受范围内，并能够实现成本控制和盈利最大化。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商业环境和消费氛围：考虑选址地点的商业环境和消费氛围，选择适合企业业态和文化的地区，以吸引更多目标客户，并提升品牌形象。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安全与便利设施：考虑选址地点的安全性，选择相对安全的地段，有助于提高员工和客户的安全感。同时，周边设施的完善也是一个考虑因素，例如医疗、教育、购物等。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未来发展潜力：评估选址地点的未来发展潜力，选择具有良好发展前景的地区，以确保企业在长期内能够持续发展。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人才资源与劳动力市场：考虑周边地区的人才资源和劳动力市场情况，选择有利于吸引和保留高素质员工的地点，以提升企业的竞争力。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政策环境与法规要求：了解选址地区的政策环境和法规要求，选择符合企业经营需求且政策环境较为稳定的地方,有助于降低经营风险。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社会文化因素：适应当地社会文化，确保产品或服务与当地居民的文化背景相契合，避免因文化差异而引发的经营问题。</w:t>
      </w:r>
    </w:p>
    <w:p>
      <w:pPr>
        <w:pStyle w:val="Heading2"/>
        <w:spacing w:line="480" w:lineRule="auto"/>
        <w:rPr>
          <w:rFonts w:ascii="宋体" w:eastAsia="宋体" w:hAnsi="宋体" w:cs="宋体" w:hint="eastAsia"/>
          <w:bCs w:val="0"/>
          <w:sz w:val="28"/>
          <w:szCs w:val="28"/>
          <w:lang w:eastAsia="zh-CN"/>
        </w:rPr>
      </w:pPr>
      <w:bookmarkStart w:id="14" w:name="_Toc14800"/>
      <w:r>
        <w:rPr>
          <w:rFonts w:ascii="宋体" w:eastAsia="宋体" w:hAnsi="宋体" w:cs="宋体" w:hint="eastAsia"/>
          <w:b/>
          <w:bCs w:val="0"/>
          <w:sz w:val="28"/>
          <w:szCs w:val="28"/>
          <w:lang w:eastAsia="zh-CN"/>
        </w:rPr>
        <w:t>(三)、消费习惯对烟草种植行业选址的影响</w:t>
      </w:r>
      <w:bookmarkEnd w:id="14"/>
    </w:p>
    <w:p>
      <w:pPr>
        <w:spacing w:line="480" w:lineRule="auto"/>
        <w:ind w:firstLine="420" w:firstLineChars="0"/>
        <w:rPr>
          <w:rFonts w:ascii="宋体" w:eastAsia="宋体" w:hAnsi="宋体" w:cs="宋体" w:hint="eastAsia"/>
          <w:sz w:val="24"/>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消费习惯是影响企业选址决策的重要因素之一。了解并考虑当地居民的消费习惯，可以帮助企业更好地满足目标客户的需求，提高业绩。下面是消费习惯对烟草种植行业选址的影响的具体方面：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购物频率和时间：考虑居民的购物频率和时间，选择在他们习惯购物的时间段和地点设立烟草种植行业，以提高客流量。例如，在繁忙的商业区或购物中心附近设立，以吸引白天或周末购物的居民。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消费水平：消费水平直接关系到企业在该地区的价格定位和产品策略。在高消费水平地区，可以考虑提供高端产品或服务；而在中低消费水平地区，可以选择更亲民的价格和产品。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消费偏好：了解居民的消费偏好，包括对品牌、风格、口味的偏好等，有助于企业更精准地定位自己的产品或服务，满足潜在客户的需求。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线上线下购物倾向：随着电商的兴起，考虑居民的线上线下购物倾向。在线上购物偏好的区域，可以通过线上渠道拓展销售；在线下购物习惯较为浓厚的区域，则更适合实体店面。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社交消费习惯：了解当地居民的社交消费习惯，包括是否喜欢与他人一起购物或参与社交活动。选择能够满足社交需求的位置，有助于提高店铺的吸引力。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特殊节假日消费：考虑当地居民在特殊节假日或重要传统节庆期间的消费特点。在这些时段推出相关促销或活动,有助于提高店铺的知名度和销售额。</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健康与环保意识：若当地居民注重健康和环保，可以考虑提供符合这些价值观的产品或服务，以迎合他们的消费趋势。</w:t>
      </w:r>
    </w:p>
    <w:p>
      <w:pPr>
        <w:spacing w:line="480" w:lineRule="auto"/>
        <w:ind w:firstLine="420" w:firstLineChars="0"/>
        <w:rPr>
          <w:rFonts w:ascii="宋体" w:eastAsia="宋体" w:hAnsi="宋体" w:cs="宋体" w:hint="eastAsia"/>
          <w:sz w:val="24"/>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sz w:val="24"/>
          <w:szCs w:val="24"/>
          <w:lang w:eastAsia="zh-CN"/>
        </w:rPr>
        <w:t>文化消费需求：考虑当地居民对文化活动和体验式消费的兴趣，选择在文化氛围浓厚的地区设立烟草种植行业,以吸引相关文化活动的参与者。</w:t>
      </w:r>
    </w:p>
    <w:p>
      <w:pPr>
        <w:pStyle w:val="Heading2"/>
        <w:spacing w:line="480" w:lineRule="auto"/>
        <w:rPr>
          <w:rFonts w:ascii="宋体" w:eastAsia="宋体" w:hAnsi="宋体" w:cs="宋体" w:hint="eastAsia"/>
          <w:bCs w:val="0"/>
          <w:sz w:val="28"/>
          <w:szCs w:val="28"/>
          <w:lang w:eastAsia="zh-CN"/>
        </w:rPr>
      </w:pPr>
      <w:bookmarkStart w:id="15" w:name="_Toc10476"/>
      <w:r>
        <w:rPr>
          <w:rFonts w:ascii="宋体" w:eastAsia="宋体" w:hAnsi="宋体" w:cs="宋体" w:hint="eastAsia"/>
          <w:b/>
          <w:bCs w:val="0"/>
          <w:sz w:val="28"/>
          <w:szCs w:val="28"/>
          <w:lang w:eastAsia="zh-CN"/>
        </w:rPr>
        <w:t>(四)、消费能力对烟草种植行业选址的影响</w:t>
      </w:r>
      <w:bookmarkEnd w:id="1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(一)市场需求方面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1.市场规模与增长趋势：分析所在地区市场的规模和发展趋势，包括潜在客户数量、市场份额和未来的增长预期。了解市场的规模将有助于企业确定在该区域的适宜规模。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2.产品或服务需求：调查目标市场对产品或服务的需求。了解消费者对于产品特性、功能、品质等方面的需求，以满足市场的实际需求。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3.消费者行为分析：研究消费者在购物中的决策过程、偏好和行为习惯。这有助于制定更精准的市场营销策略，提高产品或服务的吸引力。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(二)竞争压力方面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1.竞争对手分析：调查目标区域的竞争格局，了解主要竞争对手、其市场份额和优势劣势。分析竞争对手的定价策略、营销手段，以制定更具竞争力的战略。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2.市场集中度：评估市场的竞争程度，包括烟草种植行业内企业数量、市场份额分布情况。高度集中的市场可能更具挑战性，需要更明智的市场进入策略。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3.竞争优势和劣势：审视自身的竞争优势，例如独特的产品、服务、技术或品牌形象，并了解潜在的竞争劣势，以制定提升竞争力的战略。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(三)租金成本方面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1.租金水平：考察目标区域的租金水平，比较不同地段的租金差异。确保租金在企业财务可承受范围内,同时符合预期的业务收益。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2.成本结构：细致分析租金之外的其他成本，包括设备采购、员工工资、水电费等。全面了解成本结构,有助于合理制定价格策略，确保盈利。</w:t>
      </w:r>
    </w:p>
    <w:p>
      <w:pPr>
        <w:spacing w:line="480" w:lineRule="auto"/>
        <w:ind w:firstLine="420" w:firstLineChars="0"/>
        <w:rPr>
          <w:rFonts w:ascii="宋体" w:eastAsia="宋体" w:hAnsi="宋体" w:cs="宋体" w:hint="eastAsia"/>
          <w:sz w:val="24"/>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3.未来租金变动趋势：调查目标地区租金的历史变动趋势以及未来的预测。这有助于制定长期的租赁计划，防范潜在的租金风险。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(四)品牌形象方面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1.品牌知名度：评估品牌在目标市场的知名度和认可度。建立品牌的知名度将影响顾客的购买决策和忠诚度。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2.品牌定位：确定品牌在市场中的定位，包括定位的独特性、与竞争对手的区别等。清晰的品牌定位有助于吸引目标客户。</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3.品牌形象与价值观：研究目标市场对品牌形象和企业价值观的认知。通过传递积极的品牌形象和价值观，提高品牌在市场中的吸引力。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(五)人流量方面(续)</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1.节假日和活动影响：考察目标地区的节假日和特殊活动对人流量的影响。合理规划活动促销策略，以吸引更多潜在客户，尤其是在人流量较大的时期。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2.周边设施和景点：分析附近是否有商业中心、购物中心、景点等，这些地方通常拥有较高的人流。选择靠近这些地点的位置，可以借助其带来的客流优势。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3.交通节点附近：考虑选址是否靠近公共交通站点或交通枢纽，以确保更多潜在客户的便捷到达。便利的交通位置通常能够吸引更多的顾客。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4.烟草种植行业生态系统：考虑周边的商业生态系统，是否有相关烟草种植行业的吸引人流的业务。与周边商户建立合作，共享人流资源，实现互利共赢。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以上方面的综合分析将为选址提供全面的信息,帮助企业做出更明智的决策，使得新业务能够在选择的地点取得更好的业绩。</w:t>
      </w:r>
    </w:p>
    <w:p>
      <w:pPr>
        <w:pStyle w:val="Heading2"/>
        <w:spacing w:line="480" w:lineRule="auto"/>
        <w:rPr>
          <w:rFonts w:ascii="宋体" w:eastAsia="宋体" w:hAnsi="宋体" w:cs="宋体" w:hint="eastAsia"/>
          <w:bCs w:val="0"/>
          <w:sz w:val="28"/>
          <w:szCs w:val="28"/>
          <w:lang w:eastAsia="zh-CN"/>
        </w:rPr>
      </w:pPr>
      <w:bookmarkStart w:id="16" w:name="_Toc18364"/>
      <w:r>
        <w:rPr>
          <w:rFonts w:ascii="宋体" w:eastAsia="宋体" w:hAnsi="宋体" w:cs="宋体" w:hint="eastAsia"/>
          <w:b/>
          <w:bCs w:val="0"/>
          <w:sz w:val="28"/>
          <w:szCs w:val="28"/>
          <w:lang w:eastAsia="zh-CN"/>
        </w:rPr>
        <w:t>(五)、经营成本对烟草种植行业选址的影响</w:t>
      </w:r>
      <w:bookmarkEnd w:id="16"/>
    </w:p>
    <w:p>
      <w:pPr>
        <w:spacing w:line="480" w:lineRule="auto"/>
        <w:ind w:firstLine="420" w:firstLineChars="0"/>
        <w:rPr>
          <w:rFonts w:ascii="宋体" w:eastAsia="宋体" w:hAnsi="宋体" w:cs="宋体" w:hint="eastAsia"/>
          <w:sz w:val="24"/>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租金水平：深入研究目标地区的租金水平，细分各商业区域的租金情况。比较不同位置的租金水平，了解市场趋势，以制定合理的租金预算。同时，了解租金是否包含相关费用，如物业管理费，以全面评估实际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人工成本：分析目标地区的人工市场，包括各烟草种植行业的薪资水平、员工福利标准和培训成本。考虑到当地的最低工资标准，以制定合理的员工薪资体系。同时，评估劳动力市场的供需状况，确保能够招聘到具备所需技能的员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3.水电费用：详细了解目标地区的水电费用结构，包括不同季节的变化和用途的费用差异。通过采用节能设备、优化用电计划，降低水电消耗，从而减轻企业运营中的能源成本。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4.税收政策：仔细研究目标地区的税收政策，了解企业所得税、增值税等税种的适用规定。寻找符合法规的税收优惠政策，以最大限度地减轻税收负担，提高经营效益。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5.物流成本：如果业务需要物流支持，考虑选址是否有利于降低运输成本。选择离供应商和客户近的地点，采用智能物流系统，优化供应链，降低物流成本，并提高交付效率。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6.装修和设备投资：分析目标地区的装修和设备投资水平，确保投资符合企业的品牌形象和服务特性。选择高性价比的装修方案和设备配置，确保投资与长期经营计划相一致，提升客户体验，降低后期运营成本。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市场推广费用：考虑市场推广的成本，包括广告、促销和其他宣传活动。了解目标地区的广告费用水平，选择适合企业预算和目标受众的宣传方式。建立精准的市场推广策略，确保每一笔投资都能带来良好的回报。</w:t>
      </w:r>
    </w:p>
    <w:p>
      <w:pPr>
        <w:spacing w:line="480" w:lineRule="auto"/>
        <w:ind w:firstLine="420" w:firstLineChars="0"/>
        <w:rPr>
          <w:rFonts w:ascii="宋体" w:eastAsia="宋体" w:hAnsi="宋体" w:cs="宋体" w:hint="eastAsia"/>
          <w:sz w:val="24"/>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8.保险费用：细致研究目标地区的商业保险费用，包括财产险、责任险等。了解不同保险方案的保费和保障范围，选择最适合企业需求的保险产品。合理投保有助于降低潜在风险,保障企业的经济安全。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技术支持与维护费用：如果企业依赖先进技术设备，考虑技术支持和维护的成本。了解设备供应商提供的服务方案和费用，确保设备始终保持高效运转。在选址过程中,考虑当地是否有可靠的技术服务供应商，以便及时解决技术问题，减少生产中断。</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10.供应链管理费用：如果企业涉及供应链管理，需综合考虑采购、库存和物流等环节的成本。建立高效的供应链管理系统，优化库存控制，减少滞销和过剩库存，以确保供应链高效运作，降低运营成本。</w:t>
      </w:r>
    </w:p>
    <w:p>
      <w:pPr>
        <w:pStyle w:val="Heading2"/>
        <w:spacing w:line="480" w:lineRule="auto"/>
        <w:rPr>
          <w:rFonts w:ascii="宋体" w:eastAsia="宋体" w:hAnsi="宋体" w:cs="宋体" w:hint="eastAsia"/>
          <w:bCs w:val="0"/>
          <w:sz w:val="28"/>
          <w:szCs w:val="28"/>
          <w:lang w:eastAsia="zh-CN"/>
        </w:rPr>
      </w:pPr>
      <w:bookmarkStart w:id="17" w:name="_Toc14035"/>
      <w:r>
        <w:rPr>
          <w:rFonts w:ascii="宋体" w:eastAsia="宋体" w:hAnsi="宋体" w:cs="宋体" w:hint="eastAsia"/>
          <w:b/>
          <w:bCs w:val="0"/>
          <w:sz w:val="28"/>
          <w:szCs w:val="28"/>
          <w:lang w:eastAsia="zh-CN"/>
        </w:rPr>
        <w:t>(六)、交通条件对烟草种植行业选址的影响</w:t>
      </w:r>
      <w:bookmarkEnd w:id="1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便捷交通带来客流量增加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择址于便捷交通的地区对业务的客流量有积极影响。方便的交通条件使得潜在顾客更容易抵达，增加了购物或服务的便利性，从而提高了客流量。这对于零售、餐饮等需要大量顾客流动的烟草种植行业尤为重要，有助于扩大业务规模和提高品牌曝光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交通拥堵可能导致客户流失</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反之，如果选址地区存在交通拥堵问题，可能导致客户的流失。长时间的交通拥堵不仅会延长顾客的到达时间,还可能让他们选择放弃前来，对业务产生负面影响。考虑到顾客的出行习惯和不愿意花费过多时间在交通上,选择远离拥堵的地区对于维持良好的客户关系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停车条件影响顾客体验</w:t>
      </w:r>
    </w:p>
    <w:p>
      <w:pPr>
        <w:spacing w:line="480" w:lineRule="auto"/>
        <w:ind w:firstLine="420" w:firstLineChars="0"/>
        <w:rPr>
          <w:rFonts w:ascii="宋体" w:eastAsia="宋体" w:hAnsi="宋体" w:cs="宋体" w:hint="eastAsia"/>
          <w:sz w:val="24"/>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停车条件是影响顾客体验的关键因素之一。一个提供充足、便捷停车位的地方将提高顾客的整体满意度。相反，停车难、停车位不足可能成为顾客流失的原因之一。在选址时，需考虑周边的停车设施，确保顾客能够轻松停车，留下更多的时间用于购物或服务享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交通便利提高员工招聘难度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良好的交通条件有助于提高员工的招聘难度。员工更愿意选择工作地点交通便利的企业，因为这样不仅减轻了通勤负担，还提高了工作的灵活性。相反，如果企业选址在交通不便利的地方，可能会面临员工流失和招聘难度的问题。考虑到员工的需求，选择交通便利的地点可以提高员工的工作满意度和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在选址决策中，全面考虑以上因素，权衡各种影响，有助于选择更符合企业需求和长远发展的地点。</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8" w:name="_Toc5931"/>
      <w:r>
        <w:rPr>
          <w:rFonts w:ascii="微软雅黑" w:eastAsia="微软雅黑" w:hAnsi="微软雅黑" w:cs="微软雅黑" w:hint="eastAsia"/>
          <w:color w:val="2E54A1" w:themeColor="accent1" w:themeShade="BF"/>
          <w:sz w:val="32"/>
          <w:szCs w:val="32"/>
          <w:lang w:eastAsia="zh-CN"/>
        </w:rPr>
        <w:t>四、质量与技术管理</w:t>
      </w:r>
      <w:bookmarkEnd w:id="18"/>
    </w:p>
    <w:p>
      <w:pPr>
        <w:pStyle w:val="Heading2"/>
        <w:spacing w:line="480" w:lineRule="auto"/>
        <w:rPr>
          <w:rFonts w:ascii="宋体" w:eastAsia="宋体" w:hAnsi="宋体" w:cs="宋体" w:hint="eastAsia"/>
          <w:bCs w:val="0"/>
          <w:sz w:val="28"/>
          <w:szCs w:val="28"/>
          <w:lang w:eastAsia="zh-CN"/>
        </w:rPr>
      </w:pPr>
      <w:bookmarkStart w:id="19" w:name="_Toc31933"/>
      <w:r>
        <w:rPr>
          <w:rFonts w:ascii="宋体" w:eastAsia="宋体" w:hAnsi="宋体" w:cs="宋体" w:hint="eastAsia"/>
          <w:b/>
          <w:bCs w:val="0"/>
          <w:sz w:val="28"/>
          <w:szCs w:val="28"/>
          <w:lang w:eastAsia="zh-CN"/>
        </w:rPr>
        <w:t>(一)、质量管理体系建设</w:t>
      </w:r>
      <w:bookmarkEnd w:id="1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质量管理体系的建设对项目成功实施和最终交付高质量成果至关重要。首先，我们着眼于建立完善的质量管理流程。通过详细制定项目的质量计划，明确各项工作的质量标准和要求，确保项目在整个实施过程中有清晰的质量目标。我们设立了专门的质量管理团队，负责监督和执行质量计划，以及及时响应可能出现的质量问题。</w:t>
      </w:r>
    </w:p>
    <w:p>
      <w:pPr>
        <w:spacing w:line="480" w:lineRule="auto"/>
        <w:ind w:firstLine="420" w:firstLineChars="0"/>
        <w:rPr>
          <w:rFonts w:ascii="宋体" w:eastAsia="宋体" w:hAnsi="宋体" w:cs="宋体" w:hint="eastAsia"/>
          <w:sz w:val="24"/>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sz w:val="24"/>
          <w:szCs w:val="24"/>
          <w:lang w:eastAsia="zh-CN"/>
        </w:rPr>
        <w:t>我们注重质量控制的实施。采用先进的质量控制工具和技术，对项目进行全面的质量检查和评估。通过制定详尽的检查表和流程，确保每个阶段的工作都符合预定的质量标准。同时，我们引入了现代化的质量管理软件，提高了对项目质量状况的监控和管理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强调持续改进的理念。在项目实施的过程中，我们定期进行内部审核和评估，总结项目经验，发现问题，并在团队内部推动相应的改进措施。通过建立反馈机制，吸纳各方意见和建议，不断优化质量管理体系，确保其适应项目的实际需求和不断变化的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最后，我们注重培训与教育。建设质量管理体系需要有高素质的团队成员，我们通过定期培训和知识分享活动，提升团队成员的质量意识和管理水平。这包括对新技术、新标准的学习，以及培养团队成员的沟通和协作能力，使其更好地适应质量管理体系的要求。</w:t>
      </w:r>
    </w:p>
    <w:p>
      <w:pPr>
        <w:pStyle w:val="Heading2"/>
        <w:spacing w:line="480" w:lineRule="auto"/>
        <w:rPr>
          <w:rFonts w:ascii="宋体" w:eastAsia="宋体" w:hAnsi="宋体" w:cs="宋体" w:hint="eastAsia"/>
          <w:bCs w:val="0"/>
          <w:sz w:val="28"/>
          <w:szCs w:val="28"/>
          <w:lang w:eastAsia="zh-CN"/>
        </w:rPr>
      </w:pPr>
      <w:bookmarkStart w:id="20" w:name="_Toc18925"/>
      <w:r>
        <w:rPr>
          <w:rFonts w:ascii="宋体" w:eastAsia="宋体" w:hAnsi="宋体" w:cs="宋体" w:hint="eastAsia"/>
          <w:b/>
          <w:bCs w:val="0"/>
          <w:sz w:val="28"/>
          <w:szCs w:val="28"/>
          <w:lang w:eastAsia="zh-CN"/>
        </w:rPr>
        <w:t>(二)、技术标准与创新</w:t>
      </w:r>
      <w:bookmarkEnd w:id="2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标准的制定和创新是项目实施中不可或缺的一环。首先，我们注重建立统一的技术标准。通过调研烟草种植行业最佳实践和先进技术，我们制定了适用于项目的技术标准，明确了项目中所采用的技术规范和流程。这有助于降低项目实施中的技术风险，确保团队在技术层面有一致的认识和执行标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强调技术创新的推动。在项目中，我们鼓励团队成员不断追求技术创新,鼓励提出新的解决方案和改进意见。为了激发创新潜力，我们设立了专门的创新团队，负责跟踪新兴技术和烟草种植行业趋势，推动其在项目中的应用。通过定期的创新研讨会和项目内部竞赛，我们努力营造创新的氛围，使团队成员在技术上能够不断突破自我，提高项目的竞争力。</w:t>
      </w:r>
    </w:p>
    <w:p>
      <w:pPr>
        <w:spacing w:line="480" w:lineRule="auto"/>
        <w:ind w:firstLine="420" w:firstLineChars="0"/>
        <w:rPr>
          <w:rFonts w:ascii="宋体" w:eastAsia="宋体" w:hAnsi="宋体" w:cs="宋体" w:hint="eastAsia"/>
          <w:sz w:val="24"/>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还关注技术人才的引进和培养。通过与高校和科研机构建立合作关系，引进具有前沿技术知识的专业人才。同时，我们注重内部人才培养，制定个性化的技术培训计划，提高团队成员的技术水平。在技术标准的制定和创新推动中,我们致力于打造一个具备竞争力且富有创造力的技术团队，为项目的成功实施翼定坚实的技术基础。</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1" w:name="_Toc29594"/>
      <w:r>
        <w:rPr>
          <w:rFonts w:ascii="微软雅黑" w:eastAsia="微软雅黑" w:hAnsi="微软雅黑" w:cs="微软雅黑" w:hint="eastAsia"/>
          <w:color w:val="2E54A1" w:themeColor="accent1" w:themeShade="BF"/>
          <w:sz w:val="32"/>
          <w:szCs w:val="32"/>
          <w:lang w:eastAsia="zh-CN"/>
        </w:rPr>
        <w:t>五、可持续发展与绿色经营</w:t>
      </w:r>
      <w:bookmarkEnd w:id="21"/>
    </w:p>
    <w:p>
      <w:pPr>
        <w:pStyle w:val="Heading2"/>
        <w:spacing w:line="480" w:lineRule="auto"/>
        <w:rPr>
          <w:rFonts w:ascii="宋体" w:eastAsia="宋体" w:hAnsi="宋体" w:cs="宋体" w:hint="eastAsia"/>
          <w:bCs w:val="0"/>
          <w:sz w:val="28"/>
          <w:szCs w:val="28"/>
          <w:lang w:eastAsia="zh-CN"/>
        </w:rPr>
      </w:pPr>
      <w:bookmarkStart w:id="22" w:name="_Toc25096"/>
      <w:r>
        <w:rPr>
          <w:rFonts w:ascii="宋体" w:eastAsia="宋体" w:hAnsi="宋体" w:cs="宋体" w:hint="eastAsia"/>
          <w:b/>
          <w:bCs w:val="0"/>
          <w:sz w:val="28"/>
          <w:szCs w:val="28"/>
          <w:lang w:eastAsia="zh-CN"/>
        </w:rPr>
        <w:t>(一)、可持续发展战略与目标</w:t>
      </w:r>
      <w:bookmarkEnd w:id="2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一、可持续发展战略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可持续发展战略是指社会、经济、环境三者协调、可持续发展的战略。这种战略旨在确保当代人的发展不损害未来世代的发展权利，同时强调对有限资源的合理分配和有效利用，以实现长期的、全面的社会发展。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二、可持续发展战略的核心要素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1.经济发展：在可持续发展战略中，经济发展不再是以牺牲环境为代价的，而是与环境保护相互促进。这种发展模式强调提高资源利用效率，减少环境污染，实现绿色、低碳的经济发展。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2.环境保护：环境保护是可持续发展战略的重要组成部分。这包括采取措施减少环境污染，保护生物多样性，降低温室气体排放，以及提高应对环境变化的能力等。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3.社会进步：可持续发展战略强调社会公平和公正，以及社会福利的普遍提高。这包括提供公平的教育和就业机会，改善医疗卫生条件，以及促进社会和谐稳定等。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三、可持续发展战略的目标</w:t>
      </w:r>
    </w:p>
    <w:p>
      <w:pPr>
        <w:spacing w:line="480" w:lineRule="auto"/>
        <w:ind w:firstLine="420" w:firstLineChars="0"/>
        <w:rPr>
          <w:rFonts w:ascii="宋体" w:eastAsia="宋体" w:hAnsi="宋体" w:cs="宋体" w:hint="eastAsia"/>
          <w:sz w:val="24"/>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sz w:val="24"/>
          <w:szCs w:val="24"/>
          <w:lang w:eastAsia="zh-CN"/>
        </w:rPr>
        <w:t>1.实现资源的高效利用：通过提高资源利用效率，减少浪费，实现资源的可持续利用。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2.保护和恢复生态环境：采取措施保护生态环境，减少污染，恢复已经受损的环境。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3.促进绿色经济发展：推动绿色经济的发展，鼓励企业采取环保措施，开发生态产品和服务。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4.提升社会福祉：通过提供公平的教育和就业机会，改善医疗卫生条件，促进社会和谐稳定。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5.建立合作机制：在国际层面，建立合作机制以应对全球性环境问题；在国内层面，各级政府和企业需要建立合作关系以实现可持续发展目标。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6.应对气候变化：采取措施应对气候变化，包括减少温室气体排放，提高应对气候变化的能力等。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7.推动创新和转型：鼓励科技创新和制度创新，推动经济社会的绿色转型。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8.加强政策引导：通过制定和执行相关政策，引导企业和个人采取有利于可持续发展的行为。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9.提高公众意识：加强环保宣传教育，提高公众的环保意识和参与度。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10.构建全球伙伴关系：加强与其他国家和地区在环保和可持续发展方面的合作与交流，共同应对全球环境问题。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四、实施可持续发展战略的挑战与机遇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1.挑战：实施可持续发展战略面临着诸多挑战，如产业结构调整的困难、环保技术的制约、资源短缺的压力等。此外，不同地区和不同群体之间的环保意识和行动也存在差异，需要加强协调和合作。</w:t>
      </w:r>
    </w:p>
    <w:p>
      <w:pPr>
        <w:spacing w:line="480" w:lineRule="auto"/>
        <w:ind w:firstLine="420" w:firstLineChars="0"/>
        <w:rPr>
          <w:rFonts w:ascii="宋体" w:eastAsia="宋体" w:hAnsi="宋体" w:cs="宋体" w:hint="eastAsia"/>
          <w:sz w:val="24"/>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2.机遇：实施可持续发展战略也带来了许多机遇。随着环保技术和绿色经济的发展，新的就业机会和商业模式将不断涌现。同时，可持续发展的生活方式和消费模式也将促进社会公平和公正,提高人民的生活质量。</w:t>
      </w:r>
    </w:p>
    <w:p>
      <w:pPr>
        <w:pStyle w:val="Heading2"/>
        <w:spacing w:line="480" w:lineRule="auto"/>
        <w:rPr>
          <w:rFonts w:ascii="宋体" w:eastAsia="宋体" w:hAnsi="宋体" w:cs="宋体" w:hint="eastAsia"/>
          <w:bCs w:val="0"/>
          <w:sz w:val="28"/>
          <w:szCs w:val="28"/>
          <w:lang w:eastAsia="zh-CN"/>
        </w:rPr>
      </w:pPr>
      <w:bookmarkStart w:id="23" w:name="_Toc14029"/>
      <w:r>
        <w:rPr>
          <w:rFonts w:ascii="宋体" w:eastAsia="宋体" w:hAnsi="宋体" w:cs="宋体" w:hint="eastAsia"/>
          <w:b/>
          <w:bCs w:val="0"/>
          <w:sz w:val="28"/>
          <w:szCs w:val="28"/>
          <w:lang w:eastAsia="zh-CN"/>
        </w:rPr>
        <w:t>(二)、环保政策与实践</w:t>
      </w:r>
      <w:bookmarkEnd w:id="2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一、环保政策概述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环保政策是指政府为了保护自然环境、防止环境污染、维护生态平衡而制定的一系列法规和措施。环保政策不仅关注人类的生产和生活活动对于环境的影响，也重视自然界对于人类生存和发展的意义。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二、环保政策的主要内容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1.环境保护法规：政府制定了一系列环境保护法规，对环境行为进行规范和约束。例如《中华人民共和国环境保护法》、《中华人民共和国水污染防治法》等。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2.污染物排放标准：为了控制环境污染，政府制定了各种污染物排放标准。企业必须符合相应的排放标准才能进行生产和经营活动。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3.生态环境保护政策：政府采取了一系列生态环境保护政策，以维护生态平衡和提高环境质量。例如生态补偿机制、绿色GDP核算等。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4.环境经济政策：政府通过财政、税收等手段调节企业和个人的环境行为。例如环境税、绿色金融等。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5.环境管理制度：政府建立了环境影响评价、排污许可、环境监测等环境管理制度，以确保环境保护政策的执行和监督。</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三、环保实践的主要措施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1.推广清洁能源：加大对清洁能源的扶持力度，鼓励使用太阳能、风能等可再生能源，减少对化石能源的依赖。</w:t>
      </w:r>
    </w:p>
    <w:p>
      <w:pPr>
        <w:spacing w:line="480" w:lineRule="auto"/>
        <w:ind w:firstLine="420" w:firstLineChars="0"/>
        <w:rPr>
          <w:rFonts w:ascii="宋体" w:eastAsia="宋体" w:hAnsi="宋体" w:cs="宋体" w:hint="eastAsia"/>
          <w:sz w:val="24"/>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2.实施节能减排：通过技术手段提高能源利用效率，减少污染物排放，实现节能减排的目标。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3.建设生态工程：实施生态保护工程，修复生态环境，提高生态系统的稳定性。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4.加强环境监测：建立环境监测体系，对环境质量进行实时监测和评估，为采取相应的环保措施提供科学依据。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5.提高公众意识：加强环保宣传教育，提高公众的环保意识和参与度，引导公众形成良好的环境行为。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6.开展国际合作：积极参与全球环境治理，与其他国家和地区共同研究和应对环境问题，推动全球环保事业的发展。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7.推动企业创新：鼓励企业进行环保技术创新，提高企业的环保水平和竞争力。对于积极采取环保措施的企业给予政策和资金支持。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8.强化法规执行：加大对环境违法行为的处罚力度，严格执法，确保各项环保政策和法规得到有效执行。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9.建立奖惩机制：对于环保表现优秀的企业和个人给予奖励和表彰，同时对环境违法行为进行惩罚，形成正确的社会价值导向。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10.促进绿色经济发展：推动绿色经济的发展，鼓励企业开展环保产业和循环经济项目，促进经济结构的绿色转型。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四、环保政策与实践的意义</w:t>
      </w:r>
    </w:p>
    <w:p>
      <w:pPr>
        <w:spacing w:line="480" w:lineRule="auto"/>
        <w:ind w:firstLine="420" w:firstLineChars="0"/>
        <w:rPr>
          <w:rFonts w:ascii="宋体" w:eastAsia="宋体" w:hAnsi="宋体" w:cs="宋体" w:hint="eastAsia"/>
          <w:sz w:val="24"/>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宋体" w:eastAsia="宋体" w:hAnsi="宋体" w:cs="宋体" w:hint="eastAsia"/>
          <w:sz w:val="24"/>
          <w:szCs w:val="24"/>
          <w:lang w:eastAsia="zh-CN"/>
        </w:rPr>
        <w:t>环保政策与实践对于保护自然环境、维护生态平衡、促进可持续发展具有重要意义。通过制定和执行环保政策，可以有效地减少人类活动对环境的负面影响，保护生态系统的稳定性和生物多样性。同时，环保政策还可以促进经济、社会和环境的协调发展，提高人民的生活质量和幸福感。</w:t>
      </w:r>
    </w:p>
    <w:p>
      <w:pPr>
        <w:pStyle w:val="Heading2"/>
        <w:spacing w:line="480" w:lineRule="auto"/>
        <w:rPr>
          <w:rFonts w:ascii="宋体" w:eastAsia="宋体" w:hAnsi="宋体" w:cs="宋体" w:hint="eastAsia"/>
          <w:bCs w:val="0"/>
          <w:sz w:val="28"/>
          <w:szCs w:val="28"/>
          <w:lang w:eastAsia="zh-CN"/>
        </w:rPr>
      </w:pPr>
      <w:bookmarkStart w:id="24" w:name="_Toc28932"/>
      <w:r>
        <w:rPr>
          <w:rFonts w:ascii="宋体" w:eastAsia="宋体" w:hAnsi="宋体" w:cs="宋体" w:hint="eastAsia"/>
          <w:b/>
          <w:bCs w:val="0"/>
          <w:sz w:val="28"/>
          <w:szCs w:val="28"/>
          <w:lang w:eastAsia="zh-CN"/>
        </w:rPr>
        <w:t>(三)、资源利用与循环经济</w:t>
      </w:r>
      <w:bookmarkEnd w:id="2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一、资源利用与循环经济</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利用是指对自然资源的开发、加工、转化和利用过程，而循环经济则是一种以资源的高效利用和循环利用为核心，以“减量化、再利用、资源化”为原则，以低消耗、低排放、高效率为基本特征的经济发展模式。循环经济侧重于对既有资源的循环利用，减少废弃物的产生，同时提高资源的利用效率，从而实现可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二、资源利用与循环经济的主要内容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1.资源的有效利用：通过技术进步和科学管理，提高资源的利用效率，减少资源的浪费。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2.废弃物的减量化：在生产和消费过程中，尽可能减少废弃物的产生，避免浪费。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3.废弃物的回收和再利用：通过回收和再利用废弃物，将其转化为新的资源，实现资源的循环利用。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4.环保产业的发展：鼓励和支持环保产业的发展，推动环保技术的创新和应用。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5.政策引导和监管：通过制定相关政策和加强监管，引导企业和个人采取有利于资源高效利用和循环利用的行为。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三、资源利用与循环经济的实践案例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1.废弃物资源化：例如，农作物秸秆可以作为饲料、燃料等进行再利用；生活垃圾可以通过分类回收、资源化处理等方式转化为新的资源。</w:t>
      </w:r>
    </w:p>
    <w:p>
      <w:pPr>
        <w:spacing w:line="480" w:lineRule="auto"/>
        <w:ind w:firstLine="420" w:firstLineChars="0"/>
        <w:rPr>
          <w:rFonts w:ascii="宋体" w:eastAsia="宋体" w:hAnsi="宋体" w:cs="宋体" w:hint="eastAsia"/>
          <w:sz w:val="24"/>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2.产业协同：不同产业之间可以通过合作实现资源的共享和优化配置，提高资源利用效率。例如，工业余热可以用于供暖、农业灌溉等。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3.绿色消费：推广绿色消费理念，鼓励消费者购买环保产品和使用可再生能源等。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4.生态修复：通过生态修复技术，改善生态环境，提高生态系统的稳定性和可持续性。例如,通过植被恢复、湿地保护等方式改善自然环境。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5.技术创新：推动环保技术创新，提高资源的开发利用水平。例如，发展太阳能、风能等可再生能源技术。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6.政策引导：制定有利于资源高效利用和循环利用的政策，鼓励企业和个人参与循环经济发展。例如，对环保产业给予税收优惠、财政补贴等支持政策。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7.国际合作：加强与其他国家和地区在环保和资源利用方面的合作与交流，共同应对全球环境问题。例如，参与全球环境治理合作项目等。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四、资源利用与循环经济的意义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利用与循环经济的发展对于实现可持续发展具有重要的意义。首先，循环经济可以减少资源的浪费和环境的污染，提高经济发展的质量；其次，循环经济可以促进产业升级和转型，推动绿色经济的发展；再次，循环经济可以提供更多的就业机会和经济增长点，促进社会的稳定和繁荣；最后，循环经济可以促进全球环保合作，推动全球可持续发展进程。</w:t>
      </w:r>
    </w:p>
    <w:p>
      <w:pPr>
        <w:pStyle w:val="Heading2"/>
        <w:spacing w:line="480" w:lineRule="auto"/>
        <w:rPr>
          <w:rFonts w:ascii="宋体" w:eastAsia="宋体" w:hAnsi="宋体" w:cs="宋体" w:hint="eastAsia"/>
          <w:bCs w:val="0"/>
          <w:sz w:val="28"/>
          <w:szCs w:val="28"/>
          <w:lang w:eastAsia="zh-CN"/>
        </w:rPr>
      </w:pPr>
      <w:bookmarkStart w:id="25" w:name="_Toc3776"/>
      <w:r>
        <w:rPr>
          <w:rFonts w:ascii="宋体" w:eastAsia="宋体" w:hAnsi="宋体" w:cs="宋体" w:hint="eastAsia"/>
          <w:b/>
          <w:bCs w:val="0"/>
          <w:sz w:val="28"/>
          <w:szCs w:val="28"/>
          <w:lang w:eastAsia="zh-CN"/>
        </w:rPr>
        <w:t>(四)、碳中和与生态足迹</w:t>
      </w:r>
      <w:bookmarkEnd w:id="2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一、碳中和概述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碳中和定义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https://d.book118.com/827154033010006031</w:t>
        </w:r>
      </w:hyperlink>
    </w:p>
    <w:p>
      <w:pPr>
        <w:spacing w:line="480" w:lineRule="auto"/>
        <w:ind w:firstLine="420" w:firstLineChars="0"/>
        <w:rPr>
          <w:rFonts w:ascii="宋体" w:eastAsia="宋体" w:hAnsi="宋体" w:cs="宋体" w:hint="eastAsia"/>
          <w:sz w:val="24"/>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3DAC44EE"/>
    <w:rsid w:val="453746B4"/>
    <w:rsid w:val="482775B3"/>
    <w:rsid w:val="49C53810"/>
    <w:rsid w:val="4E155AC7"/>
    <w:rsid w:val="50930768"/>
    <w:rsid w:val="62A91464"/>
    <w:rsid w:val="692E1C42"/>
    <w:rsid w:val="7763713F"/>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82715403301000603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2024-01-13T12:04:35Z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