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61BC7" w:rsidRPr="009174D5" w:rsidP="009174D5">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9174D5">
        <w:rPr>
          <w:rFonts w:ascii="微软雅黑" w:eastAsia="微软雅黑" w:hAnsi="微软雅黑" w:cs="宋体" w:hint="eastAsia"/>
          <w:bCs/>
          <w:color w:val="FF0000"/>
          <w:kern w:val="0"/>
          <w:sz w:val="30"/>
          <w:szCs w:val="36"/>
        </w:rPr>
        <w:t>《国际贸易实务》期末考试复习题库（含答案）</w:t>
      </w:r>
    </w:p>
    <w:p w:rsidR="00861BC7" w:rsidRPr="009174D5" w:rsidP="009174D5">
      <w:pPr>
        <w:widowControl/>
        <w:shd w:val="clear" w:color="auto" w:fill="FFFFFF"/>
        <w:wordWrap w:val="0"/>
        <w:spacing w:line="480" w:lineRule="auto"/>
        <w:jc w:val="left"/>
        <w:rPr>
          <w:rFonts w:ascii="黑体" w:eastAsia="黑体" w:hAnsi="黑体" w:cs="宋体"/>
          <w:bCs/>
          <w:color w:val="000000"/>
          <w:kern w:val="0"/>
          <w:sz w:val="24"/>
          <w:szCs w:val="30"/>
        </w:rPr>
      </w:pPr>
      <w:r w:rsidRPr="009174D5">
        <w:rPr>
          <w:rFonts w:ascii="黑体" w:eastAsia="黑体" w:hAnsi="黑体" w:cs="宋体" w:hint="eastAsia"/>
          <w:bCs/>
          <w:color w:val="000000"/>
          <w:kern w:val="0"/>
          <w:sz w:val="24"/>
          <w:szCs w:val="30"/>
        </w:rPr>
        <w:t>一、单选题</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1.班轮运输的运费应该包括()。</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A、装卸费，不计滞期费、速遣费</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B、装卸费，但计滞期费、速遣费</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C、卸货费和滞期费，不计速遣费</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D、卸货费和速遣费，不计滞期费</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答案：A</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2.在以下条件成交的合同中，不属于装运合同的是()。</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A、EXW广州</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B、FOB上海</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C、FAS天津</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w:t>
      </w:r>
      <w:r w:rsidRPr="009174D5">
        <w:rPr>
          <w:rFonts w:ascii="黑体" w:eastAsia="黑体" w:hAnsi="黑体" w:cs="宋体" w:hint="eastAsia"/>
          <w:color w:val="000000"/>
          <w:kern w:val="0"/>
          <w:sz w:val="24"/>
          <w:szCs w:val="27"/>
        </w:rPr>
        <w:t>ES厦门</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答案：D</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3.条码标志主要用于商品的()上。</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A、销售包装</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B、运输包装</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C、销售包装和运输包装</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D、任何包装</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答案：A</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174D5">
        <w:rPr>
          <w:rFonts w:ascii="黑体" w:eastAsia="黑体" w:hAnsi="黑体" w:cs="宋体" w:hint="eastAsia"/>
          <w:color w:val="000000"/>
          <w:kern w:val="0"/>
          <w:sz w:val="24"/>
          <w:szCs w:val="27"/>
        </w:rPr>
        <w:t>4.在信用证方式下，银行处理的是()。</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A、单据</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B、与单据有关的货物</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C、与单据有关的服务</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D、与单据有关的其他行为</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答案：A</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5.进口羊毛计算重量的方法，一般采用()。</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A、理论重量</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B、公量</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C、毛重</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D、以毛作净</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答案：B</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6.按《UCP500》解释，若信用证条款中未明确规定是否“允许分批装运”、“允许转运”，则应视为()。</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A、可允许分批装运，但不允许转运</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B、可允许分批装运和转运</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C、可允许转运，但不允许分批装运</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D、不允许分批装运和转运</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答案：B</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7.按照《跟单信用证统一惯例》的规定，受益人最后向银行交单议付的期限是不迟于提单签发日的()。</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A、11</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9174D5">
        <w:rPr>
          <w:rFonts w:ascii="黑体" w:eastAsia="黑体" w:hAnsi="黑体" w:cs="宋体" w:hint="eastAsia"/>
          <w:color w:val="000000"/>
          <w:kern w:val="0"/>
          <w:sz w:val="24"/>
          <w:szCs w:val="27"/>
        </w:rPr>
        <w:t>B、15</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C、21</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D、25</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答案：C</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8.T/T指的是()。</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A、信汇</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B、电汇</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C、票汇</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D、信用证</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答案：B</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9.“离岸重量、到岸品质”是指()。</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A、装运港检验</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B、目的港检验</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C、出口国检验、进口国复验</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D、装运港检验重量、目的港检验品质</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答案：D</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10.保兑行对保兑信用证承担的付款责任是()。</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A、第一性的</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B、第二性的</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C、第三性的</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D、第四性的</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9174D5">
        <w:rPr>
          <w:rFonts w:ascii="黑体" w:eastAsia="黑体" w:hAnsi="黑体" w:cs="宋体" w:hint="eastAsia"/>
          <w:color w:val="000000"/>
          <w:kern w:val="0"/>
          <w:sz w:val="24"/>
          <w:szCs w:val="27"/>
        </w:rPr>
        <w:t>答案：A</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11.某公司按CIF出口一批货物，但因海轮在运输途中遇难，货物全部灭失，买方()</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A、可借货物未到岸之事实而不予付款</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B、应该凭卖方提供的全套单据付款</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C、可以向承运人要求赔偿</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D、由银行决定是否付款．15．二、多项选择题</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答案：B</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12.支票是以银行为付款人的()。</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A、即期汇票</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B、远期汇票</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C、即期本票</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D、远期本票</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答案：A</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13.以仲裁方式解决贸易争议的必要条件是()。</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A、双方当事人订有仲裁协议</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B、双方当事人订有合同</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C、双方当事人无法以协商解决</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D、一方因诉讼无果而提出</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答案：A</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14.按照交货方式的不同，贸易术语可分为()交货和实际交货。</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A、象征性交货</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174D5">
        <w:rPr>
          <w:rFonts w:ascii="黑体" w:eastAsia="黑体" w:hAnsi="黑体" w:cs="宋体" w:hint="eastAsia"/>
          <w:color w:val="000000"/>
          <w:kern w:val="0"/>
          <w:sz w:val="24"/>
          <w:szCs w:val="27"/>
        </w:rPr>
        <w:t>B、凭样品交货</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C、装运港交货</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D、目的地交货</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答案：A</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15.按照国际惯例，如果合同中没有相关规定，则运输标志一般由()提供。</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A、开证行</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B、卖方</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C、买方</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D、船方二、多选题</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答案：B</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16.D/Patsight指的是()。</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A、远期付款交单</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B、即期付款交单</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C、跟单托收</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D、承兑交单</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答案：B</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17.某公司与美国一家公司以CFREXSHIP’SHOLD的条件成交了一笔生意，按照国际惯例，这批货物在目的港的卸货费用应当由()。</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A、买方来承担</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B、卖方来承担</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C、船方来承担</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D、港务部门来承担</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174D5">
        <w:rPr>
          <w:rFonts w:ascii="黑体" w:eastAsia="黑体" w:hAnsi="黑体" w:cs="宋体" w:hint="eastAsia"/>
          <w:color w:val="000000"/>
          <w:kern w:val="0"/>
          <w:sz w:val="24"/>
          <w:szCs w:val="27"/>
        </w:rPr>
        <w:t>答案：A</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18.《2000年国际贸易术语解释通则》按英文字母排列，将国际贸易术语分成()组。</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A、四</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B、五</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C、六</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D、三</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答案：A</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19.海运提单日期应理解为()。</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A、货物开始装船的日期</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B、货物装船过程中任何一天</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C、货物装船完毕的日期</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D、签订运输合同的日期</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答案：C</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20.在国际货物买卖中，较常采用的不可抗力事故范围的规定方法是()。</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A、概括规定</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B、不规定</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C、具体规定</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D、综合规定二、多项选择题</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答案：D</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21.某批出口货物投保了水渍险，在运输过程中由于雨淋致使货物遭受部分损失，这样的损失保险公司将()。</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174D5">
        <w:rPr>
          <w:rFonts w:ascii="黑体" w:eastAsia="黑体" w:hAnsi="黑体" w:cs="宋体" w:hint="eastAsia"/>
          <w:color w:val="000000"/>
          <w:kern w:val="0"/>
          <w:sz w:val="24"/>
          <w:szCs w:val="27"/>
        </w:rPr>
        <w:t>A、负责赔偿整批货物</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B、负责赔偿被雨淋湿的部分</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C、不给于赔偿</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D、在被保险人同意的情况下，保险公司负责赔偿被雨淋湿的部分</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答案：C</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22.在海洋运输货物保险业务中，共同海损()。</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A、是部分损失的一种</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B、是全部损失的一种</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C、有时为部分损失，有时为全部损失</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D、是推定全损</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答案：A</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23.同国际市场的惯例一样，我国海运货物基本险的保险期限一般也采用()的原则。</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A、"门到门"</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B、"桌到桌"</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C、"仓至仓"</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D、"港到港"</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答案：C</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24.发生()，违约方可援引不可抗力条款要求免责。</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A、战争</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B、世界市场价格上涨</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C、生产制作过程中的过失</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174D5">
        <w:rPr>
          <w:rFonts w:ascii="黑体" w:eastAsia="黑体" w:hAnsi="黑体" w:cs="宋体" w:hint="eastAsia"/>
          <w:color w:val="000000"/>
          <w:kern w:val="0"/>
          <w:sz w:val="24"/>
          <w:szCs w:val="27"/>
        </w:rPr>
        <w:t>D、货币贬值</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答案：A</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25.在短卸情况下，可以向()提出索赔。</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A、卖方</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B、承运人</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C、保险公司和承运人</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D、卖方，保险公司和承运人</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答案：D</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26.某商品单价为“每件25美元CIF净价纽约”指的是()。</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A、该价格中不包括佣金</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B、该价格中不包括佣金或折扣</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C、该价格中不包括运费</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D、该价格中不包括保险费</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答案：B</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27.某美国客商到我国一家玩具厂参观，之后对该厂的部分产品很感兴趣，于是立即签定购买合同，批量购买他所见到的那部分产品，决定按实物样品作为合同中交收货物的品质要求。这种表示品质的方法是()。</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A、看货购买</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B、凭卖方样品</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C、凭买方样品</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D、凭对等样品</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答案：B</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174D5">
        <w:rPr>
          <w:rFonts w:ascii="黑体" w:eastAsia="黑体" w:hAnsi="黑体" w:cs="宋体" w:hint="eastAsia"/>
          <w:color w:val="000000"/>
          <w:kern w:val="0"/>
          <w:sz w:val="24"/>
          <w:szCs w:val="27"/>
        </w:rPr>
        <w:t>28.出口报关的时间应是()。</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A、备货前</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B、装船前</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C、装船后</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D、货到目的港后</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答案：B</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29.象征性交货意指卖方的交货义务是()。</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A、不交货</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B、既交单又实际性交货</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C、凭单交货</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D、实际性交货</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答案：C</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30.以FOBST成交，则买卖双方风险的划分界限是()。</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A、货交承运人</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B、货物越过装运港船舷</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C、货物在目的港卸货后</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D、装运港码头</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答案：B</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31.代表边境交货的贸易术语是()。</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A、FAS</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B、DAF</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w:t>
      </w:r>
      <w:r w:rsidRPr="009174D5">
        <w:rPr>
          <w:rFonts w:ascii="黑体" w:eastAsia="黑体" w:hAnsi="黑体" w:cs="宋体" w:hint="eastAsia"/>
          <w:color w:val="000000"/>
          <w:kern w:val="0"/>
          <w:sz w:val="24"/>
          <w:szCs w:val="27"/>
        </w:rPr>
        <w:t>PT</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174D5">
        <w:rPr>
          <w:rFonts w:ascii="黑体" w:eastAsia="黑体" w:hAnsi="黑体" w:cs="宋体" w:hint="eastAsia"/>
          <w:color w:val="000000"/>
          <w:kern w:val="0"/>
          <w:sz w:val="24"/>
          <w:szCs w:val="27"/>
        </w:rPr>
        <w:t>D、</w:t>
      </w:r>
      <w:r w:rsidRPr="009174D5">
        <w:rPr>
          <w:rFonts w:ascii="黑体" w:eastAsia="黑体" w:hAnsi="黑体" w:cs="宋体" w:hint="eastAsia"/>
          <w:color w:val="000000"/>
          <w:kern w:val="0"/>
          <w:sz w:val="24"/>
          <w:szCs w:val="27"/>
        </w:rPr>
        <w:t>EQ</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答案：B</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32.信用证是依据买卖合同开立的，出口商要保证安全收汇，必须做到()。</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A、提交的单据与买卖合同规定相符</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B、提交的单据与信用证规定相符</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C、提交的单据既要与买卖合同规定相符，又要与信用证规定相符</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D、当信用证与买卖合同规定不一致时，提交的单据应与买卖合同规定为主，适当参照信用证有关规定</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答案：B</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33.在众多检验商品品质的方法中，最常用的是()。</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A、装运港检验</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B、目的港检验</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C、出口国检验、进口国复验</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D、装运港检验重量、目的港检验品质</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答案：C</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34.CIF合同的货物在装船后因火灾被焚，应由()。</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A、卖方承担损失</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B、卖方负责请求保险公司赔偿</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C、买方负责请求保险公司赔偿</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D、承担运费的一方赔偿</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答案：C</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35.负责制定《2000年国际贸易术语通则》的组织是()。</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174D5">
        <w:rPr>
          <w:rFonts w:ascii="黑体" w:eastAsia="黑体" w:hAnsi="黑体" w:cs="宋体" w:hint="eastAsia"/>
          <w:color w:val="000000"/>
          <w:kern w:val="0"/>
          <w:sz w:val="24"/>
          <w:szCs w:val="27"/>
        </w:rPr>
        <w:t>A、国际法协会</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B、国际商会</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C、经合组织</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D、WTO</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答案：B</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36.我方出口大宗商品，按CIF新加坡成交，合同规定采用程租船运输，我方不愿承担卸货费用，则我方应选择的贸易术语的变形是()。</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A、CIFLinerTermsSingapore</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B、CIFLandedSingapore</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w:t>
      </w:r>
      <w:r w:rsidRPr="009174D5">
        <w:rPr>
          <w:rFonts w:ascii="黑体" w:eastAsia="黑体" w:hAnsi="黑体" w:cs="宋体" w:hint="eastAsia"/>
          <w:color w:val="000000"/>
          <w:kern w:val="0"/>
          <w:sz w:val="24"/>
          <w:szCs w:val="27"/>
        </w:rPr>
        <w:t>IFExShip’sHoldSingapore</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D、CIFExTackleSingapore</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答案：C</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37.根据INCOTERMS的解释，以CIF汉堡成交卖方对货物所承担的风险界限（风险责任）是()。</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A、货物在装运港装船越过船舷以前</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B、货物在装运港卸下卖方车辆以前</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C、货物在目的港卸货越过船舷以前</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D、货物在目的港装上买方车辆以前</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答案：A</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38.在国际贸易中造型上有特殊要求或具有色香味方面特征的商品适合于()。</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A、凭样品买卖</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B、凭规格买卖</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174D5">
        <w:rPr>
          <w:rFonts w:ascii="黑体" w:eastAsia="黑体" w:hAnsi="黑体" w:cs="宋体" w:hint="eastAsia"/>
          <w:color w:val="000000"/>
          <w:kern w:val="0"/>
          <w:sz w:val="24"/>
          <w:szCs w:val="27"/>
        </w:rPr>
        <w:t>C、凭等级买卖</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D、凭产地名称买卖</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答案：A</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39.在国际贸易中用以统一解释调和信用证各有关当事人矛盾的国际惯例()。</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A、《托收统一规则》</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B、《国际商会500号出版物》</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C、《合约保证书统一规则》</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D、《国际商会434号出版物》</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答案：B</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40.信用证中只规定了议付的有效期，没规定装运期，则根据《UCP500》的规定()。</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A、装运的最终期限与信用证的到期日相同</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B、信用证必须要修改才能使用</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C、该证无效</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D、装运期可视为与信用证的有效期相差一个月二、多项选择题</w:t>
      </w:r>
    </w:p>
    <w:p w:rsidR="009174D5"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答案：A</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41.我国某公司与新加坡一家公司以CIF新加坡的条件出口一批土产品，订约时，我国公司已知道该批货物要转销美国。该货物到新加坡后，立即转运美国。其后新加坡的买主凭美国商检机构签发的在美国检验的证明书，向我提出索赔。问，美国的检验证书是否有效()。</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A、有效</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B、无效，应要求新加坡商检机构出具证明</w:t>
      </w:r>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r w:rsidRPr="009174D5">
        <w:rPr>
          <w:rFonts w:ascii="黑体" w:eastAsia="黑体" w:hAnsi="黑体" w:cs="宋体" w:hint="eastAsia"/>
          <w:color w:val="000000"/>
          <w:kern w:val="0"/>
          <w:sz w:val="24"/>
          <w:szCs w:val="27"/>
        </w:rPr>
        <w:t>C、无效，应由合理第三国商检机构出具证明</w:t>
      </w:r>
      <w:r w:rsidRPr="009174D5">
        <w:rPr>
          <w:rFonts w:ascii="黑体" w:eastAsia="黑体" w:hAnsi="黑体" w:cs="宋体"/>
          <w:color w:val="000000"/>
          <w:kern w:val="0"/>
          <w:sz w:val="24"/>
          <w:szCs w:val="27"/>
        </w:rPr>
        <w:br/>
      </w:r>
      <w:r w:rsidRPr="009174D5">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https://d.book118.com/827164123025006025</w:t>
        </w:r>
      </w:hyperlink>
    </w:p>
    <w:p w:rsidR="00861BC7" w:rsidRPr="009174D5" w:rsidP="009174D5">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174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9174D5"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174D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174D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174D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174D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174D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174D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9174D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174D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174D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174D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174D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174D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174D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174D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174D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174D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174D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174D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174D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174D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174D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174D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rsidP="00F75A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174D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74D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CB3"/>
    <w:rsid w:val="00861BC7"/>
    <w:rsid w:val="009174D5"/>
    <w:rsid w:val="00AB72B3"/>
    <w:rsid w:val="00F75A3F"/>
    <w:rsid w:val="00FE2C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861BC7"/>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861BC7"/>
    <w:rPr>
      <w:rFonts w:ascii="宋体" w:eastAsia="宋体" w:hAnsi="宋体" w:cs="宋体"/>
      <w:b/>
      <w:bCs/>
      <w:kern w:val="0"/>
      <w:sz w:val="36"/>
      <w:szCs w:val="36"/>
    </w:rPr>
  </w:style>
  <w:style w:type="paragraph" w:customStyle="1" w:styleId="1">
    <w:name w:val="标题1"/>
    <w:basedOn w:val="Normal"/>
    <w:rsid w:val="00861BC7"/>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861BC7"/>
  </w:style>
  <w:style w:type="paragraph" w:customStyle="1" w:styleId="question-title">
    <w:name w:val="question-title"/>
    <w:basedOn w:val="Normal"/>
    <w:rsid w:val="00861BC7"/>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861BC7"/>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861BC7"/>
  </w:style>
  <w:style w:type="paragraph" w:styleId="NormalWeb">
    <w:name w:val="Normal (Web)"/>
    <w:basedOn w:val="Normal"/>
    <w:uiPriority w:val="99"/>
    <w:semiHidden/>
    <w:unhideWhenUsed/>
    <w:rsid w:val="00861BC7"/>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9174D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174D5"/>
    <w:rPr>
      <w:sz w:val="18"/>
      <w:szCs w:val="18"/>
    </w:rPr>
  </w:style>
  <w:style w:type="paragraph" w:styleId="Footer">
    <w:name w:val="footer"/>
    <w:basedOn w:val="Normal"/>
    <w:link w:val="Char0"/>
    <w:uiPriority w:val="99"/>
    <w:unhideWhenUsed/>
    <w:rsid w:val="009174D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174D5"/>
    <w:rPr>
      <w:sz w:val="18"/>
      <w:szCs w:val="18"/>
    </w:rPr>
  </w:style>
  <w:style w:type="character" w:styleId="PageNumber">
    <w:name w:val="page number"/>
    <w:basedOn w:val="DefaultParagraphFont"/>
    <w:uiPriority w:val="99"/>
    <w:semiHidden/>
    <w:unhideWhenUsed/>
    <w:rsid w:val="009174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827164123025006025"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5075</Words>
  <Characters>28932</Characters>
  <Application>Microsoft Office Word</Application>
  <DocSecurity>0</DocSecurity>
  <Lines>241</Lines>
  <Paragraphs>67</Paragraphs>
  <ScaleCrop>false</ScaleCrop>
  <Company>Microsoft</Company>
  <LinksUpToDate>false</LinksUpToDate>
  <CharactersWithSpaces>33940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2024-01-02T11:55:00Z</dcterms:created>
  <dcterms:modified xsi:type="dcterms:W3CDTF">2024-01-03T08:07:00Z</dcterms:modified>
</cp:coreProperties>
</file>