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902" w:firstLineChars="205"/>
        <w:jc w:val="center"/>
        <w:rPr>
          <w:rFonts w:ascii="仿宋_GB2312" w:eastAsia="仿宋_GB2312" w:hAnsi="宋体" w:hint="eastAsia"/>
          <w:sz w:val="44"/>
          <w:szCs w:val="44"/>
        </w:rPr>
      </w:pPr>
      <w:r>
        <w:rPr>
          <w:rFonts w:ascii="仿宋_GB2312" w:eastAsia="仿宋_GB2312" w:hAnsi="宋体" w:hint="eastAsia"/>
          <w:sz w:val="44"/>
          <w:szCs w:val="44"/>
        </w:rPr>
        <w:t>四子王旗乌兰花镇东山</w:t>
      </w:r>
      <w:r>
        <w:rPr>
          <w:rFonts w:ascii="仿宋_GB2312" w:eastAsia="仿宋_GB2312" w:hAnsi="宋体" w:hint="eastAsia"/>
          <w:b/>
          <w:sz w:val="44"/>
          <w:szCs w:val="44"/>
        </w:rPr>
        <w:t>公</w:t>
      </w:r>
      <w:r>
        <w:rPr>
          <w:rFonts w:ascii="仿宋_GB2312" w:eastAsia="仿宋_GB2312" w:hAnsi="宋体" w:hint="eastAsia"/>
          <w:sz w:val="44"/>
          <w:szCs w:val="44"/>
        </w:rPr>
        <w:t>园改造工程</w:t>
      </w:r>
    </w:p>
    <w:p>
      <w:pPr>
        <w:ind w:firstLine="902" w:firstLineChars="205"/>
        <w:jc w:val="center"/>
        <w:rPr>
          <w:rFonts w:ascii="仿宋_GB2312" w:eastAsia="仿宋_GB2312" w:hAnsi="宋体" w:hint="eastAsia"/>
          <w:sz w:val="44"/>
          <w:szCs w:val="44"/>
        </w:rPr>
      </w:pPr>
      <w:r>
        <w:rPr>
          <w:rFonts w:ascii="仿宋_GB2312" w:eastAsia="仿宋_GB2312" w:hAnsi="宋体" w:hint="eastAsia"/>
          <w:sz w:val="44"/>
          <w:szCs w:val="44"/>
        </w:rPr>
        <w:t>施工组织设计</w:t>
      </w:r>
    </w:p>
    <w:p>
      <w:pPr>
        <w:ind w:firstLine="1936" w:firstLineChars="605"/>
        <w:rPr>
          <w:rFonts w:ascii="仿宋_GB2312" w:eastAsia="仿宋_GB2312" w:hAnsi="宋体" w:hint="eastAsia"/>
          <w:b/>
          <w:sz w:val="32"/>
          <w:szCs w:val="32"/>
        </w:rPr>
      </w:pPr>
    </w:p>
    <w:p>
      <w:pPr>
        <w:ind w:firstLine="1936" w:firstLineChars="605"/>
        <w:rPr>
          <w:rFonts w:ascii="仿宋_GB2312" w:eastAsia="仿宋_GB2312" w:hAnsi="宋体" w:hint="eastAsia"/>
          <w:b/>
          <w:sz w:val="32"/>
          <w:szCs w:val="32"/>
        </w:rPr>
      </w:pPr>
      <w:r>
        <w:rPr>
          <w:rFonts w:ascii="仿宋_GB2312" w:eastAsia="仿宋_GB2312" w:hAnsi="宋体" w:hint="eastAsia"/>
          <w:b/>
          <w:sz w:val="32"/>
          <w:szCs w:val="32"/>
        </w:rPr>
        <w:t>第一章   编制依据、工程概况及计划</w:t>
      </w:r>
    </w:p>
    <w:p>
      <w:pPr>
        <w:ind w:firstLine="656" w:firstLineChars="205"/>
        <w:rPr>
          <w:rFonts w:ascii="仿宋_GB2312" w:eastAsia="仿宋_GB2312" w:hAnsi="宋体" w:hint="eastAsia"/>
          <w:sz w:val="32"/>
          <w:szCs w:val="32"/>
        </w:rPr>
      </w:pP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一、编制依据</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（一）内蒙古四子王旗乌兰花镇东山公园改造工程施工项目招标文件及设计图册等。</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（二）根据四子王旗城市建设投资有限责任公司所委托的勘测单位对现场进行的实地踏勘资料。</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（三）我公司现有的管理水平、劳动力、设备、技术能力等的施工经验。</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（四）现行国家部颁的有关技术规范、标准等。</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二、工程概况：</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本工程为四子王旗乌兰花镇东山公园改造工程，该项工程的建设单位为四子王旗城市建设投资有限责任公司。工程内容包括：（1）公园内的台阶、花坛、场地的硬化工程（硬化工程包括大理石、花岗岩的嵌贴、部分场地的水泥混凝土的硬化）。（2）排洪渠道的砌筑；（3）公园内的道路修筑（砼面层、砂砾热层结构层）；（4）道路两侧的绿化工程以及配套的重点设施工程。</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三、该项工程进行如下的计划目标</w:t>
      </w:r>
    </w:p>
    <w:p>
      <w:pPr>
        <w:ind w:firstLine="656" w:firstLineChars="205"/>
        <w:rPr>
          <w:rFonts w:ascii="仿宋_GB2312" w:eastAsia="仿宋_GB2312" w:hAnsi="宋体" w:hint="eastAsia"/>
          <w:sz w:val="32"/>
          <w:szCs w:val="32"/>
        </w:rPr>
        <w:sectPr>
          <w:pgSz w:w="11906" w:h="16838"/>
          <w:pgMar w:top="1440" w:right="1418" w:bottom="1440" w:left="1418" w:header="851" w:footer="992" w:gutter="0"/>
          <w:cols w:space="708"/>
          <w:docGrid w:type="lines" w:linePitch="312"/>
        </w:sectPr>
      </w:pP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1、进度目标计划：2010年5月15日开工，2010年10月30日竣工。</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2、质量目标计划：达到国家验评标准。</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3、安全目标计划：确保安全施工无事故安全。</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4、环境目标计划：造福当地，美化环境。</w:t>
      </w:r>
    </w:p>
    <w:p>
      <w:pPr>
        <w:ind w:firstLine="2096" w:firstLineChars="655"/>
        <w:rPr>
          <w:rFonts w:ascii="仿宋_GB2312" w:eastAsia="仿宋_GB2312" w:hAnsi="宋体" w:hint="eastAsia"/>
          <w:b/>
          <w:sz w:val="32"/>
          <w:szCs w:val="32"/>
        </w:rPr>
      </w:pPr>
      <w:r>
        <w:rPr>
          <w:rFonts w:ascii="仿宋_GB2312" w:eastAsia="仿宋_GB2312" w:hAnsi="宋体" w:hint="eastAsia"/>
          <w:b/>
          <w:sz w:val="32"/>
          <w:szCs w:val="32"/>
        </w:rPr>
        <w:t>第二章   施工部署及施工准备</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为保证工程的顺利进行和各项目标的实现，我公司将对本工程进行科学、合理的组织和管理，对工程的进度、质量、安全做好各种技术保证措施；对施工材料的使用、施工机具的安排等问题进行良好的部署和协调。</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一、总体施工工艺流程</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pict>
          <v:line id="直线 8" o:spid="_x0000_s1025" style="mso-wrap-style:square;position:absolute;z-index:251662336" from="126pt,46.8pt" to="2in,46.8pt">
            <v:stroke linestyle="single" endarrow="block"/>
          </v:line>
        </w:pict>
      </w:r>
      <w:r>
        <w:rPr>
          <w:rFonts w:ascii="仿宋_GB2312" w:eastAsia="仿宋_GB2312" w:hAnsi="宋体" w:hint="eastAsia"/>
          <w:sz w:val="32"/>
          <w:szCs w:val="32"/>
        </w:rPr>
        <w:pict>
          <v:line id="直线 7" o:spid="_x0000_s1026" style="mso-wrap-style:square;position:absolute;z-index:251661312" from="27pt,46.8pt" to="45pt,46.8pt">
            <v:stroke linestyle="single" endarrow="block"/>
          </v:line>
        </w:pict>
      </w:r>
      <w:r>
        <w:rPr>
          <w:rFonts w:ascii="仿宋_GB2312" w:eastAsia="仿宋_GB2312" w:hAnsi="宋体" w:hint="eastAsia"/>
          <w:sz w:val="32"/>
          <w:szCs w:val="32"/>
        </w:rPr>
        <w:pict>
          <v:line id="直线 6" o:spid="_x0000_s1027" style="mso-wrap-style:square;position:absolute;z-index:251660288" from="378pt,15.6pt" to="396pt,15.6pt">
            <v:stroke linestyle="single" endarrow="block"/>
          </v:line>
        </w:pict>
      </w:r>
      <w:r>
        <w:rPr>
          <w:rFonts w:ascii="仿宋_GB2312" w:eastAsia="仿宋_GB2312" w:hAnsi="宋体" w:hint="eastAsia"/>
          <w:sz w:val="32"/>
          <w:szCs w:val="32"/>
        </w:rPr>
        <w:pict>
          <v:line id="直线 5" o:spid="_x0000_s1028" style="mso-wrap-style:square;position:absolute;z-index:251659264" from="225pt,15.6pt" to="243pt,15.6pt">
            <v:stroke linestyle="single" endarrow="block"/>
          </v:line>
        </w:pict>
      </w:r>
      <w:r>
        <w:rPr>
          <w:rFonts w:ascii="仿宋_GB2312" w:eastAsia="仿宋_GB2312" w:hAnsi="宋体" w:hint="eastAsia"/>
          <w:sz w:val="32"/>
          <w:szCs w:val="32"/>
        </w:rPr>
        <w:pict>
          <v:line id="直线 4" o:spid="_x0000_s1029" style="mso-wrap-style:square;position:absolute;z-index:251658240" from="99pt,15.6pt" to="117pt,15.6pt">
            <v:stroke linestyle="single" endarrow="block"/>
          </v:line>
        </w:pict>
      </w:r>
      <w:r>
        <w:rPr>
          <w:rFonts w:ascii="仿宋_GB2312" w:eastAsia="仿宋_GB2312" w:hAnsi="宋体" w:hint="eastAsia"/>
          <w:sz w:val="32"/>
          <w:szCs w:val="32"/>
        </w:rPr>
        <w:t>施工准备   排洪渠道修筑    公园内道路工程    硬化工程     绿化工程    公共设施工程</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二、施工前准备工作</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(一)施工现场准备工作</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l、施工现场交通</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本工程将修建交通便道进行物料运输，从而使本工程的交通较为便利。</w:t>
      </w:r>
    </w:p>
    <w:p>
      <w:pPr>
        <w:ind w:firstLine="656" w:firstLineChars="205"/>
        <w:rPr>
          <w:rFonts w:ascii="仿宋_GB2312" w:eastAsia="仿宋_GB2312" w:hAnsi="宋体" w:hint="eastAsia"/>
          <w:sz w:val="32"/>
          <w:szCs w:val="32"/>
        </w:rPr>
        <w:sectPr>
          <w:type w:val="nextPage"/>
          <w:pgSz w:w="11906" w:h="16838"/>
          <w:pgMar w:top="1440" w:right="1418" w:bottom="1440" w:left="1418" w:header="851" w:footer="992" w:gutter="0"/>
          <w:pgNumType w:start="2"/>
          <w:cols w:space="708"/>
          <w:titlePg w:val="0"/>
          <w:docGrid w:type="lines" w:linePitch="312"/>
        </w:sectPr>
      </w:pP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施工用水、用电开工前，由我公司与相关人员联系，就近提供共300千瓦的电源，沿线布置供电线路连通各施工点。同时我公司在施工现场自己配备两台75千瓦的发电机组，以备突然停电或是用电高峰期之需，以保证施工用电。施工用水使用工程所在地的自来水。另在项目部驻地设置排水沟，将生活污水排入原污水系统中。</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(二)材料供应</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1、本工程所需的所有材料在进场前均须经过格的质量检查，不合格材料一律不得进入施工现场。</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2、我项目经理部根据工程实际进度计划编制材料需用计划，各种材料的进场按照已编定的材料需用计划进场，并按指定的材料堆放点堆放。同时做好材料的保护工作，以防材料在施工现场出现损坏或损耗现象。</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(三)技术准备工作</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1、图纸会审及技术交底工程开上前，在项目总工程师的组织下，集中项目部有关技术人员仔细审阅图纸，将不清或不明的问题及时汇总会知业主、监理和设计人员及时解决。</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项目经理部将严格按有关程序，组织技术交底，由项目经理部技术负责人向班组交底，做到项目部全体人员均熟悉本工程的技术要点、设计意图和施工技术规范的内容。</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2、施工组织设计的编制</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由项目经理部技术负责人编制该工程的施工组织设计方案，该方案被审批同意后以该方案作为本工程施工的指导性文件。</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3、测量放线工作</w:t>
      </w:r>
    </w:p>
    <w:p>
      <w:pPr>
        <w:ind w:firstLine="656" w:firstLineChars="205"/>
        <w:rPr>
          <w:rFonts w:ascii="仿宋_GB2312" w:eastAsia="仿宋_GB2312" w:hAnsi="宋体" w:hint="eastAsia"/>
          <w:sz w:val="32"/>
          <w:szCs w:val="32"/>
        </w:rPr>
        <w:sectPr>
          <w:type w:val="nextPage"/>
          <w:pgSz w:w="11906" w:h="16838"/>
          <w:pgMar w:top="1440" w:right="1418" w:bottom="1440" w:left="1418" w:header="851" w:footer="992" w:gutter="0"/>
          <w:pgNumType w:start="3"/>
          <w:cols w:space="708"/>
          <w:titlePg w:val="0"/>
          <w:docGrid w:type="lines" w:linePitch="312"/>
        </w:sectPr>
      </w:pP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开工前，由我项目经理部有关人员联系有关单位及人员做好测量控制点的交接工作，并按规范进行复测，同时建立测量控制网，确定道路中线和施工红线和施工放样测量。积极与建设单位、设计单位联系，熟悉本工程的各项要求，并及时向有关管理人员传达。</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(四)其他准备工作</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l、做好沿线的地下管线(道)的探测与保护工作，以防对工程的进程产生不必要的影响；</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2、按施工总平面布置图及结合工地现场情况，及时搭设施工所需的临时设施，注意防火、防漏电等安全问题：</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3、根据施工计划，组织施工操作人员进场，并对他们进行相关的岗前培训和三级安全教育。</w:t>
      </w:r>
    </w:p>
    <w:p>
      <w:pPr>
        <w:ind w:firstLine="1773" w:firstLineChars="554"/>
        <w:rPr>
          <w:rFonts w:ascii="仿宋_GB2312" w:eastAsia="仿宋_GB2312" w:hAnsi="宋体" w:hint="eastAsia"/>
          <w:b/>
          <w:sz w:val="32"/>
          <w:szCs w:val="32"/>
        </w:rPr>
      </w:pPr>
      <w:r>
        <w:rPr>
          <w:rFonts w:ascii="仿宋_GB2312" w:eastAsia="仿宋_GB2312" w:hAnsi="宋体" w:hint="eastAsia"/>
          <w:b/>
          <w:sz w:val="32"/>
          <w:szCs w:val="32"/>
        </w:rPr>
        <w:t>第三章、技术劳力要求、机械安排</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一、劳动力的实施</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l、对现场的施工队伍进行严格的资格审查，施工班组必须配备兼职质量员，随做随清。</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2、对已进场的队伍实施动态管理，不允许其擅自扩充和随意抽调，以确保施工队伍的素质和人员相对稳定。</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3、未经项目部质量、安全培训的操作工不允许卜岗。</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4、加强对劳务单位的管理，凡进场的劳务单位必须配备一定数量的专职协调、质量、安全的管理人员。</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二、劳动力组织和管理的关键环节</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劳动力组织和管理是直接影响本工程能否顺利完成的</w:t>
      </w:r>
      <w:r>
        <w:rPr>
          <w:rFonts w:ascii="仿宋_GB2312" w:eastAsia="仿宋_GB2312" w:hAnsi="宋体" w:hint="eastAsia"/>
          <w:sz w:val="32"/>
          <w:szCs w:val="32"/>
        </w:rPr>
        <w:t>·</w:t>
      </w:r>
      <w:r>
        <w:rPr>
          <w:rFonts w:ascii="仿宋_GB2312" w:eastAsia="仿宋_GB2312" w:hAnsi="宋体" w:hint="eastAsia"/>
          <w:sz w:val="32"/>
          <w:szCs w:val="32"/>
        </w:rPr>
        <w:t>个关键环节，为此我们将采取以下几点措施：</w:t>
      </w:r>
    </w:p>
    <w:p>
      <w:pPr>
        <w:ind w:firstLine="656" w:firstLineChars="205"/>
        <w:rPr>
          <w:rFonts w:ascii="仿宋_GB2312" w:eastAsia="仿宋_GB2312" w:hAnsi="宋体" w:hint="eastAsia"/>
          <w:sz w:val="32"/>
          <w:szCs w:val="32"/>
        </w:rPr>
        <w:sectPr>
          <w:type w:val="nextPage"/>
          <w:pgSz w:w="11906" w:h="16838"/>
          <w:pgMar w:top="1440" w:right="1418" w:bottom="1440" w:left="1418" w:header="851" w:footer="992" w:gutter="0"/>
          <w:pgNumType w:start="4"/>
          <w:cols w:space="708"/>
          <w:titlePg w:val="0"/>
          <w:docGrid w:type="lines" w:linePitch="312"/>
        </w:sectPr>
      </w:pP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1、施工现场项目经理及技术负责人做到全盘考虑，认真学习和研究施工图纸，领会设计</w:t>
      </w:r>
      <w:r>
        <w:rPr>
          <w:rFonts w:ascii="仿宋_GB2312" w:eastAsia="仿宋_GB2312" w:hAnsi="宋体" w:hint="eastAsia"/>
          <w:sz w:val="32"/>
          <w:szCs w:val="32"/>
        </w:rPr>
        <w:t>·</w:t>
      </w:r>
      <w:r>
        <w:rPr>
          <w:rFonts w:ascii="仿宋_GB2312" w:eastAsia="仿宋_GB2312" w:hAnsi="宋体" w:hint="eastAsia"/>
          <w:sz w:val="32"/>
          <w:szCs w:val="32"/>
        </w:rPr>
        <w:t>意图，拟定出本工程各阶段施工所需投入的人力什么时间进场、什么时间退场，做到心中有数，减少盲目性，以免造成不应有的人员紧缺或窝工现象。</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2、在使用人力上执行竞争上岗的制度，防止出工不出力和返工现象的发生。</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3，收尾阶段，要教育好我们的工人，特别重视成品保护，防止己完工的部位被损坏组织足够人员参加保护工作。</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4、劳动力计划表附后。</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三、机械、机具安排</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根据本工程规模特点，制定总的机械设备计划，依据施工进度安排作出调配计划分期分批组织进场，制定严格的机械设备管理制度，以保证工程按时、按质的顺利完成。</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（一）根据本工程施工特点，合理调整公司机械设备，以充分发挥现有机械设备的能力。</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（二）实行人机固定、机械使用、保养责任制。操作人员严格遵守安全操作规程，积极为施工服务；提高机械施工质量，降低消耗：爱护机械设备，执行保养规程：认真执行交接班制度，填好运转记录。</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（三）实行操作证制度。对操作人员进行培训、考试，确认合格者发给操作证并持证上岗。</w:t>
      </w:r>
    </w:p>
    <w:p>
      <w:pPr>
        <w:ind w:firstLine="656" w:firstLineChars="205"/>
        <w:rPr>
          <w:rFonts w:ascii="仿宋_GB2312" w:eastAsia="仿宋_GB2312" w:hAnsi="宋体" w:hint="eastAsia"/>
          <w:sz w:val="32"/>
          <w:szCs w:val="32"/>
        </w:rPr>
        <w:sectPr>
          <w:type w:val="nextPage"/>
          <w:pgSz w:w="11906" w:h="16838"/>
          <w:pgMar w:top="1440" w:right="1418" w:bottom="1440" w:left="1418" w:header="851" w:footer="992" w:gutter="0"/>
          <w:pgNumType w:start="5"/>
          <w:cols w:space="708"/>
          <w:titlePg w:val="0"/>
          <w:docGrid w:type="lines" w:linePitch="312"/>
        </w:sectPr>
      </w:pP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（四）合理组织机械施工。根据需要和实际可能，经济合理的配备机械设备；安排好机械施工计划，合理组织实施；充分考虑机械设备维修时间，坚持</w:t>
      </w:r>
      <w:r>
        <w:rPr>
          <w:rFonts w:ascii="仿宋_GB2312" w:eastAsia="仿宋_GB2312" w:hAnsi="宋体" w:hint="eastAsia"/>
          <w:sz w:val="32"/>
          <w:szCs w:val="32"/>
        </w:rPr>
        <w:t>“</w:t>
      </w:r>
      <w:r>
        <w:rPr>
          <w:rFonts w:ascii="仿宋_GB2312" w:eastAsia="仿宋_GB2312" w:hAnsi="宋体" w:hint="eastAsia"/>
          <w:sz w:val="32"/>
          <w:szCs w:val="32"/>
        </w:rPr>
        <w:t>先维修，后使用</w:t>
      </w:r>
      <w:r>
        <w:rPr>
          <w:rFonts w:ascii="仿宋_GB2312" w:eastAsia="仿宋_GB2312" w:hAnsi="宋体" w:hint="eastAsia"/>
          <w:sz w:val="32"/>
          <w:szCs w:val="32"/>
        </w:rPr>
        <w:t>”</w:t>
      </w:r>
      <w:r>
        <w:rPr>
          <w:rFonts w:ascii="仿宋_GB2312" w:eastAsia="仿宋_GB2312" w:hAnsi="宋体" w:hint="eastAsia"/>
          <w:sz w:val="32"/>
          <w:szCs w:val="32"/>
        </w:rPr>
        <w:t>的原则。</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（五）加强书[械设备的维修和保养，保证机械设备始终处于良好的技术状态，以保证施工的顺利进行。</w:t>
      </w:r>
    </w:p>
    <w:p>
      <w:pPr>
        <w:ind w:firstLine="1933" w:firstLineChars="604"/>
        <w:rPr>
          <w:rFonts w:ascii="仿宋_GB2312" w:eastAsia="仿宋_GB2312" w:hAnsi="宋体" w:hint="eastAsia"/>
          <w:b/>
          <w:sz w:val="32"/>
          <w:szCs w:val="32"/>
        </w:rPr>
      </w:pPr>
      <w:r>
        <w:rPr>
          <w:rFonts w:ascii="仿宋_GB2312" w:eastAsia="仿宋_GB2312" w:hAnsi="宋体" w:hint="eastAsia"/>
          <w:b/>
          <w:sz w:val="32"/>
          <w:szCs w:val="32"/>
        </w:rPr>
        <w:t>第四章   主要工程项目施工方法</w:t>
      </w:r>
    </w:p>
    <w:p>
      <w:pPr>
        <w:rPr>
          <w:rFonts w:ascii="仿宋_GB2312" w:eastAsia="仿宋_GB2312" w:hAnsi="宋体" w:hint="eastAsia"/>
          <w:b/>
          <w:sz w:val="32"/>
          <w:szCs w:val="32"/>
        </w:rPr>
      </w:pPr>
      <w:r>
        <w:rPr>
          <w:rFonts w:ascii="仿宋_GB2312" w:eastAsia="仿宋_GB2312" w:hAnsi="宋体" w:hint="eastAsia"/>
          <w:b/>
          <w:sz w:val="32"/>
          <w:szCs w:val="32"/>
        </w:rPr>
        <w:t>（一）排洪渠工程</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一、沟渠定位放线</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1、测量人员根据施工图对管沟进行定位放线，在管线改变方向处设置转角桩，在变坡点打水平桩。转角桩、水平桩测量克何准确无误、载地牢固，载桩处设置明显标志。</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由各转角桩设置中心加密桩，中心加密桩的间距根据现场实际情况定。设定完中心桩后根据桩的位置在地面上用石灰标明沟渠载挖线，然后开挖渠疲乏，沟渠开挖一定深度后，打腰桩或斜度板以控制沟渠开挖的深度。</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二、沟渠土方开挖</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1、本工程拟采用机械开挖的方式进行管沟土方开挖。</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2、为确何沟渠不塌方，沟渠开挖需设置一定的边坡，根据施工规范的规定结合现场土壤的情况，砂土1：1；亚粘土1:0.5；干黄土及粘土1：0.25。</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3、为便于石渠砌筑所挖土方应堆放在管渠的一侧，且土方应距离管渠边0.5M以上，土堆的高度不宜超过1.5M。</w:t>
      </w:r>
    </w:p>
    <w:p>
      <w:pPr>
        <w:ind w:firstLine="656" w:firstLineChars="205"/>
        <w:rPr>
          <w:rFonts w:ascii="仿宋_GB2312" w:eastAsia="仿宋_GB2312" w:hAnsi="宋体" w:hint="eastAsia"/>
          <w:sz w:val="32"/>
          <w:szCs w:val="32"/>
        </w:rPr>
        <w:sectPr>
          <w:type w:val="nextPage"/>
          <w:pgSz w:w="11906" w:h="16838"/>
          <w:pgMar w:top="1440" w:right="1418" w:bottom="1440" w:left="1418" w:header="851" w:footer="992" w:gutter="0"/>
          <w:pgNumType w:start="6"/>
          <w:cols w:space="708"/>
          <w:titlePg w:val="0"/>
          <w:docGrid w:type="lines" w:linePitch="312"/>
        </w:sectPr>
      </w:pPr>
      <w:r>
        <w:rPr>
          <w:rFonts w:ascii="仿宋_GB2312" w:eastAsia="仿宋_GB2312" w:hAnsi="宋体" w:hint="eastAsia"/>
          <w:sz w:val="32"/>
          <w:szCs w:val="32"/>
        </w:rPr>
        <w:t>4、清理沟底时应加深150mm，做为回填砂子垫平均底的砂垫层。</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5、沟渠挖的要求：沟渠断面尺寸准确，沟底平直，沟内无塌方，无积水、无杂物、转角符合要求。</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6、渠线沟基处理：对于沟基上土质情况良好含水量较少的沟段，沟渠开挖至设计标高后，修平沟底，用蛙式打夯机反复夯直到沟底基础达到压实要求。</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三、砌石工程</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（一）材料</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1、砌石</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砌石体的石料应采自施工图纸规定或监理人批准的料场，石料的开采方法应经监理人批准，砌石材质应坚实新鲜，无风化剥落层或裂纹，石材表面无污垢、水锈等杂质，用于表面的石材，应色泽均匀。石料的物理理力学指标应符合施工图纸的要求。</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（2）砌石体分毛石砌体和料石砌体。毛石应呈块状，中部厚度不应小于15cm。料石各面加工要求应符合GBJ50203-98的规定。</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2、砂、砾石</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（1）砂和砾石的质量应符合SD120-84的规定。砂浆和小骨料混凝土采用的砂料，要求粒径为0.15-5mm。细度模数为2.5-3.0，砌筑毛石砂浆的砂，其最大粒径不大于5mm，砌筑料石砂浆的砂，最大粒径不大于2.5mm。</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（2）小骨料混凝土采用二级配</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3、水泥和水</w:t>
      </w:r>
    </w:p>
    <w:p>
      <w:pPr>
        <w:ind w:firstLine="656" w:firstLineChars="205"/>
        <w:rPr>
          <w:rFonts w:ascii="仿宋_GB2312" w:eastAsia="仿宋_GB2312" w:hAnsi="宋体" w:hint="eastAsia"/>
          <w:sz w:val="32"/>
          <w:szCs w:val="32"/>
        </w:rPr>
        <w:sectPr>
          <w:type w:val="nextPage"/>
          <w:pgSz w:w="11906" w:h="16838"/>
          <w:pgMar w:top="1440" w:right="1418" w:bottom="1440" w:left="1418" w:header="851" w:footer="992" w:gutter="0"/>
          <w:pgNumType w:start="7"/>
          <w:cols w:space="708"/>
          <w:titlePg w:val="0"/>
          <w:docGrid w:type="lines" w:linePitch="312"/>
        </w:sectPr>
      </w:pP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（1）砌筑工程采和的水泥品种和标号应符合规定，到体贴的水泥应按品种、标号、出厂日期分别堆存，受湿结块的水泥，禁止使用。</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（2）应按规定的用水质量标准，拌制砂浆和小骨料混凝土。</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4、胶凝材料</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（1）胶凝材料的配合比必须满足施工图纸规定的强度和施工和易性要求，配合比必须通过试验确定。</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（2）拌制胶凝材料，应严格按试验确定的配料单进行配料，严禁擅自更改。</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（3）胶凝材料拌和过程中应保持粗、细骨料含水率的稳定性。</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（4）胶凝材料拌和过程中应保持粗、细骨料含水率的稳定性。</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（4）胶凝材料拌和时间：机械拌和不少于2-3min，一般不应采用人工拌和。</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（5）胶凝材料应随拌随用。</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（二）、浆砌石体砌筑</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1、一般要求</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（1）砌石体应采用铺浆法砌筑，砂浆稠度应为30-50mm，当气温变化时，应适当调整。</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（2）采用浆砌法砌筑的砌石体转角处和交接处应同时砌筑，必须留置临时断处，并应砌成斜搓。</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2、毛石砌体</w:t>
      </w:r>
    </w:p>
    <w:p>
      <w:pPr>
        <w:ind w:firstLine="656" w:firstLineChars="205"/>
        <w:rPr>
          <w:rFonts w:ascii="仿宋_GB2312" w:eastAsia="仿宋_GB2312" w:hAnsi="宋体" w:hint="eastAsia"/>
          <w:sz w:val="32"/>
          <w:szCs w:val="32"/>
        </w:rPr>
        <w:sectPr>
          <w:type w:val="nextPage"/>
          <w:pgSz w:w="11906" w:h="16838"/>
          <w:pgMar w:top="1440" w:right="1418" w:bottom="1440" w:left="1418" w:header="851" w:footer="992" w:gutter="0"/>
          <w:pgNumType w:start="8"/>
          <w:cols w:space="708"/>
          <w:titlePg w:val="0"/>
          <w:docGrid w:type="lines" w:linePitch="312"/>
        </w:sectPr>
      </w:pPr>
      <w:r>
        <w:rPr>
          <w:rFonts w:ascii="仿宋_GB2312" w:eastAsia="仿宋_GB2312" w:hAnsi="宋体" w:hint="eastAsia"/>
          <w:sz w:val="32"/>
          <w:szCs w:val="32"/>
        </w:rPr>
        <w:t>（1）砌筑毛石基础的第一皮石块应座浆，且将大面向下，毛石基础扩大部分，若做成阶梯形。</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（2）毛石砌体应分皮卧砌，并应上下错缝、内外搭砌，不得采用外面侧立石块、中间填心的砌筑方法。</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（3）毛石砌体的灰缝厚度应为20-30mm，砂浆应饱满，石块间较大的空隙应填塞砂浆，后用碎块或片石嵌实。</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（4）毛石砌体第一次及转角处、交接处和洞口处应选用较大的平毛石砌筑。</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（5）毛石墙必须设置拉结石。</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（6）毛石砌体每日的砌筑高度，不应超过1.2m。</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3、料石砌体</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（1）料石基础砌体的第一次应采用丁砌层座浆砌筑。</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（2）料石各面加工的允许偏差应按规定执行。</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（3）料石砌体的灰缝厚度，应按料石种类确定。</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（4）砌筑料石砌体时，料石应放置平稳，砂浆铺设厚度应略高于规定的灰缝厚度。</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（5）砌筑料石砌体时，料石应放置平稳，砂浆铺设厚度应略高于规定的灰缝厚度。</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（6）料石砌体应上下错缝搭砌，砌体厚度等于或大于两块料石宽度时，若同皮内全部采用顺砌，则每砌两皮后，应切一皮丁砌层；若在同皮内采用丁顺组砌，则丁砌石应交错设置，其中距应不大于2m。</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（三）、养护</w:t>
      </w:r>
    </w:p>
    <w:p>
      <w:pPr>
        <w:ind w:firstLine="656" w:firstLineChars="205"/>
        <w:rPr>
          <w:rFonts w:ascii="仿宋_GB2312" w:eastAsia="仿宋_GB2312" w:hAnsi="宋体" w:hint="eastAsia"/>
          <w:sz w:val="32"/>
          <w:szCs w:val="32"/>
        </w:rPr>
        <w:sectPr>
          <w:type w:val="nextPage"/>
          <w:pgSz w:w="11906" w:h="16838"/>
          <w:pgMar w:top="1440" w:right="1418" w:bottom="1440" w:left="1418" w:header="851" w:footer="992" w:gutter="0"/>
          <w:pgNumType w:start="9"/>
          <w:cols w:space="708"/>
          <w:titlePg w:val="0"/>
          <w:docGrid w:type="lines" w:linePitch="312"/>
        </w:sectPr>
      </w:pP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砌体外露面，在砌筑后12-18h之间应及时养护，经常保持外露面的湿润，养护时间水泥砂浆砌体一般为14天。</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（四）、水泥砂浆勾缝防渗</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1、采用料石水泥砂浆勾缝作为防渗体时，防渗用的勾缝砂浆应采用细砂和较小的水灰比，灰砂比控制在1:1至1:2之间。</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2、防渗用砂浆应采用32.5以上的普通硅酸盐水泥。</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3、清缝应在料石砌筑24h后进行，缝面不小于砌缝宽度，缝深不小于缝宽的2倍，勾缝前必须将槽缝冲洗干净，不得残留灰渣和积水，并保持缝面湿润。</w:t>
      </w:r>
    </w:p>
    <w:p>
      <w:pPr>
        <w:rPr>
          <w:rFonts w:ascii="仿宋_GB2312" w:eastAsia="仿宋_GB2312" w:hAnsi="宋体" w:hint="eastAsia"/>
          <w:b/>
          <w:sz w:val="32"/>
          <w:szCs w:val="32"/>
        </w:rPr>
      </w:pPr>
      <w:r>
        <w:rPr>
          <w:rFonts w:ascii="仿宋_GB2312" w:eastAsia="仿宋_GB2312" w:hAnsi="宋体" w:hint="eastAsia"/>
          <w:b/>
          <w:sz w:val="32"/>
          <w:szCs w:val="32"/>
        </w:rPr>
        <w:t>（二）砼道路工程</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1、路基施工：在路基施工时，首先要做好施工排水工作，然后进行填挖方作业。</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（1）填方路基施工</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①</w:t>
      </w:r>
      <w:r>
        <w:rPr>
          <w:rFonts w:ascii="仿宋_GB2312" w:eastAsia="仿宋_GB2312" w:hAnsi="宋体" w:hint="eastAsia"/>
          <w:sz w:val="32"/>
          <w:szCs w:val="32"/>
        </w:rPr>
        <w:t>填方路段范围内的树根、杂草等障碍物要清理干净，并要清除地表废土、淤泥等，然后进行碾压。为了减少路基沉陷，保证路面的结构稳定，路基压实度符合设计要求。在路基总宽度内，应采用水平分层方法填筑，采用压路机压实时，虚厚应不大于o．3米，最后一层压实厚度不得少于8厘米。每层应仔细整平碾压，碾压时应自路基边向中间进行，碾压遍数最少应为5-8遍，碾压后轮迹深度不得大于5毫米；要严格控制压实含水量在最佳含水量的</w:t>
      </w:r>
      <w:r>
        <w:rPr>
          <w:rFonts w:ascii="仿宋_GB2312" w:eastAsia="仿宋_GB2312" w:hAnsi="宋体" w:hint="eastAsia"/>
          <w:sz w:val="32"/>
          <w:szCs w:val="32"/>
        </w:rPr>
        <w:t>±</w:t>
      </w:r>
      <w:r>
        <w:rPr>
          <w:rFonts w:ascii="仿宋_GB2312" w:eastAsia="仿宋_GB2312" w:hAnsi="宋体" w:hint="eastAsia"/>
          <w:sz w:val="32"/>
          <w:szCs w:val="32"/>
        </w:rPr>
        <w:t>2％以内。</w:t>
      </w:r>
    </w:p>
    <w:p>
      <w:pPr>
        <w:ind w:firstLine="656" w:firstLineChars="205"/>
        <w:rPr>
          <w:rFonts w:ascii="仿宋_GB2312" w:eastAsia="仿宋_GB2312" w:hAnsi="宋体" w:hint="eastAsia"/>
          <w:sz w:val="32"/>
          <w:szCs w:val="32"/>
        </w:rPr>
      </w:pPr>
      <w:r>
        <w:rPr>
          <w:rFonts w:ascii="仿宋_GB2312" w:eastAsia="仿宋_GB2312" w:hAnsi="宋体" w:hint="eastAsia"/>
          <w:sz w:val="32"/>
          <w:szCs w:val="32"/>
        </w:rPr>
        <w:t>基本的施工程序为：推土机推土一土工试验一找平压实一检测一直到，符合设计要求</w:t>
      </w:r>
      <w:r>
        <w:rPr>
          <w:rFonts w:ascii="仿宋_GB2312" w:eastAsia="仿宋_GB2312" w:hAnsi="宋体" w:hint="eastAsia"/>
          <w:sz w:val="32"/>
          <w:szCs w:val="32"/>
        </w:rPr>
        <w:br/>
      </w:r>
      <w:r>
        <w:rPr>
          <w:rFonts w:ascii="仿宋_GB2312" w:eastAsia="仿宋_GB2312"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https://d.book118.com/827165054133006024</w:t>
        </w:r>
      </w:hyperlink>
    </w:p>
    <w:p>
      <w:pPr>
        <w:ind w:firstLine="656" w:firstLineChars="205"/>
        <w:rPr>
          <w:rFonts w:ascii="仿宋_GB2312" w:eastAsia="仿宋_GB2312" w:hAnsi="宋体" w:hint="eastAsia"/>
          <w:sz w:val="32"/>
          <w:szCs w:val="32"/>
        </w:rPr>
      </w:pPr>
    </w:p>
    <w:sectPr>
      <w:type w:val="nextPage"/>
      <w:pgSz w:w="11906" w:h="16838"/>
      <w:pgMar w:top="1440" w:right="1418" w:bottom="1440" w:left="1418" w:header="851" w:footer="992"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D01608"/>
    <w:multiLevelType w:val="multilevel"/>
    <w:tmpl w:val="71D01608"/>
    <w:lvl w:ilvl="0">
      <w:start w:val="1"/>
      <w:numFmt w:val="decimal"/>
      <w:lvlText w:val="%1、"/>
      <w:lvlJc w:val="left"/>
      <w:pPr>
        <w:tabs>
          <w:tab w:val="num" w:pos="1766"/>
        </w:tabs>
        <w:ind w:left="1766" w:hanging="1110"/>
      </w:pPr>
      <w:rPr>
        <w:rFonts w:hint="default"/>
      </w:rPr>
    </w:lvl>
    <w:lvl w:ilvl="1">
      <w:start w:val="1"/>
      <w:numFmt w:val="lowerLetter"/>
      <w:lvlText w:val="%2)"/>
      <w:lvlJc w:val="left"/>
      <w:pPr>
        <w:tabs>
          <w:tab w:val="num" w:pos="1496"/>
        </w:tabs>
        <w:ind w:left="1496" w:hanging="420"/>
      </w:pPr>
    </w:lvl>
    <w:lvl w:ilvl="2">
      <w:start w:val="1"/>
      <w:numFmt w:val="lowerRoman"/>
      <w:lvlText w:val="%3."/>
      <w:lvlJc w:val="right"/>
      <w:pPr>
        <w:tabs>
          <w:tab w:val="num" w:pos="1916"/>
        </w:tabs>
        <w:ind w:left="1916" w:hanging="420"/>
      </w:pPr>
    </w:lvl>
    <w:lvl w:ilvl="3">
      <w:start w:val="1"/>
      <w:numFmt w:val="decimal"/>
      <w:lvlText w:val="%4."/>
      <w:lvlJc w:val="left"/>
      <w:pPr>
        <w:tabs>
          <w:tab w:val="num" w:pos="2336"/>
        </w:tabs>
        <w:ind w:left="2336" w:hanging="420"/>
      </w:pPr>
    </w:lvl>
    <w:lvl w:ilvl="4">
      <w:start w:val="1"/>
      <w:numFmt w:val="lowerLetter"/>
      <w:lvlText w:val="%5)"/>
      <w:lvlJc w:val="left"/>
      <w:pPr>
        <w:tabs>
          <w:tab w:val="num" w:pos="2756"/>
        </w:tabs>
        <w:ind w:left="2756" w:hanging="420"/>
      </w:pPr>
    </w:lvl>
    <w:lvl w:ilvl="5">
      <w:start w:val="1"/>
      <w:numFmt w:val="lowerRoman"/>
      <w:lvlText w:val="%6."/>
      <w:lvlJc w:val="right"/>
      <w:pPr>
        <w:tabs>
          <w:tab w:val="num" w:pos="3176"/>
        </w:tabs>
        <w:ind w:left="3176" w:hanging="420"/>
      </w:pPr>
    </w:lvl>
    <w:lvl w:ilvl="6">
      <w:start w:val="1"/>
      <w:numFmt w:val="decimal"/>
      <w:lvlText w:val="%7."/>
      <w:lvlJc w:val="left"/>
      <w:pPr>
        <w:tabs>
          <w:tab w:val="num" w:pos="3596"/>
        </w:tabs>
        <w:ind w:left="3596" w:hanging="420"/>
      </w:pPr>
    </w:lvl>
    <w:lvl w:ilvl="7">
      <w:start w:val="1"/>
      <w:numFmt w:val="lowerLetter"/>
      <w:lvlText w:val="%8)"/>
      <w:lvlJc w:val="left"/>
      <w:pPr>
        <w:tabs>
          <w:tab w:val="num" w:pos="4016"/>
        </w:tabs>
        <w:ind w:left="4016" w:hanging="420"/>
      </w:pPr>
    </w:lvl>
    <w:lvl w:ilvl="8">
      <w:start w:val="1"/>
      <w:numFmt w:val="lowerRoman"/>
      <w:lvlText w:val="%9."/>
      <w:lvlJc w:val="right"/>
      <w:pPr>
        <w:tabs>
          <w:tab w:val="num" w:pos="4436"/>
        </w:tabs>
        <w:ind w:left="4436"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05BE0"/>
    <w:rsid w:val="00110455"/>
    <w:rsid w:val="00111AD9"/>
    <w:rsid w:val="00116F69"/>
    <w:rsid w:val="00134623"/>
    <w:rsid w:val="00146CB2"/>
    <w:rsid w:val="00180611"/>
    <w:rsid w:val="001B0F90"/>
    <w:rsid w:val="001B16D6"/>
    <w:rsid w:val="001C243E"/>
    <w:rsid w:val="00205837"/>
    <w:rsid w:val="00234541"/>
    <w:rsid w:val="0024144C"/>
    <w:rsid w:val="00251D71"/>
    <w:rsid w:val="0026089B"/>
    <w:rsid w:val="00264716"/>
    <w:rsid w:val="002660CC"/>
    <w:rsid w:val="00296E89"/>
    <w:rsid w:val="002A19C3"/>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57BB4"/>
    <w:rsid w:val="00566A61"/>
    <w:rsid w:val="005958C7"/>
    <w:rsid w:val="005A39B3"/>
    <w:rsid w:val="005A3FB7"/>
    <w:rsid w:val="005A4495"/>
    <w:rsid w:val="005B5199"/>
    <w:rsid w:val="005E3454"/>
    <w:rsid w:val="00607CFB"/>
    <w:rsid w:val="00622877"/>
    <w:rsid w:val="00644CEE"/>
    <w:rsid w:val="006452BA"/>
    <w:rsid w:val="00645ED4"/>
    <w:rsid w:val="00647C93"/>
    <w:rsid w:val="00651676"/>
    <w:rsid w:val="00655C95"/>
    <w:rsid w:val="00657ED1"/>
    <w:rsid w:val="00667E98"/>
    <w:rsid w:val="00670472"/>
    <w:rsid w:val="00670C53"/>
    <w:rsid w:val="00673F45"/>
    <w:rsid w:val="00675A0B"/>
    <w:rsid w:val="0068609D"/>
    <w:rsid w:val="006875F8"/>
    <w:rsid w:val="006A07F8"/>
    <w:rsid w:val="006E32E6"/>
    <w:rsid w:val="006F11F1"/>
    <w:rsid w:val="006F6A53"/>
    <w:rsid w:val="00702765"/>
    <w:rsid w:val="00715A48"/>
    <w:rsid w:val="00731145"/>
    <w:rsid w:val="00737E91"/>
    <w:rsid w:val="00744D7C"/>
    <w:rsid w:val="00750901"/>
    <w:rsid w:val="00760685"/>
    <w:rsid w:val="00761806"/>
    <w:rsid w:val="00775DC8"/>
    <w:rsid w:val="00782C25"/>
    <w:rsid w:val="00795473"/>
    <w:rsid w:val="007C4EEA"/>
    <w:rsid w:val="007E5AD9"/>
    <w:rsid w:val="00860FE1"/>
    <w:rsid w:val="0087078F"/>
    <w:rsid w:val="00871685"/>
    <w:rsid w:val="00871C04"/>
    <w:rsid w:val="008749F7"/>
    <w:rsid w:val="008752FB"/>
    <w:rsid w:val="00876F10"/>
    <w:rsid w:val="00884B38"/>
    <w:rsid w:val="00891CFE"/>
    <w:rsid w:val="008A3C21"/>
    <w:rsid w:val="008A669E"/>
    <w:rsid w:val="008A6848"/>
    <w:rsid w:val="008D6CA4"/>
    <w:rsid w:val="008E698E"/>
    <w:rsid w:val="008F158C"/>
    <w:rsid w:val="008F7F83"/>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34EBF"/>
    <w:rsid w:val="00A46CBF"/>
    <w:rsid w:val="00A60D8A"/>
    <w:rsid w:val="00A63B0E"/>
    <w:rsid w:val="00A960EB"/>
    <w:rsid w:val="00AA4B92"/>
    <w:rsid w:val="00AD5B9F"/>
    <w:rsid w:val="00AD69DB"/>
    <w:rsid w:val="00AF2AEB"/>
    <w:rsid w:val="00AF7761"/>
    <w:rsid w:val="00B05A23"/>
    <w:rsid w:val="00B11733"/>
    <w:rsid w:val="00B147B7"/>
    <w:rsid w:val="00B24732"/>
    <w:rsid w:val="00B37330"/>
    <w:rsid w:val="00B42951"/>
    <w:rsid w:val="00B5368D"/>
    <w:rsid w:val="00B579F6"/>
    <w:rsid w:val="00B76500"/>
    <w:rsid w:val="00B850EE"/>
    <w:rsid w:val="00B85D10"/>
    <w:rsid w:val="00B95B8B"/>
    <w:rsid w:val="00B96309"/>
    <w:rsid w:val="00BA4531"/>
    <w:rsid w:val="00BB56DE"/>
    <w:rsid w:val="00BC5A69"/>
    <w:rsid w:val="00BD119C"/>
    <w:rsid w:val="00BF4A4C"/>
    <w:rsid w:val="00C11A54"/>
    <w:rsid w:val="00C3243E"/>
    <w:rsid w:val="00C4725E"/>
    <w:rsid w:val="00C54C4D"/>
    <w:rsid w:val="00C80E86"/>
    <w:rsid w:val="00C87E8F"/>
    <w:rsid w:val="00CA2F7D"/>
    <w:rsid w:val="00CB1B83"/>
    <w:rsid w:val="00CB1EE0"/>
    <w:rsid w:val="00CC444D"/>
    <w:rsid w:val="00CC4E64"/>
    <w:rsid w:val="00CD6780"/>
    <w:rsid w:val="00D036BF"/>
    <w:rsid w:val="00D31451"/>
    <w:rsid w:val="00D46576"/>
    <w:rsid w:val="00D71A2F"/>
    <w:rsid w:val="00D71A4A"/>
    <w:rsid w:val="00D74320"/>
    <w:rsid w:val="00D7586C"/>
    <w:rsid w:val="00DC6272"/>
    <w:rsid w:val="00DC7889"/>
    <w:rsid w:val="00DF6F96"/>
    <w:rsid w:val="00E2338E"/>
    <w:rsid w:val="00E23857"/>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7140E"/>
    <w:rsid w:val="00F87E56"/>
    <w:rsid w:val="00F959A8"/>
    <w:rsid w:val="00FB28A4"/>
    <w:rsid w:val="00FB3310"/>
    <w:rsid w:val="00FB6E77"/>
    <w:rsid w:val="00FD1969"/>
    <w:rsid w:val="00FD57E4"/>
    <w:rsid w:val="00FE4607"/>
    <w:rsid w:val="00FE4CED"/>
    <w:rsid w:val="0A1F2C97"/>
    <w:rsid w:val="0D4B280C"/>
    <w:rsid w:val="0E330C5D"/>
    <w:rsid w:val="15BE1AC7"/>
    <w:rsid w:val="18DB2CF7"/>
    <w:rsid w:val="1B1D2E24"/>
    <w:rsid w:val="25BE71D5"/>
    <w:rsid w:val="29417969"/>
    <w:rsid w:val="2B7038A0"/>
    <w:rsid w:val="31243230"/>
    <w:rsid w:val="3F70041E"/>
    <w:rsid w:val="3FD84540"/>
    <w:rsid w:val="47ED3310"/>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sz w:val="18"/>
      <w:szCs w:val="18"/>
    </w:rPr>
  </w:style>
  <w:style w:type="paragraph" w:styleId="Footer">
    <w:name w:val="footer"/>
    <w:basedOn w:val="Normal"/>
    <w:pPr>
      <w:tabs>
        <w:tab w:val="center" w:pos="4153"/>
        <w:tab w:val="right" w:pos="8306"/>
      </w:tabs>
      <w:snapToGrid w:val="0"/>
      <w:jc w:val="left"/>
    </w:pPr>
    <w:rPr>
      <w:rFonts w:ascii="Times New Roman" w:eastAsia="宋体" w:hAnsi="Times New Roman" w:cs="Times New Roman"/>
      <w:sz w:val="18"/>
      <w:szCs w:val="18"/>
    </w:rPr>
  </w:style>
  <w:style w:type="paragraph" w:styleId="Header">
    <w:name w:val="header"/>
    <w:basedOn w:val="Normal"/>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rPr>
      <w:rFonts w:ascii="Times New Roman" w:eastAsia="宋体" w:hAnsi="Times New Roman" w:cs="Times New Roman"/>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27165054133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1303</Words>
  <Characters>7431</Characters>
  <Application>Microsoft Office Word</Application>
  <DocSecurity>0</DocSecurity>
  <Lines>61</Lines>
  <Paragraphs>17</Paragraphs>
  <ScaleCrop>false</ScaleCrop>
  <Company/>
  <LinksUpToDate>false</LinksUpToDate>
  <CharactersWithSpaces>8717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张新</cp:lastModifiedBy>
  <cp:revision>34</cp:revision>
  <cp:lastPrinted>2010-05-11T11:05:00Z</cp:lastPrinted>
  <dcterms:created xsi:type="dcterms:W3CDTF">2010-05-11T06:00:00Z</dcterms:created>
  <dcterms:modified xsi:type="dcterms:W3CDTF">2023-12-23T06:54:02Z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B42D41604A2C44FDA3E5206D56C64889_13</vt:lpwstr>
  </property>
  <property fmtid="{D5CDD505-2E9C-101B-9397-08002B2CF9AE}" pid="3" name="KSOProductBuildVer">
    <vt:lpwstr>2052-12.1.0.16120</vt:lpwstr>
  </property>
</Properties>
</file>