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22"/>
        <w:ind w:left="5884" w:right="6669" w:firstLine="0"/>
        <w:jc w:val="center"/>
        <w:rPr>
          <w:rFonts w:ascii="幼圆" w:eastAsia="幼圆" w:hint="eastAsia"/>
          <w:b/>
          <w:sz w:val="29"/>
        </w:rPr>
      </w:pPr>
      <w:r>
        <w:rPr>
          <w:rFonts w:ascii="幼圆" w:eastAsia="幼圆" w:hint="eastAsia"/>
          <w:b/>
          <w:sz w:val="29"/>
        </w:rPr>
        <w:t>施工组织设计</w:t>
      </w:r>
    </w:p>
    <w:p>
      <w:pPr>
        <w:pStyle w:val="BodyText"/>
        <w:ind w:left="0" w:firstLine="0"/>
        <w:rPr>
          <w:rFonts w:ascii="幼圆"/>
          <w:b/>
          <w:sz w:val="20"/>
        </w:rPr>
      </w:pPr>
    </w:p>
    <w:p>
      <w:pPr>
        <w:pStyle w:val="BodyText"/>
        <w:ind w:left="0" w:firstLine="0"/>
        <w:rPr>
          <w:rFonts w:ascii="幼圆"/>
          <w:b/>
          <w:sz w:val="20"/>
        </w:rPr>
      </w:pPr>
    </w:p>
    <w:p>
      <w:pPr>
        <w:pStyle w:val="BodyText"/>
        <w:ind w:left="0" w:firstLine="0"/>
        <w:rPr>
          <w:rFonts w:ascii="幼圆"/>
          <w:b/>
          <w:sz w:val="20"/>
        </w:rPr>
      </w:pPr>
    </w:p>
    <w:p>
      <w:pPr>
        <w:pStyle w:val="BodyText"/>
        <w:ind w:left="0" w:firstLine="0"/>
        <w:rPr>
          <w:rFonts w:ascii="幼圆"/>
          <w:b/>
          <w:sz w:val="20"/>
        </w:rPr>
      </w:pPr>
    </w:p>
    <w:p>
      <w:pPr>
        <w:pStyle w:val="BodyText"/>
        <w:spacing w:before="5"/>
        <w:ind w:left="0" w:firstLine="0"/>
        <w:rPr>
          <w:rFonts w:ascii="幼圆"/>
          <w:b/>
          <w:sz w:val="14"/>
        </w:rPr>
      </w:pPr>
    </w:p>
    <w:p>
      <w:pPr>
        <w:spacing w:before="50"/>
        <w:ind w:left="1120" w:right="0" w:firstLine="0"/>
        <w:jc w:val="left"/>
        <w:rPr>
          <w:sz w:val="36"/>
        </w:rPr>
      </w:pPr>
      <w:r>
        <w:rPr>
          <w:sz w:val="36"/>
        </w:rPr>
        <w:t>第一章、施工方案</w:t>
      </w:r>
    </w:p>
    <w:p>
      <w:pPr>
        <w:spacing w:before="287" w:line="388" w:lineRule="auto"/>
        <w:ind w:left="2020" w:right="5167" w:hanging="51"/>
        <w:jc w:val="left"/>
        <w:rPr>
          <w:sz w:val="36"/>
        </w:rPr>
      </w:pPr>
      <w:r>
        <w:rPr>
          <w:sz w:val="36"/>
        </w:rPr>
        <w:t>第一节：主要施工地点的施工布置及相关说明第二节、工程要求及施工范围</w:t>
      </w:r>
    </w:p>
    <w:p>
      <w:pPr>
        <w:spacing w:before="72" w:line="388" w:lineRule="auto"/>
        <w:ind w:left="1970" w:right="6967" w:firstLine="0"/>
        <w:jc w:val="left"/>
        <w:rPr>
          <w:sz w:val="36"/>
        </w:rPr>
      </w:pPr>
      <w:r>
        <w:rPr>
          <w:spacing w:val="-2"/>
          <w:sz w:val="36"/>
        </w:rPr>
        <w:t>第三节、材料进场计划及施工准备</w:t>
      </w:r>
      <w:r>
        <w:rPr>
          <w:sz w:val="36"/>
        </w:rPr>
        <w:t>第四节、施工方案</w:t>
      </w:r>
    </w:p>
    <w:p>
      <w:pPr>
        <w:spacing w:before="7" w:line="388" w:lineRule="auto"/>
        <w:ind w:left="1120" w:right="9616" w:firstLine="0"/>
        <w:jc w:val="both"/>
        <w:rPr>
          <w:sz w:val="36"/>
        </w:rPr>
      </w:pPr>
      <w:r>
        <w:pict>
          <v:group id="_x0000_s1025" style="width:218pt;height:39pt;margin-top:100.98pt;margin-left:135pt;mso-position-horizontal-relative:page;position:absolute;z-index:-251658240" coordorigin="2700,2020" coordsize="4360,7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360;height:780;left:2700;position:absolute;top:2019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360;height:780;left:2700;position:absolute;top:2019" filled="f" stroked="f">
              <v:textbox inset="0,0,0,0">
                <w:txbxContent>
                  <w:p>
                    <w:pPr>
                      <w:spacing w:before="23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第五章、安全文明施工措施</w:t>
                    </w:r>
                  </w:p>
                </w:txbxContent>
              </v:textbox>
            </v:shape>
          </v:group>
        </w:pict>
      </w:r>
      <w:r>
        <w:rPr>
          <w:spacing w:val="-2"/>
          <w:sz w:val="36"/>
        </w:rPr>
        <w:t>第二章、质量保证措施第三章、工期保障措施第四章、雨季施工措施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3"/>
        <w:ind w:left="0" w:firstLine="0"/>
        <w:rPr>
          <w:sz w:val="15"/>
        </w:rPr>
      </w:pPr>
    </w:p>
    <w:p>
      <w:pPr>
        <w:spacing w:before="50"/>
        <w:ind w:left="1120" w:right="0" w:firstLine="0"/>
        <w:jc w:val="left"/>
        <w:rPr>
          <w:sz w:val="36"/>
        </w:rPr>
      </w:pPr>
      <w:r>
        <w:rPr>
          <w:sz w:val="36"/>
        </w:rPr>
        <w:t>第六章、人员和设备安全预案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2060" w:right="1940" w:bottom="280" w:left="1580" w:header="708" w:footer="708"/>
          <w:cols w:space="708"/>
        </w:sectPr>
      </w:pPr>
    </w:p>
    <w:p>
      <w:pPr>
        <w:pStyle w:val="Title"/>
      </w:pPr>
      <w:r>
        <w:t>第一章、施工方案</w:t>
      </w:r>
    </w:p>
    <w:p>
      <w:pPr>
        <w:pStyle w:val="BodyText"/>
        <w:spacing w:before="7"/>
        <w:ind w:left="0" w:firstLine="0"/>
        <w:rPr>
          <w:b/>
          <w:sz w:val="83"/>
        </w:rPr>
      </w:pPr>
    </w:p>
    <w:p>
      <w:pPr>
        <w:pStyle w:val="Heading2"/>
        <w:ind w:left="1908"/>
      </w:pPr>
      <w:r>
        <w:t>一、编制原则</w:t>
      </w:r>
    </w:p>
    <w:p>
      <w:pPr>
        <w:pStyle w:val="BodyText"/>
        <w:spacing w:before="182" w:line="321" w:lineRule="auto"/>
        <w:ind w:right="843" w:firstLine="784"/>
      </w:pPr>
      <w:r>
        <w:t>1、贯彻执行国家及地方对工程建设的各项方针政策，严格执行工程建设程序。</w:t>
      </w:r>
    </w:p>
    <w:p>
      <w:pPr>
        <w:pStyle w:val="BodyText"/>
        <w:spacing w:line="321" w:lineRule="auto"/>
        <w:ind w:right="159" w:firstLine="784"/>
      </w:pPr>
      <w:r>
        <w:t>2</w:t>
      </w:r>
      <w:r>
        <w:rPr>
          <w:spacing w:val="-10"/>
        </w:rPr>
        <w:t>、施组编制遵守合同文件</w:t>
      </w:r>
      <w:r>
        <w:rPr>
          <w:spacing w:val="-24"/>
        </w:rPr>
        <w:t>、设计文件及施工规范的原则</w:t>
      </w:r>
      <w:r>
        <w:rPr>
          <w:spacing w:val="-64"/>
        </w:rPr>
        <w:t xml:space="preserve">，确保工程 </w:t>
      </w:r>
      <w:r>
        <w:rPr>
          <w:spacing w:val="-63"/>
        </w:rPr>
        <w:t>质量和工期。建立健全各项组织机构和保证体系，确保施工生产科学、</w:t>
      </w:r>
      <w:r>
        <w:t>有序、高效。</w:t>
      </w:r>
    </w:p>
    <w:p>
      <w:pPr>
        <w:pStyle w:val="BodyText"/>
        <w:spacing w:line="321" w:lineRule="auto"/>
        <w:ind w:right="580" w:firstLine="784"/>
      </w:pPr>
      <w:r>
        <w:t>3、采用“四新”技术。结合工程特点，积极推广使用新技术、新工艺、新材料、新设备，确保施工质量。结合实际，经济可靠。施组编制结合特点，充分调研，优化方案，降低成本；方案确定充分论证，确保采取方案的可靠性，满足施工的总体安排。</w:t>
      </w:r>
    </w:p>
    <w:p>
      <w:pPr>
        <w:pStyle w:val="BodyText"/>
        <w:spacing w:line="321" w:lineRule="auto"/>
        <w:ind w:right="580" w:firstLine="784"/>
      </w:pPr>
      <w:r>
        <w:rPr>
          <w:spacing w:val="5"/>
        </w:rPr>
        <w:t>4</w:t>
      </w:r>
      <w:r>
        <w:t>、统筹安全，科学合理。根据现场勘察调查资料、合同文件资</w:t>
      </w:r>
      <w:r>
        <w:rPr>
          <w:spacing w:val="-1"/>
        </w:rPr>
        <w:t xml:space="preserve">料工程特点，全面规划、统筹安排，突出重点难点及工期关键工序， </w:t>
      </w:r>
      <w:r>
        <w:rPr>
          <w:spacing w:val="-12"/>
        </w:rPr>
        <w:t>采用科学合理的施工方法，确保施组编制满足合同要求。坚持实事求</w:t>
      </w:r>
      <w:r>
        <w:rPr>
          <w:spacing w:val="-13"/>
        </w:rPr>
        <w:t>是的原则，根据我单位综合施工生产能力组织施工，坚持科学组织、</w:t>
      </w:r>
      <w:r>
        <w:t>合理安排，确保高速度、高效率、高质量完成工程建设。</w:t>
      </w:r>
    </w:p>
    <w:p>
      <w:pPr>
        <w:pStyle w:val="Heading2"/>
        <w:spacing w:line="533" w:lineRule="exact"/>
        <w:ind w:left="1908"/>
      </w:pPr>
      <w:r>
        <w:t>二、编制依据</w:t>
      </w:r>
    </w:p>
    <w:p>
      <w:pPr>
        <w:pStyle w:val="BodyText"/>
        <w:spacing w:before="173" w:line="321" w:lineRule="auto"/>
        <w:ind w:right="843" w:firstLine="784"/>
      </w:pPr>
      <w:r>
        <w:t>1、根据施工图设计、有关文件以及业主对本施工段施工总工期的要求。</w:t>
      </w:r>
    </w:p>
    <w:p>
      <w:pPr>
        <w:pStyle w:val="BodyText"/>
        <w:spacing w:line="536" w:lineRule="exact"/>
        <w:ind w:left="1905" w:firstLine="0"/>
      </w:pPr>
      <w:r>
        <w:t>2、我公司踏勘现场及调查咨询资料。</w:t>
      </w:r>
    </w:p>
    <w:p>
      <w:pPr>
        <w:pStyle w:val="BodyText"/>
        <w:spacing w:before="182" w:line="321" w:lineRule="auto"/>
        <w:ind w:right="531" w:firstLine="784"/>
        <w:jc w:val="both"/>
      </w:pPr>
      <w:r>
        <w:rPr>
          <w:spacing w:val="5"/>
        </w:rPr>
        <w:t>4</w:t>
      </w:r>
      <w:r>
        <w:t>、我公司拥有的科技成果、工法成果、机械设备、技术水平和</w:t>
      </w:r>
      <w:r>
        <w:rPr>
          <w:spacing w:val="-13"/>
        </w:rPr>
        <w:t>施工能力，以及参加类似工程施工积累的施工经验。结合我公司施工</w:t>
      </w:r>
      <w:r>
        <w:rPr>
          <w:spacing w:val="-22"/>
        </w:rPr>
        <w:t>实力、机械设备状况、专业技术力量及管理水平、综合施工生产能力。</w:t>
      </w:r>
    </w:p>
    <w:p>
      <w:pPr>
        <w:spacing w:before="0" w:line="345" w:lineRule="auto"/>
        <w:ind w:left="1959" w:right="9746" w:firstLine="104"/>
        <w:jc w:val="left"/>
        <w:rPr>
          <w:sz w:val="42"/>
        </w:rPr>
      </w:pPr>
      <w:r>
        <w:rPr>
          <w:b/>
          <w:spacing w:val="-3"/>
          <w:sz w:val="42"/>
        </w:rPr>
        <w:t>三、工程概况</w:t>
      </w:r>
      <w:r>
        <w:rPr>
          <w:sz w:val="42"/>
        </w:rPr>
        <w:t xml:space="preserve">工程内容： </w:t>
      </w:r>
      <w:r>
        <w:rPr>
          <w:spacing w:val="-1"/>
          <w:sz w:val="42"/>
        </w:rPr>
        <w:t>招 标 人：</w:t>
      </w:r>
    </w:p>
    <w:p>
      <w:pPr>
        <w:spacing w:after="0" w:line="345" w:lineRule="auto"/>
        <w:jc w:val="left"/>
        <w:rPr>
          <w:sz w:val="42"/>
        </w:rPr>
        <w:sectPr>
          <w:pgSz w:w="17860" w:h="25260"/>
          <w:pgMar w:top="2320" w:right="1940" w:bottom="280" w:left="1580" w:header="708" w:footer="708"/>
          <w:pgNumType w:start="2"/>
          <w:cols w:space="708"/>
        </w:sectPr>
      </w:pPr>
    </w:p>
    <w:p>
      <w:pPr>
        <w:pStyle w:val="BodyText"/>
        <w:spacing w:before="27"/>
        <w:ind w:left="1959" w:firstLine="0"/>
      </w:pPr>
      <w:r>
        <w:t>工期：</w:t>
      </w:r>
    </w:p>
    <w:p>
      <w:pPr>
        <w:pStyle w:val="BodyText"/>
        <w:spacing w:before="240"/>
        <w:ind w:left="1959" w:firstLine="0"/>
      </w:pPr>
      <w:r>
        <w:t>建设地点：</w:t>
      </w:r>
    </w:p>
    <w:p>
      <w:pPr>
        <w:pStyle w:val="BodyText"/>
        <w:spacing w:before="243" w:line="348" w:lineRule="auto"/>
        <w:ind w:left="1959" w:right="8587" w:firstLine="0"/>
        <w:jc w:val="both"/>
      </w:pPr>
      <w:r>
        <w:rPr>
          <w:spacing w:val="-2"/>
        </w:rPr>
        <w:t>资金来源：企业自筹工程质量标准：合格</w:t>
      </w:r>
      <w:r>
        <w:t>工程内容：</w:t>
      </w:r>
    </w:p>
    <w:p>
      <w:pPr>
        <w:pStyle w:val="ListParagraph"/>
        <w:numPr>
          <w:ilvl w:val="0"/>
          <w:numId w:val="50"/>
        </w:numPr>
        <w:tabs>
          <w:tab w:val="left" w:pos="2594"/>
        </w:tabs>
        <w:spacing w:before="0" w:after="0" w:line="530" w:lineRule="exact"/>
        <w:ind w:left="2594" w:right="0" w:hanging="635"/>
        <w:jc w:val="left"/>
        <w:rPr>
          <w:sz w:val="42"/>
        </w:rPr>
      </w:pPr>
      <w:r>
        <w:rPr>
          <w:sz w:val="42"/>
        </w:rPr>
        <w:t>二次管网管道、土建施工（具体以施工图纸为准</w:t>
      </w:r>
      <w:r>
        <w:rPr>
          <w:spacing w:val="-240"/>
          <w:sz w:val="42"/>
        </w:rPr>
        <w:t>）</w:t>
      </w:r>
      <w:r>
        <w:rPr>
          <w:sz w:val="42"/>
        </w:rPr>
        <w:t>。</w:t>
      </w:r>
    </w:p>
    <w:p>
      <w:pPr>
        <w:pStyle w:val="BodyText"/>
        <w:ind w:left="0" w:firstLine="0"/>
        <w:rPr>
          <w:sz w:val="31"/>
        </w:rPr>
      </w:pPr>
    </w:p>
    <w:p>
      <w:pPr>
        <w:pStyle w:val="ListParagraph"/>
        <w:numPr>
          <w:ilvl w:val="0"/>
          <w:numId w:val="50"/>
        </w:numPr>
        <w:tabs>
          <w:tab w:val="left" w:pos="2594"/>
        </w:tabs>
        <w:spacing w:before="1" w:after="0" w:line="417" w:lineRule="auto"/>
        <w:ind w:left="1120" w:right="582" w:firstLine="838"/>
        <w:jc w:val="left"/>
        <w:rPr>
          <w:sz w:val="42"/>
        </w:rPr>
      </w:pPr>
      <w:r>
        <w:rPr>
          <w:sz w:val="42"/>
        </w:rPr>
        <w:t>沟槽开挖、回填、夯实，管网敷设【管道安装、各种阀门及</w:t>
      </w:r>
      <w:r>
        <w:rPr>
          <w:spacing w:val="-16"/>
          <w:sz w:val="42"/>
        </w:rPr>
        <w:t>管件安装</w:t>
      </w:r>
      <w:r>
        <w:rPr>
          <w:sz w:val="42"/>
        </w:rPr>
        <w:t>（</w:t>
      </w:r>
      <w:r>
        <w:rPr>
          <w:spacing w:val="-15"/>
          <w:sz w:val="42"/>
        </w:rPr>
        <w:t>弯头、异径管、三通等</w:t>
      </w:r>
      <w:r>
        <w:rPr>
          <w:spacing w:val="-213"/>
          <w:sz w:val="42"/>
        </w:rPr>
        <w:t>）</w:t>
      </w:r>
      <w:r>
        <w:rPr>
          <w:spacing w:val="-18"/>
          <w:sz w:val="42"/>
        </w:rPr>
        <w:t>、管网支墩、支架制作及安装</w:t>
      </w:r>
      <w:r>
        <w:rPr>
          <w:sz w:val="42"/>
        </w:rPr>
        <w:t>（含基础</w:t>
      </w:r>
      <w:r>
        <w:rPr>
          <w:spacing w:val="-213"/>
          <w:sz w:val="42"/>
        </w:rPr>
        <w:t>）</w:t>
      </w:r>
      <w:r>
        <w:rPr>
          <w:spacing w:val="-17"/>
          <w:sz w:val="42"/>
        </w:rPr>
        <w:t>】，架空旧管道、支架及土建基础拆除以及冲突、妨碍新管道铺</w:t>
      </w:r>
      <w:r>
        <w:rPr>
          <w:sz w:val="42"/>
        </w:rPr>
        <w:t>设的旧管道、支架及土建基础等对已有热水管网的拆除和改造等工</w:t>
      </w:r>
      <w:r>
        <w:rPr>
          <w:w w:val="100"/>
          <w:sz w:val="42"/>
        </w:rPr>
        <w:t>作，井室开挖及制作（含井盖安装</w:t>
      </w:r>
      <w:r>
        <w:rPr>
          <w:spacing w:val="-189"/>
          <w:w w:val="100"/>
          <w:sz w:val="42"/>
        </w:rPr>
        <w:t>）</w:t>
      </w:r>
      <w:r>
        <w:rPr>
          <w:w w:val="100"/>
          <w:sz w:val="42"/>
        </w:rPr>
        <w:t>，操作平台制作，施工围挡及警</w:t>
      </w:r>
      <w:r>
        <w:rPr>
          <w:sz w:val="42"/>
        </w:rPr>
        <w:t>示或警告标志等安置，临时通道的搭建。</w:t>
      </w:r>
    </w:p>
    <w:p>
      <w:pPr>
        <w:pStyle w:val="ListParagraph"/>
        <w:numPr>
          <w:ilvl w:val="0"/>
          <w:numId w:val="50"/>
        </w:numPr>
        <w:tabs>
          <w:tab w:val="left" w:pos="2594"/>
        </w:tabs>
        <w:spacing w:before="0" w:after="0" w:line="494" w:lineRule="exact"/>
        <w:ind w:left="2594" w:right="0" w:hanging="635"/>
        <w:jc w:val="left"/>
        <w:rPr>
          <w:sz w:val="42"/>
        </w:rPr>
      </w:pPr>
      <w:r>
        <w:rPr>
          <w:sz w:val="42"/>
        </w:rPr>
        <w:t>施工垃圾外运</w:t>
      </w:r>
    </w:p>
    <w:p>
      <w:pPr>
        <w:pStyle w:val="Heading2"/>
        <w:spacing w:before="182"/>
      </w:pPr>
      <w:r>
        <w:t>四、施工总体布置</w:t>
      </w:r>
    </w:p>
    <w:p>
      <w:pPr>
        <w:pStyle w:val="BodyText"/>
        <w:spacing w:before="182" w:line="321" w:lineRule="auto"/>
        <w:ind w:right="536"/>
      </w:pPr>
      <w:r>
        <w:t>1、布置原则：施工场地的规划布置在本次项目第二十四标段范</w:t>
      </w:r>
      <w:r>
        <w:rPr>
          <w:spacing w:val="-23"/>
        </w:rPr>
        <w:t xml:space="preserve">围内，根椐工程施工特点及地形条件，本着节约用地，方便施工管理， </w:t>
      </w:r>
      <w:r>
        <w:rPr>
          <w:spacing w:val="-13"/>
        </w:rPr>
        <w:t>布置合理的原则，最大限度地减少对周围环境的影响。施工临时设施场地的划分和布置应符合国家有关的安全、卫生、环境保护、噪音、粉尘废水、污染物等规定，做到文明施工。</w:t>
      </w:r>
    </w:p>
    <w:p>
      <w:pPr>
        <w:pStyle w:val="BodyText"/>
        <w:spacing w:line="321" w:lineRule="auto"/>
        <w:ind w:right="580"/>
      </w:pPr>
      <w:r>
        <w:rPr>
          <w:spacing w:val="-9"/>
        </w:rPr>
        <w:t>施工布置主要是根据建筑物布置的特点，结合已有的道路、地形</w:t>
      </w:r>
      <w:r>
        <w:rPr>
          <w:spacing w:val="-10"/>
        </w:rPr>
        <w:t>地势等条件，采用分区分块规划的方法，方便施工和管理，按功能集</w:t>
      </w:r>
      <w:r>
        <w:rPr>
          <w:spacing w:val="-1"/>
        </w:rPr>
        <w:t>中布置，并尽量利用现有交通、场地以减少临时征地，在因地制宜、因时制宜和利于生活、方便生产、快速安全、经济可靠、易于管理的</w:t>
      </w:r>
      <w:r>
        <w:t>原则指导下研究和解决工程施工期间所需的各种施工设施在平面和 垂直上的布置以完成计划内的施工任务。</w:t>
      </w:r>
    </w:p>
    <w:p>
      <w:pPr>
        <w:pStyle w:val="BodyText"/>
        <w:spacing w:line="532" w:lineRule="exact"/>
        <w:ind w:left="1963" w:firstLine="0"/>
      </w:pPr>
      <w:r>
        <w:t>施工总布置的主要内容包括：</w:t>
      </w:r>
    </w:p>
    <w:p>
      <w:pPr>
        <w:spacing w:after="0" w:line="532" w:lineRule="exact"/>
        <w:sectPr>
          <w:pgSz w:w="17860" w:h="25260"/>
          <w:pgMar w:top="1960" w:right="1940" w:bottom="280" w:left="1580" w:header="708" w:footer="708"/>
          <w:pgNumType w:start="3"/>
          <w:cols w:space="708"/>
        </w:sectPr>
      </w:pPr>
    </w:p>
    <w:p>
      <w:pPr>
        <w:pStyle w:val="ListParagraph"/>
        <w:numPr>
          <w:ilvl w:val="1"/>
          <w:numId w:val="49"/>
        </w:numPr>
        <w:tabs>
          <w:tab w:val="left" w:pos="2698"/>
        </w:tabs>
        <w:spacing w:before="17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运输方案：选择场内运输及交通联系方式、布置路线等；</w:t>
      </w:r>
    </w:p>
    <w:p>
      <w:pPr>
        <w:pStyle w:val="ListParagraph"/>
        <w:numPr>
          <w:ilvl w:val="1"/>
          <w:numId w:val="49"/>
        </w:numPr>
        <w:tabs>
          <w:tab w:val="left" w:pos="2698"/>
        </w:tabs>
        <w:spacing w:before="182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选择合理的场地、布置各种辅助系统及办公、生活设施；</w:t>
      </w:r>
    </w:p>
    <w:p>
      <w:pPr>
        <w:pStyle w:val="ListParagraph"/>
        <w:numPr>
          <w:ilvl w:val="1"/>
          <w:numId w:val="49"/>
        </w:numPr>
        <w:tabs>
          <w:tab w:val="left" w:pos="2698"/>
        </w:tabs>
        <w:spacing w:before="182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选择供水、供电的位置布置干管、干线；</w:t>
      </w:r>
    </w:p>
    <w:p>
      <w:pPr>
        <w:pStyle w:val="ListParagraph"/>
        <w:numPr>
          <w:ilvl w:val="1"/>
          <w:numId w:val="49"/>
        </w:numPr>
        <w:tabs>
          <w:tab w:val="left" w:pos="2698"/>
        </w:tabs>
        <w:spacing w:before="182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规划堆料场地，做好平衡和调配工作；</w:t>
      </w:r>
    </w:p>
    <w:p>
      <w:pPr>
        <w:pStyle w:val="ListParagraph"/>
        <w:numPr>
          <w:ilvl w:val="1"/>
          <w:numId w:val="49"/>
        </w:numPr>
        <w:tabs>
          <w:tab w:val="left" w:pos="2698"/>
        </w:tabs>
        <w:spacing w:before="181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研究和制定安全、保安和环保等措施；</w:t>
      </w:r>
    </w:p>
    <w:p>
      <w:pPr>
        <w:pStyle w:val="ListParagraph"/>
        <w:numPr>
          <w:ilvl w:val="1"/>
          <w:numId w:val="49"/>
        </w:numPr>
        <w:tabs>
          <w:tab w:val="left" w:pos="2698"/>
        </w:tabs>
        <w:spacing w:before="182" w:after="0" w:line="321" w:lineRule="auto"/>
        <w:ind w:left="1959" w:right="5743" w:firstLine="0"/>
        <w:jc w:val="left"/>
        <w:rPr>
          <w:sz w:val="42"/>
        </w:rPr>
      </w:pPr>
      <w:r>
        <w:rPr>
          <w:spacing w:val="-2"/>
          <w:sz w:val="42"/>
        </w:rPr>
        <w:t>确定防洪、防火、施工排水等。</w:t>
      </w:r>
      <w:r>
        <w:rPr>
          <w:sz w:val="42"/>
        </w:rPr>
        <w:t>2、具体布置</w:t>
      </w:r>
    </w:p>
    <w:p>
      <w:pPr>
        <w:pStyle w:val="ListParagraph"/>
        <w:numPr>
          <w:ilvl w:val="1"/>
          <w:numId w:val="48"/>
        </w:numPr>
        <w:tabs>
          <w:tab w:val="left" w:pos="2698"/>
        </w:tabs>
        <w:spacing w:before="0" w:after="0" w:line="321" w:lineRule="auto"/>
        <w:ind w:left="1959" w:right="372" w:firstLine="0"/>
        <w:jc w:val="left"/>
        <w:rPr>
          <w:sz w:val="42"/>
        </w:rPr>
      </w:pPr>
      <w:r>
        <w:rPr>
          <w:sz w:val="42"/>
        </w:rPr>
        <w:t>施工水、电供应                                     1）</w:t>
      </w:r>
      <w:r>
        <w:rPr>
          <w:spacing w:val="-1"/>
          <w:sz w:val="42"/>
        </w:rPr>
        <w:t>施工供电：工程区内有低压线路覆盖全作业区，电压较稳定。</w:t>
      </w:r>
    </w:p>
    <w:p>
      <w:pPr>
        <w:pStyle w:val="BodyText"/>
        <w:spacing w:line="321" w:lineRule="auto"/>
        <w:ind w:right="741" w:firstLine="0"/>
      </w:pPr>
      <w:r>
        <w:rPr>
          <w:spacing w:val="-12"/>
        </w:rPr>
        <w:t>开工进场后与当地电管部门联系，各施工作业区内的电用进接在距其</w:t>
      </w:r>
      <w:r>
        <w:t>最近的。</w:t>
      </w:r>
    </w:p>
    <w:p>
      <w:pPr>
        <w:pStyle w:val="BodyText"/>
        <w:spacing w:line="536" w:lineRule="exact"/>
        <w:ind w:left="1959" w:firstLine="0"/>
      </w:pPr>
      <w:r>
        <w:t>2）施工供水：施工供水取当地村民生活饮用水。</w:t>
      </w:r>
    </w:p>
    <w:p>
      <w:pPr>
        <w:pStyle w:val="ListParagraph"/>
        <w:numPr>
          <w:ilvl w:val="1"/>
          <w:numId w:val="48"/>
        </w:numPr>
        <w:tabs>
          <w:tab w:val="left" w:pos="2698"/>
        </w:tabs>
        <w:spacing w:before="179" w:after="0" w:line="321" w:lineRule="auto"/>
        <w:ind w:left="1959" w:right="793" w:firstLine="0"/>
        <w:jc w:val="left"/>
        <w:rPr>
          <w:sz w:val="42"/>
        </w:rPr>
      </w:pPr>
      <w:r>
        <w:rPr>
          <w:sz w:val="42"/>
        </w:rPr>
        <w:t>施工通讯、交通                                   1）</w:t>
      </w:r>
      <w:r>
        <w:rPr>
          <w:spacing w:val="-1"/>
          <w:sz w:val="42"/>
        </w:rPr>
        <w:t>施工通讯：开工进场后可与当地通信部门联系，项目部安装</w:t>
      </w:r>
    </w:p>
    <w:p>
      <w:pPr>
        <w:pStyle w:val="BodyText"/>
        <w:spacing w:line="321" w:lineRule="auto"/>
        <w:ind w:right="685" w:firstLine="0"/>
      </w:pPr>
      <w:r>
        <w:t>1</w:t>
      </w:r>
      <w:r>
        <w:rPr>
          <w:spacing w:val="-10"/>
        </w:rPr>
        <w:t xml:space="preserve"> 门有线电话与外界联络。场内施工人员采用手机或对讲机直接进行</w:t>
      </w:r>
      <w:r>
        <w:t>联络、指挥及施工调度使用。</w:t>
      </w:r>
    </w:p>
    <w:p>
      <w:pPr>
        <w:pStyle w:val="BodyText"/>
        <w:spacing w:line="321" w:lineRule="auto"/>
        <w:ind w:right="754"/>
        <w:jc w:val="both"/>
      </w:pPr>
      <w:r>
        <w:t>2）施工交通：各施工作业可利用本次新建的田间道路作业场内</w:t>
      </w:r>
      <w:r>
        <w:rPr>
          <w:spacing w:val="-14"/>
        </w:rPr>
        <w:t>施工道路。同时现有局部的田间道路进行维修和扩建后，可满足施工</w:t>
      </w:r>
      <w:r>
        <w:t>需要。（后附施工总平面图）</w:t>
      </w:r>
    </w:p>
    <w:p>
      <w:pPr>
        <w:spacing w:after="0" w:line="321" w:lineRule="auto"/>
        <w:jc w:val="both"/>
        <w:sectPr>
          <w:pgSz w:w="17860" w:h="25260"/>
          <w:pgMar w:top="1920" w:right="1940" w:bottom="280" w:left="1580" w:header="708" w:footer="708"/>
          <w:pgNumType w:start="4"/>
          <w:cols w:space="708"/>
        </w:sectPr>
      </w:pPr>
    </w:p>
    <w:p>
      <w:pPr>
        <w:pStyle w:val="BodyText"/>
        <w:spacing w:before="11"/>
        <w:ind w:left="0" w:firstLine="0"/>
        <w:rPr>
          <w:sz w:val="7"/>
        </w:rPr>
      </w:pPr>
    </w:p>
    <w:p>
      <w:pPr>
        <w:pStyle w:val="BodyText"/>
        <w:spacing w:before="43"/>
        <w:ind w:firstLine="0"/>
      </w:pPr>
      <w:r>
        <w:t>施工总体平面图</w:t>
      </w:r>
    </w:p>
    <w:p>
      <w:pPr>
        <w:pStyle w:val="BodyText"/>
        <w:spacing w:before="10"/>
        <w:ind w:left="0" w:firstLine="0"/>
        <w:rPr>
          <w:sz w:val="14"/>
        </w:rPr>
      </w:pPr>
      <w:r>
        <w:pict>
          <v:group id="_x0000_s1028" style="width:591.7pt;height:914.95pt;margin-top:11.8pt;margin-left:135.43pt;mso-position-horizontal-relative:page;mso-wrap-distance-left:0;mso-wrap-distance-right:0;position:absolute;z-index:-251657216" coordorigin="2709,236" coordsize="11834,18299">
            <v:shape id="_x0000_s1029" style="width:11830;height:18295;left:2712;position:absolute;top:239" coordorigin="2712,240" coordsize="11830,18295" path="m2712,247l14542,247m2719,18534l2719,240m3008,1119l4674,1119m14527,18534l14527,240m3008,4932l3008,1119e" filled="f" stroked="t" strokecolor="black" strokeweight="1.08pt">
              <v:stroke dashstyle="solid"/>
              <v:path arrowok="t"/>
            </v:shape>
            <v:line id="_x0000_s1030" style="position:absolute" from="4674,4947" to="4674,1112" stroked="t" strokecolor="black" strokeweight="0.36pt">
              <v:stroke dashstyle="solid"/>
            </v:line>
            <v:line id="_x0000_s1031" style="position:absolute" from="12652,4363" to="14390,4363" stroked="t" strokecolor="black" strokeweight="1.08pt">
              <v:stroke dashstyle="solid"/>
            </v:line>
            <v:line id="_x0000_s1032" style="position:absolute" from="14390,4363" to="14542,4363" stroked="t" strokecolor="black" strokeweight="0.36pt">
              <v:stroke dashstyle="solid"/>
            </v:line>
            <v:line id="_x0000_s1033" style="position:absolute" from="3001,4932" to="4681,4932" stroked="t" strokecolor="black" strokeweight="1.08pt">
              <v:stroke dashstyle="solid"/>
            </v:line>
            <v:line id="_x0000_s1034" style="position:absolute" from="12652,5718" to="12652,4363" stroked="t" strokecolor="black" strokeweight="0.36pt">
              <v:stroke dashstyle="solid"/>
            </v:line>
            <v:line id="_x0000_s1035" style="position:absolute" from="12652,5718" to="14542,5718" stroked="t" strokecolor="black" strokeweight="1.8pt">
              <v:stroke dashstyle="solid"/>
            </v:line>
            <v:line id="_x0000_s1036" style="position:absolute" from="2929,5876" to="4674,5876" stroked="t" strokecolor="black" strokeweight="1.08pt">
              <v:stroke dashstyle="solid"/>
            </v:line>
            <v:line id="_x0000_s1037" style="position:absolute" from="12652,5876" to="14390,5876" stroked="t" strokecolor="black" strokeweight="1.8pt">
              <v:stroke dashstyle="solid"/>
            </v:line>
            <v:shape id="_x0000_s1038" style="width:1746;height:4751;left:2928;position:absolute;top:5869" coordorigin="2929,5869" coordsize="1746,4751" path="m2929,10605l2929,5876m4674,10619l4674,5869e" filled="f" stroked="t" strokecolor="black" strokeweight="1.08pt">
              <v:stroke dashstyle="solid"/>
              <v:path arrowok="t"/>
            </v:shape>
            <v:shape id="_x0000_s1039" style="width:1739;height:3201;left:12651;position:absolute;top:5862" coordorigin="12652,5862" coordsize="1739,3201" path="m12652,9048l12652,5876m14390,9062l14390,5862e" filled="f" stroked="t" strokecolor="black" strokeweight="0.36pt">
              <v:stroke dashstyle="solid"/>
              <v:path arrowok="t"/>
            </v:shape>
            <v:shape id="_x0000_s1040" style="width:1890;height:1572;left:12651;position:absolute;top:7476" coordorigin="12652,7477" coordsize="1890,1572" path="m12652,7477l14542,7477m12652,9048l14397,9048e" filled="f" stroked="t" strokecolor="black" strokeweight="1.08pt">
              <v:stroke dashstyle="solid"/>
              <v:path arrowok="t"/>
            </v:shape>
            <v:line id="_x0000_s1041" style="position:absolute" from="14390,9048" to="14542,9048" stroked="t" strokecolor="black" strokeweight="0.36pt">
              <v:stroke dashstyle="solid"/>
            </v:line>
            <v:shape id="_x0000_s1042" style="width:11469;height:1392;left:2921;position:absolute;top:9213" coordorigin="2921,9214" coordsize="11469,1392" path="m12652,9214l14390,9214m2921,10605l4688,10605e" filled="f" stroked="t" strokecolor="black" strokeweight="1.08pt">
              <v:stroke dashstyle="solid"/>
              <v:path arrowok="t"/>
            </v:shape>
            <v:line id="_x0000_s1043" style="position:absolute" from="12652,10605" to="12652,9214" stroked="t" strokecolor="black" strokeweight="1.8pt">
              <v:stroke dashstyle="solid"/>
            </v:line>
            <v:shape id="_x0000_s1044" style="width:1768;height:1413;left:12637;position:absolute;top:9206" coordorigin="12637,9207" coordsize="1768,1413" path="m12637,10605l14404,10605m14390,10619l14390,9207e" filled="f" stroked="t" strokecolor="black" strokeweight="1.08pt">
              <v:stroke dashstyle="solid"/>
              <v:path arrowok="t"/>
            </v:shape>
            <v:shape id="_x0000_s1045" style="width:11614;height:2;left:2928;position:absolute;top:11275" coordorigin="2929,11275" coordsize="11614,0" path="m2929,11275l5056,11275m12241,11275l14542,11275e" filled="f" stroked="t" strokecolor="black" strokeweight="1.8pt">
              <v:stroke dashstyle="solid"/>
              <v:path arrowok="t"/>
            </v:shape>
            <v:shape id="_x0000_s1046" style="width:11614;height:6538;left:2928;position:absolute;top:11260" coordorigin="2929,11261" coordsize="11614,6538" path="m2929,17784l2929,11275m5056,17799l5056,11261m12241,16011l12241,11275m12233,16011l14542,16011m5994,16155l14390,16155e" filled="f" stroked="t" strokecolor="black" strokeweight="1.08pt">
              <v:stroke dashstyle="solid"/>
              <v:path arrowok="t"/>
            </v:shape>
            <v:line id="_x0000_s1047" style="position:absolute" from="14390,16155" to="14542,16155" stroked="t" strokecolor="black" strokeweight="0.36pt">
              <v:stroke dashstyle="solid"/>
            </v:line>
            <v:shape id="_x0000_s1048" style="width:3073;height:2221;left:2921;position:absolute;top:16155" coordorigin="2921,16155" coordsize="3073,2221" path="m2921,17784l5071,17784m5994,18375l5994,16155e" filled="f" stroked="t" strokecolor="black" strokeweight="1.08pt">
              <v:stroke dashstyle="solid"/>
              <v:path arrowok="t"/>
            </v:shape>
            <v:line id="_x0000_s1049" style="position:absolute" from="14390,18390" to="14390,16148" stroked="t" strokecolor="black" strokeweight="0.36pt">
              <v:stroke dashstyle="solid"/>
            </v:line>
            <v:shape id="_x0000_s1050" style="width:11830;height:145;left:2712;position:absolute;top:18375" coordorigin="2712,18375" coordsize="11830,145" path="m5987,18375l14542,18375m2712,18520l14542,18520e" filled="f" stroked="t" strokecolor="black" strokeweight="1.08pt">
              <v:stroke dashstyle="solid"/>
              <v:path arrowok="t"/>
            </v:shape>
            <v:shape id="_x0000_s1051" type="#_x0000_t202" style="width:5051;height:466;left:6679;position:absolute;top:974" filled="f" stroked="f">
              <v:textbox inset="0,0,0,0">
                <w:txbxContent>
                  <w:p>
                    <w:pPr>
                      <w:spacing w:before="0" w:line="466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color w:val="777982"/>
                        <w:spacing w:val="76"/>
                        <w:w w:val="105"/>
                        <w:sz w:val="38"/>
                      </w:rPr>
                      <w:t>临</w:t>
                    </w:r>
                    <w:r>
                      <w:rPr>
                        <w:color w:val="544F5D"/>
                        <w:spacing w:val="18"/>
                        <w:w w:val="105"/>
                        <w:sz w:val="38"/>
                      </w:rPr>
                      <w:t>时设施外</w:t>
                    </w:r>
                    <w:r>
                      <w:rPr>
                        <w:rFonts w:ascii="Times New Roman" w:eastAsia="Times New Roman"/>
                        <w:color w:val="544F5D"/>
                        <w:w w:val="105"/>
                        <w:sz w:val="42"/>
                      </w:rPr>
                      <w:t xml:space="preserve">4 </w:t>
                    </w:r>
                    <w:r>
                      <w:rPr>
                        <w:color w:val="544F5D"/>
                        <w:spacing w:val="12"/>
                        <w:w w:val="105"/>
                        <w:sz w:val="39"/>
                      </w:rPr>
                      <w:t>米为道路宽</w:t>
                    </w:r>
                    <w:r>
                      <w:rPr>
                        <w:color w:val="3B3842"/>
                        <w:w w:val="105"/>
                        <w:sz w:val="39"/>
                      </w:rPr>
                      <w:t>度</w:t>
                    </w:r>
                  </w:p>
                </w:txbxContent>
              </v:textbox>
            </v:shape>
            <v:shape id="_x0000_s1052" type="#_x0000_t202" style="width:578;height:2158;left:3693;position:absolute;top:1905" filled="f" stroked="f">
              <v:textbox inset="0,0,0,0">
                <w:txbxContent>
                  <w:p>
                    <w:pPr>
                      <w:spacing w:before="0" w:line="1466" w:lineRule="exact"/>
                      <w:ind w:left="0" w:right="0" w:firstLine="0"/>
                      <w:jc w:val="left"/>
                      <w:rPr>
                        <w:sz w:val="43"/>
                      </w:rPr>
                    </w:pPr>
                    <w:r>
                      <w:rPr>
                        <w:color w:val="696272"/>
                        <w:spacing w:val="-1182"/>
                        <w:w w:val="90"/>
                        <w:position w:val="-80"/>
                        <w:sz w:val="144"/>
                      </w:rPr>
                      <w:t>，</w:t>
                    </w:r>
                    <w:r>
                      <w:rPr>
                        <w:color w:val="544F5D"/>
                        <w:w w:val="90"/>
                        <w:sz w:val="43"/>
                      </w:rPr>
                      <w:t>现</w:t>
                    </w:r>
                  </w:p>
                  <w:p>
                    <w:pPr>
                      <w:spacing w:before="0" w:line="295" w:lineRule="exact"/>
                      <w:ind w:left="123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696272"/>
                        <w:w w:val="91"/>
                        <w:sz w:val="40"/>
                      </w:rPr>
                      <w:t>公</w:t>
                    </w:r>
                  </w:p>
                  <w:p>
                    <w:pPr>
                      <w:spacing w:before="0" w:line="396" w:lineRule="exact"/>
                      <w:ind w:left="144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696272"/>
                        <w:w w:val="91"/>
                        <w:sz w:val="38"/>
                      </w:rPr>
                      <w:t>区</w:t>
                    </w:r>
                  </w:p>
                </w:txbxContent>
              </v:textbox>
            </v:shape>
            <v:shape id="_x0000_s1053" type="#_x0000_t202" style="width:436;height:1260;left:3778;position:absolute;top:7049" filled="f" stroked="f">
              <v:textbox inset="0,0,0,0">
                <w:txbxContent>
                  <w:p>
                    <w:pPr>
                      <w:spacing w:before="0" w:line="457" w:lineRule="exact"/>
                      <w:ind w:left="0" w:right="0" w:firstLine="2"/>
                      <w:jc w:val="left"/>
                      <w:rPr>
                        <w:sz w:val="43"/>
                      </w:rPr>
                    </w:pPr>
                    <w:r>
                      <w:rPr>
                        <w:color w:val="544F5D"/>
                        <w:w w:val="94"/>
                        <w:sz w:val="43"/>
                      </w:rPr>
                      <w:t>生</w:t>
                    </w:r>
                  </w:p>
                  <w:p>
                    <w:pPr>
                      <w:spacing w:before="22" w:line="404" w:lineRule="exact"/>
                      <w:ind w:left="8" w:right="18" w:hanging="9"/>
                      <w:jc w:val="left"/>
                      <w:rPr>
                        <w:sz w:val="38"/>
                      </w:rPr>
                    </w:pPr>
                    <w:r>
                      <w:rPr>
                        <w:color w:val="544F5D"/>
                        <w:w w:val="105"/>
                        <w:sz w:val="38"/>
                      </w:rPr>
                      <w:t>沽区</w:t>
                    </w:r>
                  </w:p>
                </w:txbxContent>
              </v:textbox>
            </v:shape>
            <v:shape id="_x0000_s1054" type="#_x0000_t202" style="width:467;height:1671;left:4141;position:absolute;top:12786" filled="f" stroked="f">
              <v:textbox inset="0,0,0,0">
                <w:txbxContent>
                  <w:p>
                    <w:pPr>
                      <w:spacing w:before="0" w:line="410" w:lineRule="exact"/>
                      <w:ind w:left="27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777982"/>
                        <w:w w:val="109"/>
                        <w:sz w:val="38"/>
                      </w:rPr>
                      <w:t>舫</w:t>
                    </w:r>
                  </w:p>
                  <w:p>
                    <w:pPr>
                      <w:spacing w:before="29" w:line="206" w:lineRule="auto"/>
                      <w:ind w:left="0" w:right="18" w:firstLine="31"/>
                      <w:jc w:val="left"/>
                      <w:rPr>
                        <w:sz w:val="38"/>
                      </w:rPr>
                    </w:pPr>
                    <w:r>
                      <w:rPr>
                        <w:color w:val="544F5D"/>
                        <w:w w:val="105"/>
                        <w:sz w:val="38"/>
                      </w:rPr>
                      <w:t>时设</w:t>
                    </w:r>
                  </w:p>
                  <w:p>
                    <w:pPr>
                      <w:spacing w:before="0" w:line="393" w:lineRule="exact"/>
                      <w:ind w:left="7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544F5D"/>
                        <w:w w:val="96"/>
                        <w:sz w:val="38"/>
                      </w:rPr>
                      <w:t>施</w:t>
                    </w:r>
                  </w:p>
                </w:txbxContent>
              </v:textbox>
            </v:shape>
            <v:shape id="_x0000_s1055" type="#_x0000_t202" style="width:1414;height:381;left:11023;position:absolute;top:16563" filled="f" stroked="f">
              <v:textbox inset="0,0,0,0">
                <w:txbxContent>
                  <w:p>
                    <w:pPr>
                      <w:tabs>
                        <w:tab w:val="left" w:pos="424"/>
                        <w:tab w:val="left" w:pos="842"/>
                        <w:tab w:val="left" w:pos="1282"/>
                      </w:tabs>
                      <w:spacing w:before="0" w:line="380" w:lineRule="exact"/>
                      <w:ind w:left="0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3B3842"/>
                        <w:w w:val="40"/>
                        <w:sz w:val="38"/>
                      </w:rPr>
                      <w:t>备</w:t>
                      <w:tab/>
                    </w:r>
                    <w:r>
                      <w:rPr>
                        <w:color w:val="544F5D"/>
                        <w:w w:val="40"/>
                        <w:sz w:val="38"/>
                      </w:rPr>
                      <w:t>及</w:t>
                      <w:tab/>
                      <w:t>仓</w:t>
                      <w:tab/>
                    </w:r>
                    <w:r>
                      <w:rPr>
                        <w:color w:val="544F5D"/>
                        <w:w w:val="30"/>
                        <w:sz w:val="38"/>
                      </w:rPr>
                      <w:t>储</w:t>
                    </w:r>
                  </w:p>
                </w:txbxContent>
              </v:textbox>
            </v:shape>
            <v:shape id="_x0000_s1056" type="#_x0000_t202" style="width:1110;height:381;left:9340;position:absolute;top:16563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696272"/>
                        <w:spacing w:val="68"/>
                        <w:w w:val="65"/>
                        <w:sz w:val="38"/>
                      </w:rPr>
                      <w:t>材料</w:t>
                    </w:r>
                    <w:r>
                      <w:rPr>
                        <w:color w:val="696272"/>
                        <w:w w:val="60"/>
                        <w:sz w:val="38"/>
                      </w:rPr>
                      <w:t>飞设</w:t>
                    </w:r>
                  </w:p>
                </w:txbxContent>
              </v:textbox>
            </v:shape>
            <v:shape id="_x0000_s1057" type="#_x0000_t202" style="width:2265;height:4707;left:12251;position:absolute;top:11293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8"/>
                      </w:rPr>
                    </w:pPr>
                  </w:p>
                  <w:p>
                    <w:pPr>
                      <w:spacing w:before="275" w:line="466" w:lineRule="exact"/>
                      <w:ind w:left="1323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696272"/>
                        <w:w w:val="107"/>
                        <w:sz w:val="38"/>
                      </w:rPr>
                      <w:t>加</w:t>
                    </w:r>
                  </w:p>
                  <w:p>
                    <w:pPr>
                      <w:spacing w:before="0" w:line="440" w:lineRule="exact"/>
                      <w:ind w:left="1334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1232A"/>
                        <w:w w:val="109"/>
                        <w:sz w:val="36"/>
                      </w:rPr>
                      <w:t>工</w:t>
                    </w:r>
                  </w:p>
                  <w:p>
                    <w:pPr>
                      <w:spacing w:before="2"/>
                      <w:ind w:left="1352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64"/>
                        <w:w w:val="60"/>
                        <w:sz w:val="25"/>
                      </w:rPr>
                      <w:t xml:space="preserve">_ </w:t>
                    </w:r>
                    <w:r>
                      <w:rPr>
                        <w:color w:val="3B3842"/>
                        <w:spacing w:val="-60"/>
                        <w:w w:val="60"/>
                        <w:sz w:val="25"/>
                      </w:rPr>
                      <w:t xml:space="preserve">仓 </w:t>
                    </w:r>
                    <w:r>
                      <w:rPr>
                        <w:rFonts w:ascii="Times New Roman" w:eastAsia="Times New Roman"/>
                        <w:color w:val="C37557"/>
                        <w:w w:val="60"/>
                        <w:sz w:val="13"/>
                      </w:rPr>
                      <w:t xml:space="preserve">I </w:t>
                    </w:r>
                    <w:r>
                      <w:rPr>
                        <w:color w:val="3A0000"/>
                        <w:w w:val="60"/>
                        <w:sz w:val="8"/>
                      </w:rPr>
                      <w:t xml:space="preserve">－ </w:t>
                    </w:r>
                    <w:r>
                      <w:rPr>
                        <w:color w:val="DB9090"/>
                        <w:w w:val="60"/>
                        <w:sz w:val="8"/>
                      </w:rPr>
                      <w:t>．</w:t>
                    </w:r>
                  </w:p>
                  <w:p>
                    <w:pPr>
                      <w:spacing w:before="17"/>
                      <w:ind w:left="1325" w:right="0" w:firstLine="0"/>
                      <w:jc w:val="left"/>
                      <w:rPr>
                        <w:sz w:val="41"/>
                      </w:rPr>
                    </w:pPr>
                    <w:r>
                      <w:rPr>
                        <w:color w:val="696272"/>
                        <w:w w:val="96"/>
                        <w:sz w:val="41"/>
                      </w:rPr>
                      <w:t>间</w:t>
                    </w:r>
                  </w:p>
                </w:txbxContent>
              </v:textbox>
            </v:shape>
            <v:shape id="_x0000_s1058" type="#_x0000_t202" style="width:1710;height:1370;left:12669;position:absolute;top:9224" filled="f" stroked="f">
              <v:textbox inset="0,0,0,0">
                <w:txbxContent>
                  <w:p>
                    <w:pPr>
                      <w:spacing w:before="339"/>
                      <w:ind w:left="413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544F5D"/>
                        <w:w w:val="110"/>
                        <w:sz w:val="40"/>
                      </w:rPr>
                      <w:t>供水</w:t>
                    </w:r>
                  </w:p>
                </w:txbxContent>
              </v:textbox>
            </v:shape>
            <v:shape id="_x0000_s1059" type="#_x0000_t202" style="width:1732;height:1550;left:12655;position:absolute;top:7487" filled="f" stroked="f">
              <v:textbox inset="0,0,0,0">
                <w:txbxContent>
                  <w:p>
                    <w:pPr>
                      <w:spacing w:before="301" w:line="507" w:lineRule="exact"/>
                      <w:ind w:left="888" w:right="0" w:firstLine="0"/>
                      <w:jc w:val="left"/>
                      <w:rPr>
                        <w:sz w:val="43"/>
                      </w:rPr>
                    </w:pPr>
                    <w:r>
                      <w:rPr>
                        <w:color w:val="696272"/>
                        <w:w w:val="97"/>
                        <w:sz w:val="43"/>
                      </w:rPr>
                      <w:t>供</w:t>
                    </w:r>
                  </w:p>
                  <w:p>
                    <w:pPr>
                      <w:spacing w:before="0" w:line="468" w:lineRule="exact"/>
                      <w:ind w:left="931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544F5D"/>
                        <w:w w:val="95"/>
                        <w:sz w:val="40"/>
                      </w:rPr>
                      <w:t>皂</w:t>
                    </w:r>
                  </w:p>
                </w:txbxContent>
              </v:textbox>
            </v:shape>
            <v:shape id="_x0000_s1060" type="#_x0000_t202" style="width:1732;height:1572;left:12655;position:absolute;top:5894" filled="f" stroked="f">
              <v:textbox inset="0,0,0,0">
                <w:txbxContent>
                  <w:p>
                    <w:pPr>
                      <w:spacing w:before="58" w:line="547" w:lineRule="exact"/>
                      <w:ind w:left="848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544F5D"/>
                        <w:w w:val="92"/>
                        <w:sz w:val="45"/>
                      </w:rPr>
                      <w:t>卫</w:t>
                    </w:r>
                  </w:p>
                  <w:p>
                    <w:pPr>
                      <w:spacing w:before="0" w:line="270" w:lineRule="exact"/>
                      <w:ind w:left="824" w:right="0" w:firstLine="0"/>
                      <w:jc w:val="left"/>
                      <w:rPr>
                        <w:rFonts w:ascii="Arial" w:eastAsia="Arial" w:hAnsi="Arial"/>
                        <w:sz w:val="25"/>
                      </w:rPr>
                    </w:pPr>
                    <w:r>
                      <w:rPr>
                        <w:color w:val="21232A"/>
                        <w:spacing w:val="-150"/>
                        <w:w w:val="92"/>
                        <w:sz w:val="23"/>
                      </w:rPr>
                      <w:t>二</w:t>
                    </w:r>
                    <w:r>
                      <w:rPr>
                        <w:rFonts w:ascii="Arial" w:eastAsia="Arial" w:hAnsi="Arial"/>
                        <w:color w:val="544F5D"/>
                        <w:spacing w:val="-94"/>
                        <w:w w:val="92"/>
                        <w:sz w:val="25"/>
                      </w:rPr>
                      <w:t>K</w:t>
                    </w:r>
                    <w:r>
                      <w:rPr>
                        <w:rFonts w:ascii="Arial" w:eastAsia="Arial" w:hAnsi="Arial"/>
                        <w:color w:val="909CA3"/>
                        <w:w w:val="44"/>
                        <w:sz w:val="25"/>
                      </w:rPr>
                      <w:t>k</w:t>
                    </w:r>
                    <w:r>
                      <w:rPr>
                        <w:rFonts w:ascii="Arial" w:eastAsia="Arial" w:hAnsi="Arial"/>
                        <w:color w:val="909CA3"/>
                        <w:spacing w:val="6"/>
                        <w:sz w:val="25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w w:val="44"/>
                        <w:sz w:val="25"/>
                      </w:rPr>
                      <w:t>-</w:t>
                    </w:r>
                    <w:r>
                      <w:rPr>
                        <w:rFonts w:ascii="Arial" w:eastAsia="Arial" w:hAnsi="Arial"/>
                        <w:spacing w:val="-34"/>
                        <w:sz w:val="25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66B5FF"/>
                        <w:w w:val="84"/>
                        <w:sz w:val="25"/>
                      </w:rPr>
                      <w:t>·</w:t>
                    </w:r>
                  </w:p>
                  <w:p>
                    <w:pPr>
                      <w:spacing w:before="44"/>
                      <w:ind w:left="857" w:right="0" w:firstLine="0"/>
                      <w:jc w:val="left"/>
                      <w:rPr>
                        <w:sz w:val="41"/>
                      </w:rPr>
                    </w:pPr>
                    <w:r>
                      <w:rPr>
                        <w:color w:val="696272"/>
                        <w:w w:val="90"/>
                        <w:sz w:val="41"/>
                      </w:rPr>
                      <w:t>间</w:t>
                    </w:r>
                  </w:p>
                </w:txbxContent>
              </v:textbox>
            </v:shape>
            <v:shape id="_x0000_s1061" type="#_x0000_t202" style="width:1861;height:1327;left:12655;position:absolute;top:4373" filled="f" stroked="f">
              <v:textbox inset="0,0,0,0">
                <w:txbxContent>
                  <w:p>
                    <w:pPr>
                      <w:spacing w:before="341"/>
                      <w:ind w:left="305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color w:val="544F5D"/>
                        <w:w w:val="110"/>
                        <w:sz w:val="39"/>
                      </w:rPr>
                      <w:t>消防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7860" w:h="25260"/>
          <w:pgMar w:top="2420" w:right="1940" w:bottom="280" w:left="1580" w:header="708" w:footer="708"/>
          <w:pgNumType w:start="5"/>
          <w:cols w:space="708"/>
        </w:sectPr>
      </w:pPr>
    </w:p>
    <w:p>
      <w:pPr>
        <w:pStyle w:val="Heading2"/>
        <w:spacing w:before="20"/>
        <w:ind w:left="1120"/>
        <w:rPr>
          <w:rFonts w:ascii="仿宋" w:eastAsia="仿宋"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509269</wp:posOffset>
            </wp:positionV>
            <wp:extent cx="8589073" cy="668883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9073" cy="668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int="eastAsia"/>
        </w:rPr>
        <w:t>临时用地表</w:t>
      </w:r>
    </w:p>
    <w:p>
      <w:pPr>
        <w:pStyle w:val="BodyText"/>
        <w:ind w:left="0" w:firstLine="0"/>
        <w:rPr>
          <w:rFonts w:ascii="仿宋"/>
          <w:b/>
          <w:sz w:val="20"/>
        </w:rPr>
      </w:pPr>
    </w:p>
    <w:p>
      <w:pPr>
        <w:pStyle w:val="BodyText"/>
        <w:spacing w:before="11"/>
        <w:ind w:left="0" w:firstLine="0"/>
        <w:rPr>
          <w:rFonts w:ascii="仿宋"/>
          <w:b/>
          <w:sz w:val="17"/>
        </w:rPr>
      </w:pPr>
    </w:p>
    <w:tbl>
      <w:tblPr>
        <w:tblStyle w:val="TableNormal0"/>
        <w:tblW w:w="0" w:type="auto"/>
        <w:jc w:val="left"/>
        <w:tblInd w:w="1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918"/>
        <w:gridCol w:w="3197"/>
        <w:gridCol w:w="2781"/>
        <w:gridCol w:w="2688"/>
      </w:tblGrid>
      <w:tr>
        <w:tblPrEx>
          <w:tblW w:w="0" w:type="auto"/>
          <w:jc w:val="left"/>
          <w:tblInd w:w="117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5"/>
          <w:jc w:val="left"/>
        </w:trPr>
        <w:tc>
          <w:tcPr>
            <w:tcW w:w="2547" w:type="dxa"/>
          </w:tcPr>
          <w:p>
            <w:pPr>
              <w:pStyle w:val="TableParagraph"/>
              <w:spacing w:before="0" w:line="480" w:lineRule="exact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用 途</w:t>
            </w:r>
          </w:p>
        </w:tc>
        <w:tc>
          <w:tcPr>
            <w:tcW w:w="918" w:type="dxa"/>
          </w:tcPr>
          <w:p>
            <w:pPr>
              <w:pStyle w:val="TableParagraph"/>
              <w:spacing w:before="0" w:line="480" w:lineRule="exact"/>
              <w:ind w:left="391"/>
              <w:rPr>
                <w:sz w:val="42"/>
              </w:rPr>
            </w:pPr>
            <w:r>
              <w:rPr>
                <w:w w:val="100"/>
                <w:sz w:val="42"/>
              </w:rPr>
              <w:t>面</w:t>
            </w:r>
          </w:p>
        </w:tc>
        <w:tc>
          <w:tcPr>
            <w:tcW w:w="3197" w:type="dxa"/>
          </w:tcPr>
          <w:p>
            <w:pPr>
              <w:pStyle w:val="TableParagraph"/>
              <w:spacing w:before="0" w:line="480" w:lineRule="exact"/>
              <w:ind w:left="106"/>
              <w:rPr>
                <w:sz w:val="42"/>
              </w:rPr>
            </w:pPr>
            <w:r>
              <w:rPr>
                <w:sz w:val="42"/>
              </w:rPr>
              <w:t>积（平方米）</w:t>
            </w:r>
          </w:p>
        </w:tc>
        <w:tc>
          <w:tcPr>
            <w:tcW w:w="2781" w:type="dxa"/>
          </w:tcPr>
          <w:p>
            <w:pPr>
              <w:pStyle w:val="TableParagraph"/>
              <w:spacing w:before="0" w:line="480" w:lineRule="exact"/>
              <w:ind w:left="668"/>
              <w:rPr>
                <w:sz w:val="42"/>
              </w:rPr>
            </w:pPr>
            <w:r>
              <w:rPr>
                <w:sz w:val="42"/>
              </w:rPr>
              <w:t>位 置</w:t>
            </w:r>
          </w:p>
        </w:tc>
        <w:tc>
          <w:tcPr>
            <w:tcW w:w="2688" w:type="dxa"/>
          </w:tcPr>
          <w:p>
            <w:pPr>
              <w:pStyle w:val="TableParagraph"/>
              <w:spacing w:before="0" w:line="480" w:lineRule="exact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需用时间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547" w:type="dxa"/>
          </w:tcPr>
          <w:p>
            <w:pPr>
              <w:pStyle w:val="TableParagraph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门卫室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790"/>
              <w:rPr>
                <w:sz w:val="42"/>
              </w:rPr>
            </w:pPr>
            <w:r>
              <w:rPr>
                <w:sz w:val="42"/>
              </w:rPr>
              <w:t>20</w:t>
            </w:r>
          </w:p>
        </w:tc>
        <w:tc>
          <w:tcPr>
            <w:tcW w:w="2781" w:type="dxa"/>
          </w:tcPr>
          <w:p>
            <w:pPr>
              <w:pStyle w:val="TableParagraph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547" w:type="dxa"/>
          </w:tcPr>
          <w:p>
            <w:pPr>
              <w:pStyle w:val="TableParagraph"/>
              <w:spacing w:before="208"/>
              <w:ind w:left="33" w:right="373"/>
              <w:jc w:val="center"/>
              <w:rPr>
                <w:sz w:val="42"/>
              </w:rPr>
            </w:pPr>
            <w:r>
              <w:rPr>
                <w:sz w:val="42"/>
              </w:rPr>
              <w:t>设备及仓储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208"/>
              <w:ind w:left="790"/>
              <w:rPr>
                <w:sz w:val="42"/>
              </w:rPr>
            </w:pPr>
            <w:r>
              <w:rPr>
                <w:sz w:val="42"/>
              </w:rPr>
              <w:t>80</w:t>
            </w:r>
          </w:p>
        </w:tc>
        <w:tc>
          <w:tcPr>
            <w:tcW w:w="2781" w:type="dxa"/>
          </w:tcPr>
          <w:p>
            <w:pPr>
              <w:pStyle w:val="TableParagraph"/>
              <w:spacing w:before="208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spacing w:before="208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547" w:type="dxa"/>
          </w:tcPr>
          <w:p>
            <w:pPr>
              <w:pStyle w:val="TableParagraph"/>
              <w:ind w:left="29" w:right="373"/>
              <w:jc w:val="center"/>
              <w:rPr>
                <w:sz w:val="42"/>
              </w:rPr>
            </w:pPr>
            <w:r>
              <w:rPr>
                <w:sz w:val="42"/>
              </w:rPr>
              <w:t>厕所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790"/>
              <w:rPr>
                <w:sz w:val="42"/>
              </w:rPr>
            </w:pPr>
            <w:r>
              <w:rPr>
                <w:sz w:val="42"/>
              </w:rPr>
              <w:t>10</w:t>
            </w:r>
          </w:p>
        </w:tc>
        <w:tc>
          <w:tcPr>
            <w:tcW w:w="2781" w:type="dxa"/>
          </w:tcPr>
          <w:p>
            <w:pPr>
              <w:pStyle w:val="TableParagraph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547" w:type="dxa"/>
          </w:tcPr>
          <w:p>
            <w:pPr>
              <w:pStyle w:val="TableParagraph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生活区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790"/>
              <w:rPr>
                <w:sz w:val="42"/>
              </w:rPr>
            </w:pPr>
            <w:r>
              <w:rPr>
                <w:sz w:val="42"/>
              </w:rPr>
              <w:t>30</w:t>
            </w:r>
          </w:p>
        </w:tc>
        <w:tc>
          <w:tcPr>
            <w:tcW w:w="2781" w:type="dxa"/>
          </w:tcPr>
          <w:p>
            <w:pPr>
              <w:pStyle w:val="TableParagraph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547" w:type="dxa"/>
          </w:tcPr>
          <w:p>
            <w:pPr>
              <w:pStyle w:val="TableParagraph"/>
              <w:spacing w:before="207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供电所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207"/>
              <w:ind w:left="790"/>
              <w:rPr>
                <w:sz w:val="42"/>
              </w:rPr>
            </w:pPr>
            <w:r>
              <w:rPr>
                <w:sz w:val="42"/>
              </w:rPr>
              <w:t>20</w:t>
            </w:r>
          </w:p>
        </w:tc>
        <w:tc>
          <w:tcPr>
            <w:tcW w:w="2781" w:type="dxa"/>
          </w:tcPr>
          <w:p>
            <w:pPr>
              <w:pStyle w:val="TableParagraph"/>
              <w:spacing w:before="207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spacing w:before="207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547" w:type="dxa"/>
          </w:tcPr>
          <w:p>
            <w:pPr>
              <w:pStyle w:val="TableParagraph"/>
              <w:ind w:left="33" w:right="373"/>
              <w:jc w:val="center"/>
              <w:rPr>
                <w:sz w:val="42"/>
              </w:rPr>
            </w:pPr>
            <w:r>
              <w:rPr>
                <w:sz w:val="42"/>
              </w:rPr>
              <w:t>现场办公室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790"/>
              <w:rPr>
                <w:sz w:val="42"/>
              </w:rPr>
            </w:pPr>
            <w:r>
              <w:rPr>
                <w:sz w:val="42"/>
              </w:rPr>
              <w:t>30</w:t>
            </w:r>
          </w:p>
        </w:tc>
        <w:tc>
          <w:tcPr>
            <w:tcW w:w="2781" w:type="dxa"/>
          </w:tcPr>
          <w:p>
            <w:pPr>
              <w:pStyle w:val="TableParagraph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547" w:type="dxa"/>
          </w:tcPr>
          <w:p>
            <w:pPr>
              <w:pStyle w:val="TableParagraph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加工区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790"/>
              <w:rPr>
                <w:sz w:val="42"/>
              </w:rPr>
            </w:pPr>
            <w:r>
              <w:rPr>
                <w:sz w:val="42"/>
              </w:rPr>
              <w:t>30</w:t>
            </w:r>
          </w:p>
        </w:tc>
        <w:tc>
          <w:tcPr>
            <w:tcW w:w="2781" w:type="dxa"/>
          </w:tcPr>
          <w:p>
            <w:pPr>
              <w:pStyle w:val="TableParagraph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547" w:type="dxa"/>
          </w:tcPr>
          <w:p>
            <w:pPr>
              <w:pStyle w:val="TableParagraph"/>
              <w:spacing w:before="208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供水点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before="208"/>
              <w:ind w:left="790"/>
              <w:rPr>
                <w:sz w:val="42"/>
              </w:rPr>
            </w:pPr>
            <w:r>
              <w:rPr>
                <w:sz w:val="42"/>
              </w:rPr>
              <w:t>10</w:t>
            </w:r>
          </w:p>
        </w:tc>
        <w:tc>
          <w:tcPr>
            <w:tcW w:w="2781" w:type="dxa"/>
          </w:tcPr>
          <w:p>
            <w:pPr>
              <w:pStyle w:val="TableParagraph"/>
              <w:spacing w:before="208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spacing w:before="208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547" w:type="dxa"/>
          </w:tcPr>
          <w:p>
            <w:pPr>
              <w:pStyle w:val="TableParagraph"/>
              <w:ind w:left="29" w:right="373"/>
              <w:jc w:val="center"/>
              <w:rPr>
                <w:sz w:val="42"/>
              </w:rPr>
            </w:pPr>
            <w:r>
              <w:rPr>
                <w:sz w:val="42"/>
              </w:rPr>
              <w:t>施工便道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ind w:left="790"/>
              <w:rPr>
                <w:sz w:val="42"/>
              </w:rPr>
            </w:pPr>
            <w:r>
              <w:rPr>
                <w:sz w:val="42"/>
              </w:rPr>
              <w:t>60</w:t>
            </w:r>
          </w:p>
        </w:tc>
        <w:tc>
          <w:tcPr>
            <w:tcW w:w="2781" w:type="dxa"/>
          </w:tcPr>
          <w:p>
            <w:pPr>
              <w:pStyle w:val="TableParagraph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  <w:tr>
        <w:tblPrEx>
          <w:tblW w:w="0" w:type="auto"/>
          <w:jc w:val="left"/>
          <w:tblInd w:w="1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5"/>
          <w:jc w:val="left"/>
        </w:trPr>
        <w:tc>
          <w:tcPr>
            <w:tcW w:w="2547" w:type="dxa"/>
          </w:tcPr>
          <w:p>
            <w:pPr>
              <w:pStyle w:val="TableParagraph"/>
              <w:spacing w:line="459" w:lineRule="exact"/>
              <w:ind w:left="27" w:right="373"/>
              <w:jc w:val="center"/>
              <w:rPr>
                <w:sz w:val="42"/>
              </w:rPr>
            </w:pPr>
            <w:r>
              <w:rPr>
                <w:sz w:val="42"/>
              </w:rPr>
              <w:t>消防室</w:t>
            </w:r>
          </w:p>
        </w:tc>
        <w:tc>
          <w:tcPr>
            <w:tcW w:w="918" w:type="dxa"/>
          </w:tcPr>
          <w:p>
            <w:pPr>
              <w:pStyle w:val="TableParagraph"/>
              <w:spacing w:before="0"/>
              <w:rPr>
                <w:rFonts w:ascii="Times New Roman"/>
                <w:sz w:val="42"/>
              </w:rPr>
            </w:pPr>
          </w:p>
        </w:tc>
        <w:tc>
          <w:tcPr>
            <w:tcW w:w="3197" w:type="dxa"/>
          </w:tcPr>
          <w:p>
            <w:pPr>
              <w:pStyle w:val="TableParagraph"/>
              <w:spacing w:line="459" w:lineRule="exact"/>
              <w:ind w:left="790"/>
              <w:rPr>
                <w:sz w:val="42"/>
              </w:rPr>
            </w:pPr>
            <w:r>
              <w:rPr>
                <w:sz w:val="42"/>
              </w:rPr>
              <w:t>30</w:t>
            </w:r>
          </w:p>
        </w:tc>
        <w:tc>
          <w:tcPr>
            <w:tcW w:w="2781" w:type="dxa"/>
          </w:tcPr>
          <w:p>
            <w:pPr>
              <w:pStyle w:val="TableParagraph"/>
              <w:spacing w:line="459" w:lineRule="exact"/>
              <w:ind w:left="564"/>
              <w:rPr>
                <w:sz w:val="42"/>
              </w:rPr>
            </w:pPr>
            <w:r>
              <w:rPr>
                <w:sz w:val="42"/>
              </w:rPr>
              <w:t>现场内</w:t>
            </w:r>
          </w:p>
        </w:tc>
        <w:tc>
          <w:tcPr>
            <w:tcW w:w="2688" w:type="dxa"/>
          </w:tcPr>
          <w:p>
            <w:pPr>
              <w:pStyle w:val="TableParagraph"/>
              <w:spacing w:line="459" w:lineRule="exact"/>
              <w:ind w:right="46"/>
              <w:jc w:val="right"/>
              <w:rPr>
                <w:sz w:val="42"/>
              </w:rPr>
            </w:pPr>
            <w:r>
              <w:rPr>
                <w:sz w:val="42"/>
              </w:rPr>
              <w:t>全部工程</w:t>
            </w:r>
          </w:p>
        </w:tc>
      </w:tr>
    </w:tbl>
    <w:p>
      <w:pPr>
        <w:pStyle w:val="BodyText"/>
        <w:ind w:left="0" w:firstLine="0"/>
        <w:rPr>
          <w:rFonts w:ascii="仿宋"/>
          <w:b/>
        </w:rPr>
      </w:pPr>
    </w:p>
    <w:p>
      <w:pPr>
        <w:pStyle w:val="BodyText"/>
        <w:ind w:left="0" w:firstLine="0"/>
        <w:rPr>
          <w:rFonts w:ascii="仿宋"/>
          <w:b/>
        </w:rPr>
      </w:pPr>
    </w:p>
    <w:p>
      <w:pPr>
        <w:pStyle w:val="BodyText"/>
        <w:spacing w:before="346" w:line="417" w:lineRule="auto"/>
        <w:ind w:right="580" w:firstLine="1051"/>
      </w:pPr>
      <w:r>
        <w:t>说明：设现场办公区，负责工程的整体规划，划分出工人的生活区、施工便道出入口有门卫，设立有消防、供电、供水、卫生、加工车间等设施。</w:t>
      </w:r>
    </w:p>
    <w:p>
      <w:pPr>
        <w:spacing w:after="0" w:line="417" w:lineRule="auto"/>
        <w:sectPr>
          <w:pgSz w:w="17860" w:h="25260"/>
          <w:pgMar w:top="1960" w:right="1940" w:bottom="280" w:left="1580" w:header="708" w:footer="708"/>
          <w:pgNumType w:start="6"/>
          <w:cols w:space="708"/>
        </w:sectPr>
      </w:pPr>
    </w:p>
    <w:p>
      <w:pPr>
        <w:pStyle w:val="BodyText"/>
        <w:spacing w:before="17"/>
        <w:ind w:left="1959" w:firstLine="0"/>
      </w:pPr>
      <w:r>
        <w:t>3、施工准备:</w:t>
      </w:r>
    </w:p>
    <w:p>
      <w:pPr>
        <w:pStyle w:val="ListParagraph"/>
        <w:numPr>
          <w:ilvl w:val="1"/>
          <w:numId w:val="47"/>
        </w:numPr>
        <w:tabs>
          <w:tab w:val="left" w:pos="2593"/>
        </w:tabs>
        <w:spacing w:before="207" w:after="0" w:line="240" w:lineRule="auto"/>
        <w:ind w:left="2593" w:right="0" w:hanging="634"/>
        <w:jc w:val="left"/>
        <w:rPr>
          <w:sz w:val="42"/>
        </w:rPr>
      </w:pPr>
      <w:r>
        <w:rPr>
          <w:sz w:val="42"/>
        </w:rPr>
        <w:t>、准备工作</w:t>
      </w:r>
    </w:p>
    <w:p>
      <w:pPr>
        <w:pStyle w:val="BodyText"/>
        <w:spacing w:before="211" w:line="333" w:lineRule="auto"/>
        <w:ind w:right="584"/>
        <w:jc w:val="both"/>
      </w:pPr>
      <w:r>
        <w:t>我公司在投标阶段，已对工程的性质、内容、技术要求、周边环境、地质情况等做了认真、充分的研究，并为一旦中标后的进场施工做准备。</w:t>
      </w:r>
    </w:p>
    <w:p>
      <w:pPr>
        <w:pStyle w:val="ListParagraph"/>
        <w:numPr>
          <w:ilvl w:val="1"/>
          <w:numId w:val="47"/>
        </w:numPr>
        <w:tabs>
          <w:tab w:val="left" w:pos="2698"/>
        </w:tabs>
        <w:spacing w:before="6" w:after="0" w:line="240" w:lineRule="auto"/>
        <w:ind w:left="2697" w:right="0" w:hanging="739"/>
        <w:jc w:val="both"/>
        <w:rPr>
          <w:sz w:val="42"/>
        </w:rPr>
      </w:pPr>
      <w:r>
        <w:rPr>
          <w:sz w:val="42"/>
        </w:rPr>
        <w:t>技术准备工作</w:t>
      </w:r>
    </w:p>
    <w:p>
      <w:pPr>
        <w:pStyle w:val="BodyText"/>
        <w:spacing w:before="214" w:line="333" w:lineRule="auto"/>
        <w:ind w:right="745"/>
      </w:pPr>
      <w:r>
        <w:rPr>
          <w:spacing w:val="-14"/>
        </w:rPr>
        <w:t>落实项目部人选，组建强有力的项目经理部，并落实参与本项目</w:t>
      </w:r>
      <w:r>
        <w:t>施工的人员。</w:t>
      </w:r>
    </w:p>
    <w:p>
      <w:pPr>
        <w:pStyle w:val="BodyText"/>
        <w:spacing w:before="2" w:line="336" w:lineRule="auto"/>
        <w:ind w:left="1959" w:right="3534" w:firstLine="0"/>
      </w:pPr>
      <w:r>
        <w:t>认真审阅施工图纸，参加设计交底和图纸会审。复测控制桩并制定测量方案。</w:t>
      </w:r>
    </w:p>
    <w:p>
      <w:pPr>
        <w:pStyle w:val="BodyText"/>
        <w:spacing w:line="333" w:lineRule="auto"/>
        <w:ind w:right="536"/>
      </w:pPr>
      <w:r>
        <w:rPr>
          <w:spacing w:val="-10"/>
        </w:rPr>
        <w:t>组织工程技术人员熟悉施工图纸，编制详细的施工方案，进行技</w:t>
      </w:r>
      <w:r>
        <w:rPr>
          <w:spacing w:val="-21"/>
        </w:rPr>
        <w:t>术、安全、防火培训，做好技术、安全交底，安排好有关的试验工作。</w:t>
      </w:r>
    </w:p>
    <w:p>
      <w:pPr>
        <w:pStyle w:val="ListParagraph"/>
        <w:numPr>
          <w:ilvl w:val="1"/>
          <w:numId w:val="47"/>
        </w:numPr>
        <w:tabs>
          <w:tab w:val="left" w:pos="2698"/>
        </w:tabs>
        <w:spacing w:before="0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施工准备工作</w:t>
      </w:r>
    </w:p>
    <w:p>
      <w:pPr>
        <w:pStyle w:val="BodyText"/>
        <w:spacing w:before="211" w:line="333" w:lineRule="auto"/>
        <w:ind w:left="1959" w:right="741" w:firstLine="0"/>
      </w:pPr>
      <w:r>
        <w:t>全面检修进场施工的机械设备，以保证施工前设备运转正常。</w:t>
      </w:r>
      <w:r>
        <w:rPr>
          <w:spacing w:val="-15"/>
        </w:rPr>
        <w:t>编制施工计划，安排施工顺序，协调各工序及各专业间的配合工</w:t>
      </w:r>
    </w:p>
    <w:p>
      <w:pPr>
        <w:pStyle w:val="BodyText"/>
        <w:spacing w:before="6"/>
        <w:ind w:firstLine="0"/>
      </w:pPr>
      <w:r>
        <w:t>作。</w:t>
      </w:r>
    </w:p>
    <w:p>
      <w:pPr>
        <w:pStyle w:val="BodyText"/>
        <w:spacing w:before="210"/>
        <w:ind w:left="1959" w:firstLine="0"/>
      </w:pPr>
      <w:r>
        <w:t>落实相应的专业施工队伍，并进行岗前培训和教育。</w:t>
      </w:r>
    </w:p>
    <w:p>
      <w:pPr>
        <w:pStyle w:val="BodyText"/>
        <w:spacing w:before="211" w:line="336" w:lineRule="auto"/>
        <w:ind w:right="584"/>
      </w:pPr>
      <w:r>
        <w:t>做好材料、成品、半成品和工艺设备等的计划安排工作，使之满足连续施工的要求。</w:t>
      </w:r>
    </w:p>
    <w:p>
      <w:pPr>
        <w:pStyle w:val="BodyText"/>
        <w:spacing w:line="333" w:lineRule="auto"/>
        <w:ind w:right="757"/>
      </w:pPr>
      <w:r>
        <w:rPr>
          <w:spacing w:val="-12"/>
        </w:rPr>
        <w:t>在全公司范围内进行宣传，使全体员工了解本项目的情况，一旦</w:t>
      </w:r>
      <w:r>
        <w:t>中标，公司能全力以赴，支持本工程的施工。</w:t>
      </w:r>
    </w:p>
    <w:p>
      <w:pPr>
        <w:pStyle w:val="ListParagraph"/>
        <w:numPr>
          <w:ilvl w:val="1"/>
          <w:numId w:val="47"/>
        </w:numPr>
        <w:tabs>
          <w:tab w:val="left" w:pos="2698"/>
        </w:tabs>
        <w:spacing w:before="0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现场准备工作</w:t>
      </w:r>
    </w:p>
    <w:p>
      <w:pPr>
        <w:pStyle w:val="BodyText"/>
        <w:spacing w:before="211" w:line="333" w:lineRule="auto"/>
        <w:ind w:right="584"/>
      </w:pPr>
      <w:r>
        <w:rPr>
          <w:spacing w:val="-1"/>
        </w:rPr>
        <w:t xml:space="preserve">若我公司中标，则立即进行现场准备工作；测设标高的控制网； </w:t>
      </w:r>
      <w:r>
        <w:rPr>
          <w:spacing w:val="-14"/>
        </w:rPr>
        <w:t>确定施工范围，设置施工围蔽，并在围蔽区内按拟定的施工方案进行施工部署和劳动力组织。</w:t>
      </w:r>
    </w:p>
    <w:p>
      <w:pPr>
        <w:pStyle w:val="Heading2"/>
        <w:spacing w:line="519" w:lineRule="exact"/>
      </w:pPr>
      <w:r>
        <w:t>五、工程主要内容</w:t>
      </w:r>
    </w:p>
    <w:p>
      <w:pPr>
        <w:pStyle w:val="ListParagraph"/>
        <w:numPr>
          <w:ilvl w:val="0"/>
          <w:numId w:val="46"/>
        </w:numPr>
        <w:tabs>
          <w:tab w:val="left" w:pos="2594"/>
        </w:tabs>
        <w:spacing w:before="225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二次管网管道、土建施工。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920" w:right="1940" w:bottom="280" w:left="1580" w:header="708" w:footer="708"/>
          <w:pgNumType w:start="7"/>
          <w:cols w:space="708"/>
        </w:sectPr>
      </w:pPr>
    </w:p>
    <w:p>
      <w:pPr>
        <w:pStyle w:val="ListParagraph"/>
        <w:numPr>
          <w:ilvl w:val="0"/>
          <w:numId w:val="46"/>
        </w:numPr>
        <w:tabs>
          <w:tab w:val="left" w:pos="2594"/>
        </w:tabs>
        <w:spacing w:before="20" w:after="0" w:line="417" w:lineRule="auto"/>
        <w:ind w:left="1120" w:right="582" w:firstLine="838"/>
        <w:jc w:val="left"/>
        <w:rPr>
          <w:sz w:val="42"/>
        </w:rPr>
      </w:pPr>
      <w:r>
        <w:rPr>
          <w:sz w:val="42"/>
        </w:rPr>
        <w:t>沟槽开挖、回填、夯实，管网敷设【管道安装、各种阀门及</w:t>
      </w:r>
      <w:r>
        <w:rPr>
          <w:spacing w:val="-16"/>
          <w:sz w:val="42"/>
        </w:rPr>
        <w:t>管件安装</w:t>
      </w:r>
      <w:r>
        <w:rPr>
          <w:sz w:val="42"/>
        </w:rPr>
        <w:t>（</w:t>
      </w:r>
      <w:r>
        <w:rPr>
          <w:spacing w:val="-15"/>
          <w:sz w:val="42"/>
        </w:rPr>
        <w:t>弯头、异径管、三通等</w:t>
      </w:r>
      <w:r>
        <w:rPr>
          <w:spacing w:val="-213"/>
          <w:sz w:val="42"/>
        </w:rPr>
        <w:t>）</w:t>
      </w:r>
      <w:r>
        <w:rPr>
          <w:spacing w:val="-18"/>
          <w:sz w:val="42"/>
        </w:rPr>
        <w:t>、管网支墩、支架制作及安装</w:t>
      </w:r>
      <w:r>
        <w:rPr>
          <w:sz w:val="42"/>
        </w:rPr>
        <w:t>（含基础</w:t>
      </w:r>
      <w:r>
        <w:rPr>
          <w:spacing w:val="-213"/>
          <w:sz w:val="42"/>
        </w:rPr>
        <w:t>）</w:t>
      </w:r>
      <w:r>
        <w:rPr>
          <w:spacing w:val="-17"/>
          <w:sz w:val="42"/>
        </w:rPr>
        <w:t>】，架空旧管道、支架及土建基础拆除以及冲突、妨碍新管道铺</w:t>
      </w:r>
      <w:r>
        <w:rPr>
          <w:sz w:val="42"/>
        </w:rPr>
        <w:t>设的旧管道、支架及土建基础等对已有热水管网的拆除和改造等工</w:t>
      </w:r>
      <w:r>
        <w:rPr>
          <w:w w:val="100"/>
          <w:sz w:val="42"/>
        </w:rPr>
        <w:t>作，井室开挖及制作（含井盖安装</w:t>
      </w:r>
      <w:r>
        <w:rPr>
          <w:spacing w:val="-189"/>
          <w:w w:val="100"/>
          <w:sz w:val="42"/>
        </w:rPr>
        <w:t>）</w:t>
      </w:r>
      <w:r>
        <w:rPr>
          <w:w w:val="100"/>
          <w:sz w:val="42"/>
        </w:rPr>
        <w:t>，操作平台制作，施工围挡及警</w:t>
      </w:r>
      <w:r>
        <w:rPr>
          <w:sz w:val="42"/>
        </w:rPr>
        <w:t>示或警告标志等安置，临时通道的搭建。</w:t>
      </w:r>
    </w:p>
    <w:p>
      <w:pPr>
        <w:pStyle w:val="ListParagraph"/>
        <w:numPr>
          <w:ilvl w:val="0"/>
          <w:numId w:val="46"/>
        </w:numPr>
        <w:tabs>
          <w:tab w:val="left" w:pos="2594"/>
        </w:tabs>
        <w:spacing w:before="0" w:after="0" w:line="494" w:lineRule="exact"/>
        <w:ind w:left="2594" w:right="0" w:hanging="635"/>
        <w:jc w:val="left"/>
        <w:rPr>
          <w:sz w:val="42"/>
        </w:rPr>
      </w:pPr>
      <w:r>
        <w:rPr>
          <w:sz w:val="42"/>
        </w:rPr>
        <w:t>施工垃圾外运</w:t>
      </w:r>
    </w:p>
    <w:p>
      <w:pPr>
        <w:pStyle w:val="Heading1"/>
        <w:spacing w:before="249"/>
        <w:ind w:left="4699"/>
      </w:pPr>
      <w:r>
        <w:t>第二节、工程要求及施工范围</w:t>
      </w:r>
    </w:p>
    <w:p>
      <w:pPr>
        <w:pStyle w:val="BodyText"/>
        <w:spacing w:before="11"/>
        <w:ind w:left="0" w:firstLine="0"/>
        <w:rPr>
          <w:b/>
          <w:sz w:val="40"/>
        </w:rPr>
      </w:pPr>
    </w:p>
    <w:p>
      <w:pPr>
        <w:pStyle w:val="Heading2"/>
        <w:spacing w:before="1"/>
      </w:pPr>
      <w:r>
        <w:t>技术要求</w:t>
      </w:r>
    </w:p>
    <w:p>
      <w:pPr>
        <w:pStyle w:val="BodyText"/>
        <w:spacing w:before="9"/>
        <w:ind w:left="0" w:firstLine="0"/>
        <w:rPr>
          <w:b/>
          <w:sz w:val="30"/>
        </w:rPr>
      </w:pPr>
    </w:p>
    <w:p>
      <w:pPr>
        <w:pStyle w:val="BodyText"/>
        <w:spacing w:line="417" w:lineRule="auto"/>
        <w:ind w:right="745"/>
      </w:pPr>
      <w:r>
        <w:t>1</w:t>
      </w:r>
      <w:r>
        <w:rPr>
          <w:spacing w:val="-5"/>
        </w:rPr>
        <w:t xml:space="preserve">、管道规格：小区热水管道：不同型号 </w:t>
      </w:r>
      <w:r>
        <w:t>Q235B</w:t>
      </w:r>
      <w:r>
        <w:rPr>
          <w:spacing w:val="-10"/>
        </w:rPr>
        <w:t xml:space="preserve"> 螺旋埋弧焊缝钢</w:t>
      </w:r>
      <w:r>
        <w:rPr>
          <w:spacing w:val="-27"/>
        </w:rPr>
        <w:t xml:space="preserve">管及钢 </w:t>
      </w:r>
      <w:r>
        <w:t>20</w:t>
      </w:r>
      <w:r>
        <w:rPr>
          <w:spacing w:val="-19"/>
        </w:rPr>
        <w:t xml:space="preserve"> 无缝钢管。</w:t>
      </w:r>
    </w:p>
    <w:p>
      <w:pPr>
        <w:pStyle w:val="BodyText"/>
        <w:spacing w:line="537" w:lineRule="exact"/>
        <w:ind w:left="1959" w:firstLine="0"/>
      </w:pPr>
      <w:r>
        <w:t>2、管道安装方式：直埋敷设及架空敷设。</w:t>
      </w:r>
    </w:p>
    <w:p>
      <w:pPr>
        <w:pStyle w:val="BodyText"/>
        <w:spacing w:before="1"/>
        <w:ind w:left="0" w:firstLine="0"/>
        <w:rPr>
          <w:sz w:val="31"/>
        </w:rPr>
      </w:pPr>
    </w:p>
    <w:p>
      <w:pPr>
        <w:pStyle w:val="BodyText"/>
        <w:spacing w:before="1" w:line="417" w:lineRule="auto"/>
        <w:ind w:right="755"/>
        <w:jc w:val="both"/>
      </w:pPr>
      <w:r>
        <w:t>3、管道保温：直埋管道保护层采用玻璃纤维增强塑料，普通聚</w:t>
      </w:r>
      <w:r>
        <w:rPr>
          <w:spacing w:val="-14"/>
        </w:rPr>
        <w:t>氨酯泡沫塑料；架空管道采用保护层采用玻璃纤维增强塑料，普通聚</w:t>
      </w:r>
      <w:r>
        <w:t>氨酯泡沫塑料。</w:t>
      </w:r>
    </w:p>
    <w:p>
      <w:pPr>
        <w:pStyle w:val="BodyText"/>
        <w:spacing w:line="537" w:lineRule="exact"/>
        <w:ind w:left="1959" w:firstLine="0"/>
      </w:pPr>
      <w:r>
        <w:t>4、管道设计压力：小区热水管网：1.6/1.0Mpa</w:t>
      </w:r>
    </w:p>
    <w:p>
      <w:pPr>
        <w:pStyle w:val="BodyText"/>
        <w:ind w:left="0" w:firstLine="0"/>
        <w:rPr>
          <w:sz w:val="40"/>
        </w:rPr>
      </w:pPr>
    </w:p>
    <w:p>
      <w:pPr>
        <w:pStyle w:val="BodyText"/>
        <w:spacing w:line="470" w:lineRule="auto"/>
        <w:ind w:left="1963" w:right="3128" w:hanging="4"/>
        <w:rPr>
          <w:b/>
        </w:rPr>
      </w:pPr>
      <w:r>
        <w:t>5</w:t>
      </w:r>
      <w:r>
        <w:rPr>
          <w:spacing w:val="-9"/>
        </w:rPr>
        <w:t xml:space="preserve">、热水供回水温度：供水为 </w:t>
      </w:r>
      <w:r>
        <w:t>70℃，</w:t>
      </w:r>
      <w:r>
        <w:rPr>
          <w:spacing w:val="-24"/>
        </w:rPr>
        <w:t xml:space="preserve">回水为 </w:t>
      </w:r>
      <w:r>
        <w:t>45℃</w:t>
      </w:r>
      <w:r>
        <w:rPr>
          <w:spacing w:val="-17"/>
        </w:rPr>
        <w:t>。</w:t>
      </w:r>
      <w:r>
        <w:rPr>
          <w:b/>
        </w:rPr>
        <w:t>施工范围</w:t>
      </w:r>
    </w:p>
    <w:p>
      <w:pPr>
        <w:pStyle w:val="BodyText"/>
        <w:spacing w:line="413" w:lineRule="exact"/>
        <w:ind w:left="1959" w:firstLine="0"/>
      </w:pPr>
      <w:r>
        <w:rPr>
          <w:w w:val="100"/>
        </w:rPr>
        <w:t>土建部分：供热管道的管沟、各井室开挖（含支管处</w:t>
      </w:r>
      <w:r>
        <w:rPr>
          <w:spacing w:val="-179"/>
          <w:w w:val="100"/>
        </w:rPr>
        <w:t>）</w:t>
      </w:r>
      <w:r>
        <w:rPr>
          <w:w w:val="100"/>
        </w:rPr>
        <w:t>，各种井</w:t>
      </w:r>
    </w:p>
    <w:p>
      <w:pPr>
        <w:pStyle w:val="BodyText"/>
        <w:spacing w:before="1"/>
        <w:ind w:left="0" w:firstLine="0"/>
        <w:rPr>
          <w:sz w:val="31"/>
        </w:rPr>
      </w:pPr>
    </w:p>
    <w:p>
      <w:pPr>
        <w:pStyle w:val="BodyText"/>
        <w:spacing w:line="417" w:lineRule="auto"/>
        <w:ind w:right="580" w:firstLine="0"/>
      </w:pPr>
      <w:r>
        <w:t>室（包括但不限于阀门井、泄水井等</w:t>
      </w:r>
      <w:r>
        <w:rPr>
          <w:spacing w:val="-189"/>
        </w:rPr>
        <w:t>）</w:t>
      </w:r>
      <w:r>
        <w:t>、滑动支墩、固定墩材料及制</w:t>
      </w:r>
      <w:r>
        <w:rPr>
          <w:spacing w:val="25"/>
        </w:rPr>
        <w:t>作，施工</w:t>
      </w:r>
      <w:r>
        <w:t>PVC</w:t>
      </w:r>
      <w:r>
        <w:rPr>
          <w:spacing w:val="-10"/>
        </w:rPr>
        <w:t xml:space="preserve"> 围挡、标志、夜间警示灯及安全设置，标志桩的购安， </w:t>
      </w:r>
      <w:r>
        <w:t>路面拆除及恢复，对妨碍施工（包括地下可能存在的、围墙等）</w:t>
      </w:r>
      <w:r>
        <w:rPr>
          <w:spacing w:val="-9"/>
        </w:rPr>
        <w:t>相关</w:t>
      </w:r>
    </w:p>
    <w:p>
      <w:pPr>
        <w:spacing w:after="0" w:line="417" w:lineRule="auto"/>
        <w:sectPr>
          <w:pgSz w:w="17860" w:h="25260"/>
          <w:pgMar w:top="1960" w:right="1940" w:bottom="280" w:left="1580" w:header="708" w:footer="708"/>
          <w:pgNumType w:start="8"/>
          <w:cols w:space="708"/>
        </w:sectPr>
      </w:pPr>
    </w:p>
    <w:p>
      <w:pPr>
        <w:pStyle w:val="BodyText"/>
        <w:spacing w:before="20" w:line="417" w:lineRule="auto"/>
        <w:ind w:right="525" w:firstLine="0"/>
      </w:pPr>
      <w:r>
        <w:rPr>
          <w:spacing w:val="-21"/>
        </w:rPr>
        <w:t>设施的防护、拆除和恢复，架空旧管网支架及土建基础拆除以及冲突、</w:t>
      </w:r>
      <w:r>
        <w:rPr>
          <w:spacing w:val="-12"/>
        </w:rPr>
        <w:t>妨碍新管道铺设的旧管道、支架及土建基础等拆除，土方及垃圾外运至合适地点（堆放场地点由承包人自已负责</w:t>
      </w:r>
      <w:r>
        <w:rPr>
          <w:spacing w:val="-186"/>
        </w:rPr>
        <w:t>）</w:t>
      </w:r>
      <w:r>
        <w:t>。涉及工程的各种相关手续及相关问题的协调，产生的相关费用自行承担。</w:t>
      </w:r>
    </w:p>
    <w:p>
      <w:pPr>
        <w:pStyle w:val="BodyText"/>
        <w:spacing w:line="417" w:lineRule="auto"/>
        <w:ind w:right="580"/>
      </w:pPr>
      <w:r>
        <w:t>安装部分：室外热水管道的安装（</w:t>
      </w:r>
      <w:r>
        <w:rPr>
          <w:spacing w:val="-1"/>
        </w:rPr>
        <w:t>包括井壁密封、各种型号的管</w:t>
      </w:r>
      <w:r>
        <w:t>道、管件、阀门、压力表、温度计等</w:t>
      </w:r>
      <w:r>
        <w:rPr>
          <w:spacing w:val="-189"/>
        </w:rPr>
        <w:t>）</w:t>
      </w:r>
      <w:r>
        <w:t>、打压、冲洗等工作，业主提</w:t>
      </w:r>
      <w:r>
        <w:rPr>
          <w:spacing w:val="-1"/>
        </w:rPr>
        <w:t>供的材料和设备的卸车、运输、吊装、二次搬运、保管，施工剩余材</w:t>
      </w:r>
      <w:r>
        <w:rPr>
          <w:spacing w:val="-13"/>
        </w:rPr>
        <w:t>料外运，砂采购及回填，拆除物资运至招标人指定地点并卸车及负责</w:t>
      </w:r>
      <w:r>
        <w:rPr>
          <w:spacing w:val="-14"/>
        </w:rPr>
        <w:t>办理退库手续，施工及生活用的水、电源，水冲洗、打压、探伤、调</w:t>
      </w:r>
      <w:r>
        <w:rPr>
          <w:spacing w:val="-1"/>
        </w:rPr>
        <w:t>试工作。对已有架空旧管网、支架拆除以及冲突、妨碍新管道铺设的</w:t>
      </w:r>
      <w:r>
        <w:t>旧管道、支架等拆除、改造等工作。</w:t>
      </w:r>
    </w:p>
    <w:p>
      <w:pPr>
        <w:pStyle w:val="BodyText"/>
        <w:tabs>
          <w:tab w:val="left" w:pos="11000"/>
        </w:tabs>
        <w:spacing w:before="112" w:line="415" w:lineRule="auto"/>
        <w:ind w:left="1959" w:right="1231" w:firstLine="3"/>
      </w:pPr>
      <w:r>
        <w:t>规范和标</w:t>
      </w:r>
      <w:r>
        <w:rPr>
          <w:spacing w:val="3"/>
        </w:rPr>
        <w:t>准</w:t>
      </w:r>
      <w:r>
        <w:t>（如出现标准不一致的情况，以标准高者为准） (1)城镇供热管网工程施工及验收规范</w:t>
        <w:tab/>
      </w:r>
      <w:r>
        <w:rPr>
          <w:spacing w:val="-1"/>
        </w:rPr>
        <w:t>CJJ28-2014</w:t>
      </w:r>
    </w:p>
    <w:p>
      <w:pPr>
        <w:pStyle w:val="ListParagraph"/>
        <w:numPr>
          <w:ilvl w:val="0"/>
          <w:numId w:val="45"/>
        </w:numPr>
        <w:tabs>
          <w:tab w:val="left" w:pos="2622"/>
          <w:tab w:val="left" w:pos="11660"/>
        </w:tabs>
        <w:spacing w:before="7" w:after="0" w:line="417" w:lineRule="auto"/>
        <w:ind w:left="1120" w:right="751" w:firstLine="838"/>
        <w:jc w:val="both"/>
        <w:rPr>
          <w:sz w:val="42"/>
        </w:rPr>
      </w:pPr>
      <w:r>
        <w:rPr>
          <w:sz w:val="42"/>
        </w:rPr>
        <w:t>建筑地基基础工程施工质量验收规范</w:t>
        <w:tab/>
        <w:t>GB50202－ 2002</w:t>
      </w:r>
    </w:p>
    <w:p>
      <w:pPr>
        <w:pStyle w:val="ListParagraph"/>
        <w:numPr>
          <w:ilvl w:val="0"/>
          <w:numId w:val="45"/>
        </w:numPr>
        <w:tabs>
          <w:tab w:val="left" w:pos="2593"/>
          <w:tab w:val="left" w:pos="11003"/>
        </w:tabs>
        <w:spacing w:before="0" w:after="0" w:line="537" w:lineRule="exact"/>
        <w:ind w:left="2593" w:right="0" w:hanging="634"/>
        <w:jc w:val="both"/>
        <w:rPr>
          <w:sz w:val="42"/>
        </w:rPr>
      </w:pPr>
      <w:r>
        <w:rPr>
          <w:sz w:val="42"/>
        </w:rPr>
        <w:t>建筑地基处理技术规范</w:t>
        <w:tab/>
        <w:t>JGJ79-2002</w:t>
      </w:r>
    </w:p>
    <w:p>
      <w:pPr>
        <w:pStyle w:val="BodyText"/>
        <w:spacing w:before="1"/>
        <w:ind w:left="0" w:firstLine="0"/>
        <w:rPr>
          <w:sz w:val="31"/>
        </w:rPr>
      </w:pPr>
    </w:p>
    <w:p>
      <w:pPr>
        <w:pStyle w:val="ListParagraph"/>
        <w:numPr>
          <w:ilvl w:val="0"/>
          <w:numId w:val="45"/>
        </w:numPr>
        <w:tabs>
          <w:tab w:val="left" w:pos="2593"/>
          <w:tab w:val="left" w:pos="11000"/>
        </w:tabs>
        <w:spacing w:before="0" w:after="0" w:line="417" w:lineRule="auto"/>
        <w:ind w:left="1959" w:right="809" w:firstLine="0"/>
        <w:jc w:val="both"/>
        <w:rPr>
          <w:sz w:val="42"/>
        </w:rPr>
      </w:pPr>
      <w:r>
        <w:rPr>
          <w:sz w:val="42"/>
        </w:rPr>
        <w:t>钢结构工程施工质量验收规范</w:t>
        <w:tab/>
      </w:r>
      <w:r>
        <w:rPr>
          <w:spacing w:val="-2"/>
          <w:sz w:val="42"/>
        </w:rPr>
        <w:t xml:space="preserve">GB50205-2002 </w:t>
      </w:r>
      <w:r>
        <w:rPr>
          <w:sz w:val="42"/>
        </w:rPr>
        <w:t xml:space="preserve">(5)混凝土结构工程施工质量验收规范      </w:t>
      </w:r>
      <w:r>
        <w:rPr>
          <w:spacing w:val="25"/>
          <w:sz w:val="42"/>
        </w:rPr>
        <w:t xml:space="preserve"> </w:t>
      </w:r>
      <w:r>
        <w:rPr>
          <w:spacing w:val="-2"/>
          <w:sz w:val="42"/>
        </w:rPr>
        <w:t xml:space="preserve">GB50204-2002 </w:t>
      </w:r>
      <w:r>
        <w:rPr>
          <w:sz w:val="42"/>
        </w:rPr>
        <w:t>(6)砖石工程施工及验收规范</w:t>
        <w:tab/>
        <w:t>GBJ203-83</w:t>
      </w:r>
    </w:p>
    <w:p>
      <w:pPr>
        <w:pStyle w:val="ListParagraph"/>
        <w:numPr>
          <w:ilvl w:val="0"/>
          <w:numId w:val="44"/>
        </w:numPr>
        <w:tabs>
          <w:tab w:val="left" w:pos="2619"/>
          <w:tab w:val="left" w:pos="11374"/>
        </w:tabs>
        <w:spacing w:before="0" w:after="0" w:line="417" w:lineRule="auto"/>
        <w:ind w:left="1120" w:right="747" w:firstLine="838"/>
        <w:jc w:val="both"/>
        <w:rPr>
          <w:sz w:val="42"/>
        </w:rPr>
      </w:pPr>
      <w:r>
        <w:rPr>
          <w:sz w:val="42"/>
        </w:rPr>
        <w:t>建筑地面工程施工质量验收规范</w:t>
        <w:tab/>
        <w:t xml:space="preserve">GB50209 </w:t>
      </w:r>
      <w:r>
        <w:rPr>
          <w:spacing w:val="-16"/>
          <w:sz w:val="42"/>
        </w:rPr>
        <w:t xml:space="preserve">－ </w:t>
      </w:r>
      <w:r>
        <w:rPr>
          <w:sz w:val="42"/>
        </w:rPr>
        <w:t>2002</w:t>
      </w:r>
    </w:p>
    <w:p>
      <w:pPr>
        <w:pStyle w:val="ListParagraph"/>
        <w:numPr>
          <w:ilvl w:val="0"/>
          <w:numId w:val="44"/>
        </w:numPr>
        <w:tabs>
          <w:tab w:val="left" w:pos="2622"/>
          <w:tab w:val="left" w:pos="11597"/>
        </w:tabs>
        <w:spacing w:before="0" w:after="0" w:line="537" w:lineRule="exact"/>
        <w:ind w:left="2621" w:right="0" w:hanging="663"/>
        <w:jc w:val="both"/>
        <w:rPr>
          <w:sz w:val="42"/>
        </w:rPr>
      </w:pPr>
      <w:r>
        <w:rPr>
          <w:sz w:val="42"/>
        </w:rPr>
        <w:t>建筑工程施工质量验收统一标准</w:t>
        <w:tab/>
        <w:t>GB50300</w:t>
      </w:r>
      <w:r>
        <w:rPr>
          <w:spacing w:val="-121"/>
          <w:sz w:val="42"/>
        </w:rPr>
        <w:t xml:space="preserve"> </w:t>
      </w:r>
      <w:r>
        <w:rPr>
          <w:sz w:val="42"/>
        </w:rPr>
        <w:t>－</w:t>
      </w:r>
    </w:p>
    <w:p>
      <w:pPr>
        <w:spacing w:after="0" w:line="537" w:lineRule="exact"/>
        <w:jc w:val="both"/>
        <w:rPr>
          <w:sz w:val="42"/>
        </w:rPr>
        <w:sectPr>
          <w:pgSz w:w="17860" w:h="25260"/>
          <w:pgMar w:top="1960" w:right="1940" w:bottom="280" w:left="1580" w:header="708" w:footer="708"/>
          <w:pgNumType w:start="9"/>
          <w:cols w:space="708"/>
        </w:sectPr>
      </w:pPr>
    </w:p>
    <w:p>
      <w:pPr>
        <w:pStyle w:val="BodyText"/>
        <w:spacing w:before="20"/>
        <w:ind w:firstLine="0"/>
      </w:pPr>
      <w:r>
        <w:t>2001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7" w:after="1"/>
        <w:ind w:left="0" w:firstLine="0"/>
        <w:rPr>
          <w:sz w:val="15"/>
        </w:rPr>
      </w:pPr>
    </w:p>
    <w:tbl>
      <w:tblPr>
        <w:tblStyle w:val="TableNormal1"/>
        <w:tblW w:w="0" w:type="auto"/>
        <w:jc w:val="left"/>
        <w:tblInd w:w="1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7"/>
        <w:gridCol w:w="3299"/>
      </w:tblGrid>
      <w:tr>
        <w:tblPrEx>
          <w:tblW w:w="0" w:type="auto"/>
          <w:jc w:val="left"/>
          <w:tblInd w:w="19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8147" w:type="dxa"/>
          </w:tcPr>
          <w:p>
            <w:pPr>
              <w:pStyle w:val="TableParagraph"/>
              <w:spacing w:before="0"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(9)混凝土结构工程施工质量验收规范</w:t>
            </w:r>
          </w:p>
        </w:tc>
        <w:tc>
          <w:tcPr>
            <w:tcW w:w="3299" w:type="dxa"/>
          </w:tcPr>
          <w:p>
            <w:pPr>
              <w:pStyle w:val="TableParagraph"/>
              <w:spacing w:before="0" w:line="480" w:lineRule="exact"/>
              <w:ind w:left="515"/>
              <w:rPr>
                <w:sz w:val="42"/>
              </w:rPr>
            </w:pPr>
            <w:r>
              <w:rPr>
                <w:sz w:val="42"/>
              </w:rPr>
              <w:t>GB50204－2002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147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(10)混凝土质量控制标准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/>
              <w:ind w:left="524"/>
              <w:rPr>
                <w:sz w:val="42"/>
              </w:rPr>
            </w:pPr>
            <w:r>
              <w:rPr>
                <w:sz w:val="42"/>
              </w:rPr>
              <w:t>GB50164-2011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147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(11)混凝土强度检验评定标准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/>
              <w:ind w:left="524"/>
              <w:rPr>
                <w:sz w:val="42"/>
              </w:rPr>
            </w:pPr>
            <w:r>
              <w:rPr>
                <w:sz w:val="42"/>
              </w:rPr>
              <w:t>GBJ107-2010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147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(12)建筑施工安全检查评分标准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/>
              <w:ind w:left="520"/>
              <w:rPr>
                <w:sz w:val="42"/>
              </w:rPr>
            </w:pPr>
            <w:r>
              <w:rPr>
                <w:sz w:val="42"/>
              </w:rPr>
              <w:t>JGJ59-99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147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(13)建筑机械使用安全技术规程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/>
              <w:ind w:left="520"/>
              <w:rPr>
                <w:sz w:val="42"/>
              </w:rPr>
            </w:pPr>
            <w:r>
              <w:rPr>
                <w:sz w:val="42"/>
              </w:rPr>
              <w:t>JGJ33-2001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147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(14)施工现场临时用电安全技术规范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/>
              <w:ind w:left="521"/>
              <w:rPr>
                <w:sz w:val="42"/>
              </w:rPr>
            </w:pPr>
            <w:r>
              <w:rPr>
                <w:sz w:val="42"/>
              </w:rPr>
              <w:t>JGJ46-2005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147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(15)建设工程施工现场供用电安全规范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/>
              <w:ind w:left="517"/>
              <w:rPr>
                <w:sz w:val="42"/>
              </w:rPr>
            </w:pPr>
            <w:r>
              <w:rPr>
                <w:sz w:val="42"/>
              </w:rPr>
              <w:t>GB50194-2004</w:t>
            </w:r>
          </w:p>
        </w:tc>
      </w:tr>
      <w:tr>
        <w:tblPrEx>
          <w:tblW w:w="0" w:type="auto"/>
          <w:jc w:val="left"/>
          <w:tblInd w:w="19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8147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(16)工业金属管道工程施工质量验收规范</w:t>
            </w:r>
          </w:p>
        </w:tc>
        <w:tc>
          <w:tcPr>
            <w:tcW w:w="3299" w:type="dxa"/>
          </w:tcPr>
          <w:p>
            <w:pPr>
              <w:pStyle w:val="TableParagraph"/>
              <w:spacing w:before="199" w:line="459" w:lineRule="exact"/>
              <w:ind w:left="517"/>
              <w:rPr>
                <w:sz w:val="42"/>
              </w:rPr>
            </w:pPr>
            <w:r>
              <w:rPr>
                <w:sz w:val="42"/>
              </w:rPr>
              <w:t>GB50184-2011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200" w:after="0" w:line="417" w:lineRule="auto"/>
        <w:ind w:left="1120" w:right="3534" w:firstLine="838"/>
        <w:jc w:val="left"/>
        <w:rPr>
          <w:sz w:val="42"/>
        </w:rPr>
      </w:pPr>
      <w:r>
        <w:rPr>
          <w:spacing w:val="-1"/>
          <w:sz w:val="42"/>
        </w:rPr>
        <w:t>工业设备及管道绝热工程质量检验评定标准</w:t>
      </w:r>
      <w:r>
        <w:rPr>
          <w:sz w:val="42"/>
        </w:rPr>
        <w:t>GB50185-2010</w:t>
      </w: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0" w:after="0" w:line="417" w:lineRule="auto"/>
        <w:ind w:left="1120" w:right="4796" w:firstLine="838"/>
        <w:jc w:val="left"/>
        <w:rPr>
          <w:sz w:val="42"/>
        </w:rPr>
      </w:pPr>
      <w:r>
        <w:rPr>
          <w:spacing w:val="-2"/>
          <w:sz w:val="42"/>
        </w:rPr>
        <w:t>工业安装工程质量检验评定统一标准</w:t>
      </w:r>
      <w:r>
        <w:rPr>
          <w:sz w:val="42"/>
        </w:rPr>
        <w:t>GB50252-2010</w:t>
      </w: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0" w:after="0" w:line="417" w:lineRule="auto"/>
        <w:ind w:left="1120" w:right="5217" w:firstLine="838"/>
        <w:jc w:val="left"/>
        <w:rPr>
          <w:sz w:val="42"/>
        </w:rPr>
      </w:pPr>
      <w:r>
        <w:rPr>
          <w:spacing w:val="-2"/>
          <w:sz w:val="42"/>
        </w:rPr>
        <w:t>工业设备及管道绝热工程施工规范</w:t>
      </w:r>
      <w:r>
        <w:rPr>
          <w:sz w:val="42"/>
        </w:rPr>
        <w:t>GB50126-2008</w:t>
      </w: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0" w:after="0" w:line="417" w:lineRule="auto"/>
        <w:ind w:left="1120" w:right="6481" w:firstLine="838"/>
        <w:jc w:val="left"/>
        <w:rPr>
          <w:sz w:val="42"/>
        </w:rPr>
      </w:pPr>
      <w:r>
        <w:rPr>
          <w:spacing w:val="-2"/>
          <w:sz w:val="42"/>
        </w:rPr>
        <w:t>工业金属管道工程施工规范</w:t>
      </w:r>
      <w:r>
        <w:rPr>
          <w:sz w:val="42"/>
        </w:rPr>
        <w:t>GB50235-2010</w:t>
      </w: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0" w:after="0" w:line="417" w:lineRule="auto"/>
        <w:ind w:left="1120" w:right="4375" w:firstLine="838"/>
        <w:jc w:val="left"/>
        <w:rPr>
          <w:sz w:val="42"/>
        </w:rPr>
      </w:pPr>
      <w:r>
        <w:rPr>
          <w:spacing w:val="-1"/>
          <w:sz w:val="42"/>
        </w:rPr>
        <w:t>现场设备、工业管道焊接工程施工规范</w:t>
      </w:r>
      <w:r>
        <w:rPr>
          <w:sz w:val="42"/>
        </w:rPr>
        <w:t>GB50236-2011</w:t>
      </w: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0" w:after="0" w:line="417" w:lineRule="auto"/>
        <w:ind w:left="1120" w:right="3111" w:firstLine="838"/>
        <w:jc w:val="left"/>
        <w:rPr>
          <w:sz w:val="42"/>
        </w:rPr>
      </w:pPr>
      <w:r>
        <w:rPr>
          <w:spacing w:val="-1"/>
          <w:sz w:val="42"/>
        </w:rPr>
        <w:t>工业设备及管道防腐蚀工程施工质量验收规范</w:t>
      </w:r>
      <w:r>
        <w:rPr>
          <w:sz w:val="42"/>
        </w:rPr>
        <w:t>GB50727-2011</w:t>
      </w:r>
    </w:p>
    <w:p>
      <w:pPr>
        <w:pStyle w:val="ListParagraph"/>
        <w:numPr>
          <w:ilvl w:val="0"/>
          <w:numId w:val="51"/>
        </w:numPr>
        <w:tabs>
          <w:tab w:val="left" w:pos="2803"/>
        </w:tabs>
        <w:spacing w:before="0" w:after="0" w:line="537" w:lineRule="exact"/>
        <w:ind w:left="2802" w:right="0" w:hanging="844"/>
        <w:jc w:val="left"/>
        <w:rPr>
          <w:sz w:val="42"/>
        </w:rPr>
      </w:pPr>
      <w:r>
        <w:rPr>
          <w:sz w:val="42"/>
        </w:rPr>
        <w:t>城镇供热直埋热水管道技术规程</w:t>
      </w:r>
    </w:p>
    <w:p>
      <w:pPr>
        <w:spacing w:after="0" w:line="537" w:lineRule="exact"/>
        <w:jc w:val="left"/>
        <w:rPr>
          <w:sz w:val="42"/>
        </w:rPr>
        <w:sectPr>
          <w:pgSz w:w="17860" w:h="25260"/>
          <w:pgMar w:top="1960" w:right="1940" w:bottom="280" w:left="1580" w:header="708" w:footer="708"/>
          <w:pgNumType w:start="10"/>
          <w:cols w:space="708"/>
        </w:sectPr>
      </w:pPr>
    </w:p>
    <w:p>
      <w:pPr>
        <w:pStyle w:val="BodyText"/>
        <w:spacing w:before="20"/>
        <w:ind w:firstLine="0"/>
      </w:pPr>
      <w:r>
        <w:t>CJJ/T81-2013</w:t>
      </w:r>
    </w:p>
    <w:p>
      <w:pPr>
        <w:pStyle w:val="BodyText"/>
        <w:spacing w:before="1"/>
        <w:ind w:left="0" w:firstLine="0"/>
        <w:rPr>
          <w:sz w:val="31"/>
        </w:rPr>
      </w:pPr>
    </w:p>
    <w:p>
      <w:pPr>
        <w:pStyle w:val="ListParagraph"/>
        <w:numPr>
          <w:ilvl w:val="0"/>
          <w:numId w:val="52"/>
        </w:numPr>
        <w:tabs>
          <w:tab w:val="left" w:pos="2933"/>
        </w:tabs>
        <w:spacing w:before="0" w:after="0" w:line="240" w:lineRule="auto"/>
        <w:ind w:left="2932" w:right="0" w:hanging="845"/>
        <w:jc w:val="left"/>
        <w:rPr>
          <w:sz w:val="42"/>
        </w:rPr>
      </w:pPr>
      <w:r>
        <w:rPr>
          <w:sz w:val="42"/>
        </w:rPr>
        <w:t>无损检测金属管道溶化焊环向对接接头射线照相检测方法</w:t>
      </w:r>
    </w:p>
    <w:p>
      <w:pPr>
        <w:pStyle w:val="BodyText"/>
        <w:ind w:left="0" w:firstLine="0"/>
        <w:rPr>
          <w:sz w:val="31"/>
        </w:rPr>
      </w:pPr>
    </w:p>
    <w:p>
      <w:pPr>
        <w:pStyle w:val="BodyText"/>
        <w:spacing w:line="417" w:lineRule="auto"/>
        <w:ind w:left="10910" w:right="890" w:firstLine="0"/>
      </w:pPr>
      <w:r>
        <w:t>GB/T12605-20 08</w:t>
      </w:r>
    </w:p>
    <w:p>
      <w:pPr>
        <w:pStyle w:val="ListParagraph"/>
        <w:numPr>
          <w:ilvl w:val="0"/>
          <w:numId w:val="52"/>
        </w:numPr>
        <w:tabs>
          <w:tab w:val="left" w:pos="2803"/>
        </w:tabs>
        <w:spacing w:before="0" w:after="0" w:line="417" w:lineRule="auto"/>
        <w:ind w:left="1120" w:right="3111" w:firstLine="838"/>
        <w:jc w:val="left"/>
        <w:rPr>
          <w:sz w:val="42"/>
        </w:rPr>
      </w:pPr>
      <w:r>
        <w:rPr>
          <w:spacing w:val="-1"/>
          <w:sz w:val="42"/>
        </w:rPr>
        <w:t>焊缝无损检测超声检测技术、加测等级的评定</w:t>
      </w:r>
      <w:r>
        <w:rPr>
          <w:sz w:val="42"/>
        </w:rPr>
        <w:t>B/T11345-2013</w:t>
      </w:r>
    </w:p>
    <w:p>
      <w:pPr>
        <w:pStyle w:val="ListParagraph"/>
        <w:numPr>
          <w:ilvl w:val="0"/>
          <w:numId w:val="52"/>
        </w:numPr>
        <w:tabs>
          <w:tab w:val="left" w:pos="2803"/>
        </w:tabs>
        <w:spacing w:before="0" w:after="0" w:line="417" w:lineRule="auto"/>
        <w:ind w:left="1120" w:right="4375" w:firstLine="838"/>
        <w:jc w:val="left"/>
        <w:rPr>
          <w:sz w:val="42"/>
        </w:rPr>
      </w:pPr>
      <w:r>
        <w:rPr>
          <w:spacing w:val="-1"/>
          <w:sz w:val="42"/>
        </w:rPr>
        <w:t>民用建筑供暖通风与空气调节设计规范</w:t>
      </w:r>
      <w:r>
        <w:rPr>
          <w:sz w:val="42"/>
        </w:rPr>
        <w:t>GB50736-2012</w:t>
      </w:r>
    </w:p>
    <w:p>
      <w:pPr>
        <w:pStyle w:val="ListParagraph"/>
        <w:numPr>
          <w:ilvl w:val="0"/>
          <w:numId w:val="52"/>
        </w:numPr>
        <w:tabs>
          <w:tab w:val="left" w:pos="2803"/>
        </w:tabs>
        <w:spacing w:before="0" w:after="0" w:line="417" w:lineRule="auto"/>
        <w:ind w:left="1120" w:right="3534" w:firstLine="838"/>
        <w:jc w:val="left"/>
        <w:rPr>
          <w:sz w:val="42"/>
        </w:rPr>
      </w:pPr>
      <w:r>
        <w:rPr>
          <w:spacing w:val="-1"/>
          <w:sz w:val="42"/>
        </w:rPr>
        <w:t>建筑给水排水及采暖工程施工质量验收规范</w:t>
      </w:r>
      <w:r>
        <w:rPr>
          <w:sz w:val="42"/>
        </w:rPr>
        <w:t>GB50242-2002</w:t>
      </w:r>
    </w:p>
    <w:p>
      <w:pPr>
        <w:pStyle w:val="Heading2"/>
        <w:spacing w:line="537" w:lineRule="exact"/>
      </w:pPr>
      <w:r>
        <w:rPr>
          <w:w w:val="95"/>
        </w:rPr>
        <w:t>材料要求：</w:t>
      </w:r>
    </w:p>
    <w:p>
      <w:pPr>
        <w:pStyle w:val="BodyText"/>
        <w:ind w:left="0" w:firstLine="0"/>
        <w:rPr>
          <w:b/>
          <w:sz w:val="31"/>
        </w:rPr>
      </w:pPr>
    </w:p>
    <w:p>
      <w:pPr>
        <w:pStyle w:val="BodyText"/>
        <w:spacing w:line="417" w:lineRule="auto"/>
        <w:ind w:right="690"/>
      </w:pPr>
      <w:r>
        <w:t>a</w:t>
      </w:r>
      <w:r>
        <w:rPr>
          <w:spacing w:val="-10"/>
        </w:rPr>
        <w:t xml:space="preserve"> 钢筋和型钢必须是国内大型的钢材生产厂家：如宝钢、武钢、</w:t>
      </w:r>
      <w:r>
        <w:t>鞍钢、济钢等。</w:t>
      </w:r>
    </w:p>
    <w:p>
      <w:pPr>
        <w:pStyle w:val="BodyText"/>
        <w:ind w:left="1959" w:firstLine="0"/>
      </w:pPr>
      <w:r>
        <w:t>b 所有混凝土必须使用商品混凝土，标号按图纸设计要求。</w:t>
      </w:r>
    </w:p>
    <w:p>
      <w:pPr>
        <w:pStyle w:val="BodyText"/>
        <w:ind w:left="0" w:firstLine="0"/>
        <w:rPr>
          <w:sz w:val="31"/>
        </w:rPr>
      </w:pPr>
    </w:p>
    <w:p>
      <w:pPr>
        <w:pStyle w:val="BodyText"/>
        <w:tabs>
          <w:tab w:val="left" w:pos="10802"/>
        </w:tabs>
        <w:spacing w:before="1" w:line="417" w:lineRule="auto"/>
        <w:ind w:right="783"/>
      </w:pPr>
      <w:r>
        <w:t>c</w:t>
      </w:r>
      <w:r>
        <w:rPr>
          <w:spacing w:val="25"/>
        </w:rPr>
        <w:t xml:space="preserve"> </w:t>
      </w:r>
      <w:r>
        <w:t>所有管道及附件的均采用焊接，焊条型号为</w:t>
        <w:tab/>
      </w:r>
      <w:r>
        <w:rPr>
          <w:spacing w:val="2"/>
        </w:rPr>
        <w:t>E4303，</w:t>
      </w:r>
      <w:r>
        <w:t>牌号</w:t>
      </w:r>
      <w:r>
        <w:rPr>
          <w:spacing w:val="-17"/>
        </w:rPr>
        <w:t>为</w:t>
      </w:r>
      <w:r>
        <w:t>J422。焊条要求使用正规厂家产品。</w:t>
      </w:r>
    </w:p>
    <w:p>
      <w:pPr>
        <w:pStyle w:val="Heading1"/>
        <w:spacing w:line="487" w:lineRule="exact"/>
      </w:pPr>
      <w:r>
        <w:t>第三节材料设备进场计划及施工准备</w:t>
      </w:r>
    </w:p>
    <w:p>
      <w:pPr>
        <w:pStyle w:val="BodyText"/>
        <w:spacing w:before="243"/>
        <w:ind w:left="1959" w:firstLine="0"/>
      </w:pPr>
      <w:r>
        <w:t>一、 材料准备</w:t>
      </w:r>
    </w:p>
    <w:p>
      <w:pPr>
        <w:pStyle w:val="BodyText"/>
        <w:spacing w:before="215"/>
        <w:ind w:left="1959" w:firstLine="0"/>
      </w:pPr>
      <w:r>
        <w:t>材料准备是对管材、管件、阀门的检验。</w:t>
      </w:r>
    </w:p>
    <w:p>
      <w:pPr>
        <w:pStyle w:val="ListParagraph"/>
        <w:numPr>
          <w:ilvl w:val="0"/>
          <w:numId w:val="42"/>
        </w:numPr>
        <w:tabs>
          <w:tab w:val="left" w:pos="3010"/>
          <w:tab w:val="left" w:pos="3011"/>
        </w:tabs>
        <w:spacing w:before="211" w:after="0" w:line="333" w:lineRule="auto"/>
        <w:ind w:left="1120" w:right="798" w:firstLine="838"/>
        <w:jc w:val="left"/>
        <w:rPr>
          <w:sz w:val="42"/>
        </w:rPr>
      </w:pPr>
      <w:r>
        <w:rPr>
          <w:spacing w:val="-1"/>
          <w:sz w:val="42"/>
        </w:rPr>
        <w:t xml:space="preserve">管道组成件和管道支承件必须具有制造厂的质量证明书， </w:t>
      </w:r>
      <w:r>
        <w:rPr>
          <w:sz w:val="42"/>
        </w:rPr>
        <w:t>并与实物标识一致，其质量要求不得低于国家或行业现行标准的规定。</w:t>
      </w:r>
    </w:p>
    <w:p>
      <w:pPr>
        <w:pStyle w:val="ListParagraph"/>
        <w:numPr>
          <w:ilvl w:val="0"/>
          <w:numId w:val="42"/>
        </w:numPr>
        <w:tabs>
          <w:tab w:val="left" w:pos="3010"/>
          <w:tab w:val="left" w:pos="3011"/>
        </w:tabs>
        <w:spacing w:before="6" w:after="0" w:line="240" w:lineRule="auto"/>
        <w:ind w:left="3010" w:right="0" w:hanging="1052"/>
        <w:jc w:val="left"/>
        <w:rPr>
          <w:sz w:val="42"/>
        </w:rPr>
      </w:pPr>
      <w:r>
        <w:rPr>
          <w:sz w:val="42"/>
        </w:rPr>
        <w:t>管道组成件和管道支承件的材质、规格、型号、质量应符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960" w:right="1940" w:bottom="280" w:left="1580" w:header="708" w:footer="708"/>
          <w:pgNumType w:start="11"/>
          <w:cols w:space="708"/>
        </w:sectPr>
      </w:pPr>
    </w:p>
    <w:p>
      <w:pPr>
        <w:pStyle w:val="BodyText"/>
        <w:spacing w:before="22" w:line="333" w:lineRule="auto"/>
        <w:ind w:right="752" w:firstLine="0"/>
      </w:pPr>
      <w:r>
        <w:rPr>
          <w:spacing w:val="-14"/>
        </w:rPr>
        <w:t>合设计文件的规定，并按国家现行标准进行外观检查，不合格者不得</w:t>
      </w:r>
      <w:r>
        <w:t>使用：</w:t>
      </w:r>
    </w:p>
    <w:p>
      <w:pPr>
        <w:spacing w:after="0" w:line="333" w:lineRule="auto"/>
        <w:sectPr>
          <w:pgSz w:w="17860" w:h="25260"/>
          <w:pgMar w:top="1940" w:right="1940" w:bottom="280" w:left="1580" w:header="708" w:footer="708"/>
          <w:pgNumType w:start="12"/>
          <w:cols w:space="708"/>
        </w:sectPr>
      </w:pPr>
    </w:p>
    <w:p>
      <w:pPr>
        <w:pStyle w:val="BodyText"/>
        <w:spacing w:before="5"/>
        <w:ind w:left="0" w:right="1" w:firstLine="0"/>
        <w:jc w:val="right"/>
      </w:pPr>
      <w:r>
        <w:t>1)</w:t>
      </w:r>
    </w:p>
    <w:p>
      <w:pPr>
        <w:pStyle w:val="BodyText"/>
        <w:spacing w:before="211"/>
        <w:ind w:left="0" w:right="1" w:firstLine="0"/>
        <w:jc w:val="right"/>
      </w:pPr>
      <w:r>
        <w:t>2)</w:t>
      </w:r>
    </w:p>
    <w:p>
      <w:pPr>
        <w:pStyle w:val="BodyText"/>
        <w:spacing w:before="211"/>
        <w:ind w:left="0" w:firstLine="0"/>
        <w:jc w:val="right"/>
      </w:pPr>
      <w:r>
        <w:t>缺陷。</w:t>
      </w:r>
    </w:p>
    <w:p>
      <w:pPr>
        <w:pStyle w:val="BodyText"/>
        <w:spacing w:before="5" w:line="333" w:lineRule="auto"/>
        <w:ind w:left="586" w:right="798" w:firstLine="0"/>
      </w:pPr>
      <w:r>
        <w:br w:type="column"/>
      </w:r>
      <w:r>
        <w:t>钢管表面不得有裂缝、折皱、离层、发纹及结疤等缺陷。钢管无超过壁厚负偏差的锈蚀、麻点、凹坑及机械损伤等</w:t>
      </w:r>
    </w:p>
    <w:p>
      <w:pPr>
        <w:spacing w:after="0" w:line="333" w:lineRule="auto"/>
        <w:sectPr>
          <w:type w:val="continuous"/>
          <w:pgSz w:w="17860" w:h="25260"/>
          <w:pgMar w:top="2060" w:right="1940" w:bottom="280" w:left="1580" w:header="708" w:footer="708"/>
          <w:pgNumType w:start="13"/>
          <w:cols w:num="2" w:space="708" w:equalWidth="0">
            <w:col w:w="2385" w:space="40"/>
            <w:col w:w="11915" w:space="0"/>
          </w:cols>
        </w:sectPr>
      </w:pPr>
    </w:p>
    <w:p>
      <w:pPr>
        <w:pStyle w:val="BodyText"/>
        <w:spacing w:before="5"/>
        <w:ind w:left="0" w:firstLine="0"/>
        <w:rPr>
          <w:sz w:val="13"/>
        </w:rPr>
      </w:pPr>
    </w:p>
    <w:p>
      <w:pPr>
        <w:pStyle w:val="ListParagraph"/>
        <w:numPr>
          <w:ilvl w:val="0"/>
          <w:numId w:val="41"/>
        </w:numPr>
        <w:tabs>
          <w:tab w:val="left" w:pos="2382"/>
        </w:tabs>
        <w:spacing w:before="42" w:after="0" w:line="333" w:lineRule="auto"/>
        <w:ind w:left="1120" w:right="584" w:firstLine="838"/>
        <w:jc w:val="left"/>
        <w:rPr>
          <w:sz w:val="42"/>
        </w:rPr>
      </w:pPr>
      <w:r>
        <w:rPr>
          <w:spacing w:val="-1"/>
          <w:sz w:val="42"/>
        </w:rPr>
        <w:t>法兰密封面应光洁，不得有径向沟槽，且不得有气孔、裂纹、</w:t>
      </w:r>
      <w:r>
        <w:rPr>
          <w:sz w:val="42"/>
        </w:rPr>
        <w:t>毛刺或其它降低强度和连接可靠性方面的缺陷。</w:t>
      </w:r>
    </w:p>
    <w:p>
      <w:pPr>
        <w:pStyle w:val="ListParagraph"/>
        <w:numPr>
          <w:ilvl w:val="0"/>
          <w:numId w:val="41"/>
        </w:numPr>
        <w:tabs>
          <w:tab w:val="left" w:pos="2382"/>
        </w:tabs>
        <w:spacing w:before="2" w:after="0" w:line="336" w:lineRule="auto"/>
        <w:ind w:left="1959" w:right="1005" w:firstLine="0"/>
        <w:jc w:val="left"/>
        <w:rPr>
          <w:sz w:val="42"/>
        </w:rPr>
      </w:pPr>
      <w:r>
        <w:rPr>
          <w:spacing w:val="-1"/>
          <w:sz w:val="42"/>
        </w:rPr>
        <w:t>螺栓、螺母应配合良好，螺纹完整，无划痕、毛刺等缺陷。</w:t>
      </w:r>
      <w:r>
        <w:rPr>
          <w:sz w:val="42"/>
        </w:rPr>
        <w:t>二、阀门检验</w:t>
      </w:r>
    </w:p>
    <w:p>
      <w:pPr>
        <w:pStyle w:val="ListParagraph"/>
        <w:numPr>
          <w:ilvl w:val="0"/>
          <w:numId w:val="40"/>
        </w:numPr>
        <w:tabs>
          <w:tab w:val="left" w:pos="2382"/>
        </w:tabs>
        <w:spacing w:before="0" w:after="0" w:line="533" w:lineRule="exact"/>
        <w:ind w:left="2381" w:right="0" w:hanging="423"/>
        <w:jc w:val="left"/>
        <w:rPr>
          <w:sz w:val="42"/>
        </w:rPr>
      </w:pPr>
      <w:r>
        <w:rPr>
          <w:sz w:val="42"/>
        </w:rPr>
        <w:t>检查产品质量证明书检查出厂标志</w:t>
      </w:r>
    </w:p>
    <w:p>
      <w:pPr>
        <w:pStyle w:val="ListParagraph"/>
        <w:numPr>
          <w:ilvl w:val="0"/>
          <w:numId w:val="40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外观检查</w:t>
      </w:r>
    </w:p>
    <w:p>
      <w:pPr>
        <w:pStyle w:val="ListParagraph"/>
        <w:numPr>
          <w:ilvl w:val="0"/>
          <w:numId w:val="40"/>
        </w:numPr>
        <w:tabs>
          <w:tab w:val="left" w:pos="2382"/>
        </w:tabs>
        <w:spacing w:before="214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核对规格</w:t>
      </w:r>
    </w:p>
    <w:p>
      <w:pPr>
        <w:pStyle w:val="ListParagraph"/>
        <w:numPr>
          <w:ilvl w:val="0"/>
          <w:numId w:val="40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材质复验（必要时）</w:t>
      </w:r>
    </w:p>
    <w:p>
      <w:pPr>
        <w:pStyle w:val="ListParagraph"/>
        <w:numPr>
          <w:ilvl w:val="0"/>
          <w:numId w:val="40"/>
        </w:numPr>
        <w:tabs>
          <w:tab w:val="left" w:pos="2382"/>
        </w:tabs>
        <w:spacing w:before="210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标识</w:t>
      </w:r>
    </w:p>
    <w:p>
      <w:pPr>
        <w:pStyle w:val="ListParagraph"/>
        <w:numPr>
          <w:ilvl w:val="0"/>
          <w:numId w:val="40"/>
        </w:numPr>
        <w:tabs>
          <w:tab w:val="left" w:pos="2382"/>
        </w:tabs>
        <w:spacing w:before="215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入库保管</w:t>
      </w:r>
    </w:p>
    <w:p>
      <w:pPr>
        <w:pStyle w:val="ListParagraph"/>
        <w:numPr>
          <w:ilvl w:val="0"/>
          <w:numId w:val="39"/>
        </w:numPr>
        <w:tabs>
          <w:tab w:val="left" w:pos="3010"/>
          <w:tab w:val="left" w:pos="3011"/>
        </w:tabs>
        <w:spacing w:before="211" w:after="0" w:line="333" w:lineRule="auto"/>
        <w:ind w:left="1120" w:right="798" w:firstLine="838"/>
        <w:jc w:val="left"/>
        <w:rPr>
          <w:sz w:val="42"/>
        </w:rPr>
      </w:pPr>
      <w:r>
        <w:rPr>
          <w:spacing w:val="-1"/>
          <w:sz w:val="42"/>
        </w:rPr>
        <w:t>阀门必须具有出厂合格证、产品质量证明书和制造厂的铭</w:t>
      </w:r>
      <w:r>
        <w:rPr>
          <w:sz w:val="42"/>
        </w:rPr>
        <w:t>牌，铭牌上标明公称压力、公称直径、工作温度和工作介质。</w:t>
      </w:r>
    </w:p>
    <w:p>
      <w:pPr>
        <w:pStyle w:val="ListParagraph"/>
        <w:numPr>
          <w:ilvl w:val="0"/>
          <w:numId w:val="39"/>
        </w:numPr>
        <w:tabs>
          <w:tab w:val="left" w:pos="3010"/>
          <w:tab w:val="left" w:pos="3011"/>
        </w:tabs>
        <w:spacing w:before="5" w:after="0" w:line="240" w:lineRule="auto"/>
        <w:ind w:left="3010" w:right="0" w:hanging="1052"/>
        <w:jc w:val="left"/>
        <w:rPr>
          <w:sz w:val="42"/>
        </w:rPr>
      </w:pPr>
      <w:r>
        <w:rPr>
          <w:sz w:val="42"/>
        </w:rPr>
        <w:t>外观检查</w:t>
      </w:r>
    </w:p>
    <w:p>
      <w:pPr>
        <w:pStyle w:val="BodyText"/>
        <w:spacing w:before="211" w:line="333" w:lineRule="auto"/>
        <w:ind w:right="580"/>
      </w:pPr>
      <w:r>
        <w:rPr>
          <w:spacing w:val="-1"/>
        </w:rPr>
        <w:t>阀门内无积水、锈蚀、脏污、油漆脱落和损伤等缺陷，阀门两端有防护盖保护。阀杆与阀芯的连接是否灵活可靠，阀杆有无弯曲、腐</w:t>
      </w:r>
      <w:r>
        <w:rPr>
          <w:spacing w:val="-14"/>
        </w:rPr>
        <w:t>蚀，阀杆与填料压盖相互配合松紧是否合适，以及阀杆上螺纹有无断</w:t>
      </w:r>
      <w:r>
        <w:rPr>
          <w:spacing w:val="-15"/>
        </w:rPr>
        <w:t>丝等缺陷。垫片、填料规格、质量是否符合“阀门规格书”要求。阀</w:t>
      </w:r>
      <w:r>
        <w:rPr>
          <w:spacing w:val="-1"/>
        </w:rPr>
        <w:t>门开度指示器指示是否正确，节流阀应检查其开闭行程及终端位置， 并作出标记。阀门手轮、传动装置动作是否灵活。运输过程中有无损</w:t>
      </w:r>
      <w:r>
        <w:t>伤阀体、密封面、手轮或传动装置。</w:t>
      </w:r>
    </w:p>
    <w:p>
      <w:pPr>
        <w:pStyle w:val="ListParagraph"/>
        <w:numPr>
          <w:ilvl w:val="0"/>
          <w:numId w:val="39"/>
        </w:numPr>
        <w:tabs>
          <w:tab w:val="left" w:pos="2382"/>
        </w:tabs>
        <w:spacing w:before="14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阀门试压</w:t>
      </w:r>
    </w:p>
    <w:p>
      <w:pPr>
        <w:pStyle w:val="BodyText"/>
        <w:spacing w:before="214"/>
        <w:ind w:left="1959" w:firstLine="0"/>
      </w:pPr>
      <w:r>
        <w:t>设计压力大于 1MPa 的阀门应逐个进行壳体压力试验和密封试</w:t>
      </w:r>
    </w:p>
    <w:p>
      <w:pPr>
        <w:spacing w:after="0"/>
        <w:sectPr>
          <w:type w:val="continuous"/>
          <w:pgSz w:w="17860" w:h="25260"/>
          <w:pgMar w:top="2060" w:right="1940" w:bottom="280" w:left="1580" w:header="708" w:footer="708"/>
          <w:pgNumType w:start="14"/>
          <w:cols w:space="708"/>
        </w:sectPr>
      </w:pPr>
    </w:p>
    <w:p>
      <w:pPr>
        <w:pStyle w:val="BodyText"/>
        <w:spacing w:before="22"/>
        <w:ind w:firstLine="0"/>
      </w:pPr>
      <w:r>
        <w:t>验。不合格者，不得使用。</w:t>
      </w:r>
    </w:p>
    <w:p>
      <w:pPr>
        <w:pStyle w:val="BodyText"/>
        <w:spacing w:before="211" w:line="333" w:lineRule="auto"/>
        <w:ind w:right="580"/>
      </w:pPr>
      <w:r>
        <w:rPr>
          <w:spacing w:val="-6"/>
        </w:rPr>
        <w:t xml:space="preserve">阀门的壳体压力试验压力不得小于公称压力的 </w:t>
      </w:r>
      <w:r>
        <w:t>1.5</w:t>
      </w:r>
      <w:r>
        <w:rPr>
          <w:spacing w:val="-35"/>
        </w:rPr>
        <w:t xml:space="preserve"> 倍，以壳体填</w:t>
      </w:r>
      <w:r>
        <w:rPr>
          <w:spacing w:val="-22"/>
        </w:rPr>
        <w:t>料无渗漏为合格；密封试验以公称压力进行，以阀瓣密封面不漏为合格。试压合格的阀门，应及时排尽内部积水，并吹干。密封面上应涂</w:t>
      </w:r>
      <w:r>
        <w:t>防锈油，关闭阀门，封闭出入口，并填写阀门试验记录。</w:t>
      </w:r>
    </w:p>
    <w:p>
      <w:pPr>
        <w:pStyle w:val="ListParagraph"/>
        <w:numPr>
          <w:ilvl w:val="0"/>
          <w:numId w:val="39"/>
        </w:numPr>
        <w:tabs>
          <w:tab w:val="left" w:pos="2382"/>
        </w:tabs>
        <w:spacing w:before="10" w:after="0" w:line="333" w:lineRule="auto"/>
        <w:ind w:left="1120" w:right="755" w:firstLine="838"/>
        <w:jc w:val="left"/>
        <w:rPr>
          <w:sz w:val="42"/>
        </w:rPr>
      </w:pPr>
      <w:r>
        <w:rPr>
          <w:spacing w:val="-9"/>
          <w:sz w:val="42"/>
        </w:rPr>
        <w:t>管道组成件和管道支承件在施工过程中应妥善保管，不得混淆</w:t>
      </w:r>
      <w:r>
        <w:rPr>
          <w:sz w:val="42"/>
        </w:rPr>
        <w:t>或损坏，标记应明显清晰。</w:t>
      </w:r>
    </w:p>
    <w:p>
      <w:pPr>
        <w:pStyle w:val="ListParagraph"/>
        <w:numPr>
          <w:ilvl w:val="0"/>
          <w:numId w:val="38"/>
        </w:numPr>
        <w:tabs>
          <w:tab w:val="left" w:pos="3019"/>
        </w:tabs>
        <w:spacing w:before="2" w:after="0" w:line="336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所有进场的材料均应按符合设计及质量规定，不合格的材</w:t>
      </w:r>
      <w:r>
        <w:rPr>
          <w:sz w:val="42"/>
        </w:rPr>
        <w:t>料不准使用。</w:t>
      </w:r>
    </w:p>
    <w:p>
      <w:pPr>
        <w:pStyle w:val="ListParagraph"/>
        <w:numPr>
          <w:ilvl w:val="0"/>
          <w:numId w:val="38"/>
        </w:numPr>
        <w:tabs>
          <w:tab w:val="left" w:pos="3019"/>
        </w:tabs>
        <w:spacing w:before="0" w:after="0" w:line="333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所有进场的工程材料，都必须有相应的质量证明材料、材</w:t>
      </w:r>
      <w:r>
        <w:rPr>
          <w:sz w:val="42"/>
        </w:rPr>
        <w:t>料员、质检员验证后方能入场。</w:t>
      </w:r>
    </w:p>
    <w:p>
      <w:pPr>
        <w:pStyle w:val="ListParagraph"/>
        <w:numPr>
          <w:ilvl w:val="0"/>
          <w:numId w:val="38"/>
        </w:numPr>
        <w:tabs>
          <w:tab w:val="left" w:pos="3016"/>
        </w:tabs>
        <w:spacing w:before="0" w:after="0" w:line="333" w:lineRule="auto"/>
        <w:ind w:left="1120" w:right="372" w:firstLine="838"/>
        <w:jc w:val="left"/>
        <w:rPr>
          <w:sz w:val="42"/>
        </w:rPr>
      </w:pPr>
      <w:r>
        <w:rPr>
          <w:spacing w:val="-1"/>
          <w:sz w:val="42"/>
        </w:rPr>
        <w:t>规定做复验的及时抽样、送检、待检验合格后方能使材料、</w:t>
      </w:r>
      <w:r>
        <w:rPr>
          <w:sz w:val="42"/>
        </w:rPr>
        <w:t>型号、规格及合格状态、防止误用。</w:t>
      </w:r>
    </w:p>
    <w:p>
      <w:pPr>
        <w:pStyle w:val="ListParagraph"/>
        <w:numPr>
          <w:ilvl w:val="0"/>
          <w:numId w:val="38"/>
        </w:numPr>
        <w:tabs>
          <w:tab w:val="left" w:pos="3019"/>
        </w:tabs>
        <w:spacing w:before="2" w:after="0" w:line="336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建立材料的收、发台帐。用于特殊过程的材料，要记录使</w:t>
      </w:r>
      <w:r>
        <w:rPr>
          <w:sz w:val="42"/>
        </w:rPr>
        <w:t>用的部位或区域，确保能追溯。</w:t>
      </w:r>
    </w:p>
    <w:p>
      <w:pPr>
        <w:pStyle w:val="ListParagraph"/>
        <w:numPr>
          <w:ilvl w:val="0"/>
          <w:numId w:val="38"/>
        </w:numPr>
        <w:tabs>
          <w:tab w:val="left" w:pos="3016"/>
        </w:tabs>
        <w:spacing w:before="0" w:after="0" w:line="533" w:lineRule="exact"/>
        <w:ind w:left="3015" w:right="0" w:hanging="1057"/>
        <w:jc w:val="left"/>
        <w:rPr>
          <w:sz w:val="42"/>
        </w:rPr>
      </w:pPr>
      <w:r>
        <w:rPr>
          <w:sz w:val="42"/>
        </w:rPr>
        <w:t>压力表、安全阀必须经过检定合格后方能安装。</w:t>
      </w:r>
    </w:p>
    <w:p>
      <w:pPr>
        <w:pStyle w:val="ListParagraph"/>
        <w:numPr>
          <w:ilvl w:val="0"/>
          <w:numId w:val="38"/>
        </w:numPr>
        <w:tabs>
          <w:tab w:val="left" w:pos="3016"/>
        </w:tabs>
        <w:spacing w:before="211" w:after="0" w:line="336" w:lineRule="auto"/>
        <w:ind w:left="1120" w:right="372" w:firstLine="838"/>
        <w:jc w:val="left"/>
        <w:rPr>
          <w:sz w:val="42"/>
        </w:rPr>
      </w:pPr>
      <w:r>
        <w:rPr>
          <w:spacing w:val="-1"/>
          <w:sz w:val="42"/>
        </w:rPr>
        <w:t xml:space="preserve">甲方提供的材料、应与甲方代表共同验收、做好验收记录， </w:t>
      </w:r>
      <w:r>
        <w:rPr>
          <w:sz w:val="42"/>
        </w:rPr>
        <w:t>不合格的材料及时以书面形式报告甲方及监理。</w:t>
      </w:r>
    </w:p>
    <w:p>
      <w:pPr>
        <w:pStyle w:val="ListParagraph"/>
        <w:numPr>
          <w:ilvl w:val="0"/>
          <w:numId w:val="39"/>
        </w:numPr>
        <w:tabs>
          <w:tab w:val="left" w:pos="2593"/>
        </w:tabs>
        <w:spacing w:before="0" w:after="0" w:line="333" w:lineRule="auto"/>
        <w:ind w:left="1120" w:right="580" w:firstLine="838"/>
        <w:jc w:val="left"/>
        <w:rPr>
          <w:sz w:val="42"/>
        </w:rPr>
      </w:pPr>
      <w:r>
        <w:rPr>
          <w:sz w:val="42"/>
        </w:rPr>
        <w:t xml:space="preserve">施工现场内各种料具应按施工平面布置图的指定位置存放， </w:t>
      </w:r>
      <w:r>
        <w:rPr>
          <w:spacing w:val="-1"/>
          <w:sz w:val="42"/>
        </w:rPr>
        <w:t>并分规格码放整齐、牢固，做到一头齐、一条线。砌块材料码放高度</w:t>
      </w:r>
      <w:r>
        <w:rPr>
          <w:spacing w:val="-21"/>
          <w:sz w:val="42"/>
        </w:rPr>
        <w:t xml:space="preserve">不得超过 </w:t>
      </w:r>
      <w:r>
        <w:rPr>
          <w:sz w:val="42"/>
        </w:rPr>
        <w:t>1.8</w:t>
      </w:r>
      <w:r>
        <w:rPr>
          <w:spacing w:val="-11"/>
          <w:sz w:val="42"/>
        </w:rPr>
        <w:t xml:space="preserve"> 米，砂、石和其它散料应成堆，界限清楚，不得混杂</w:t>
      </w:r>
    </w:p>
    <w:p>
      <w:pPr>
        <w:pStyle w:val="BodyText"/>
        <w:spacing w:line="336" w:lineRule="auto"/>
        <w:ind w:right="538"/>
      </w:pPr>
      <w:r>
        <w:rPr>
          <w:spacing w:val="-22"/>
        </w:rPr>
        <w:t xml:space="preserve">合理制定用料计划，按计划进料。合理安排材料进场，随用随进， </w:t>
      </w:r>
      <w:r>
        <w:rPr>
          <w:spacing w:val="-12"/>
        </w:rPr>
        <w:t>不得在场外堆放施工材料，各种材料不得长期占用场地，各种废料必须及时处理。</w:t>
      </w:r>
    </w:p>
    <w:p>
      <w:pPr>
        <w:pStyle w:val="BodyText"/>
        <w:spacing w:line="333" w:lineRule="auto"/>
        <w:ind w:right="580"/>
      </w:pPr>
      <w:r>
        <w:rPr>
          <w:spacing w:val="-12"/>
        </w:rPr>
        <w:t>施工现场内的各种材料，依据材料性能妥善保管，采取必要的防</w:t>
      </w:r>
      <w:r>
        <w:rPr>
          <w:spacing w:val="-13"/>
        </w:rPr>
        <w:t>雨、防潮、防晒、防冻、防火、防损坏等措施，贵重物品、易燃、易</w:t>
      </w:r>
      <w:r>
        <w:t>爆和有毒物品应及时入库，专库专管，加设明显标志。</w:t>
      </w:r>
    </w:p>
    <w:p>
      <w:pPr>
        <w:spacing w:after="0" w:line="333" w:lineRule="auto"/>
        <w:sectPr>
          <w:pgSz w:w="17860" w:h="25260"/>
          <w:pgMar w:top="1940" w:right="1940" w:bottom="280" w:left="1580" w:header="708" w:footer="708"/>
          <w:pgNumType w:start="15"/>
          <w:cols w:space="708"/>
        </w:sectPr>
      </w:pPr>
    </w:p>
    <w:p>
      <w:pPr>
        <w:pStyle w:val="BodyText"/>
        <w:spacing w:before="22" w:line="333" w:lineRule="auto"/>
        <w:ind w:right="580"/>
        <w:jc w:val="both"/>
      </w:pPr>
      <w:r>
        <w:t>砌块、砂、石和其它散料应随用随清，不留料底。水泥库内外散落灰必须及时清用、水泥袋认真打包、回收。施工现场剩余料具和容器要回收，堆放整齐，并及时清退。</w:t>
      </w:r>
    </w:p>
    <w:p>
      <w:pPr>
        <w:pStyle w:val="BodyText"/>
        <w:spacing w:before="6" w:line="333" w:lineRule="auto"/>
        <w:ind w:right="580"/>
        <w:jc w:val="both"/>
      </w:pPr>
      <w:r>
        <w:t>运输道路和作业面落地灰要及时清理。砂浆、混凝土倒运时，应用容器并铺垫木板。浇筑混凝土时，应采取防撒落措施。工人操作要做到活完料净、脚下清。</w:t>
      </w:r>
    </w:p>
    <w:p>
      <w:pPr>
        <w:pStyle w:val="BodyText"/>
        <w:spacing w:before="6" w:line="333" w:lineRule="auto"/>
        <w:ind w:right="584"/>
      </w:pPr>
      <w:r>
        <w:t>钢材、木材等料具合理使用，长料不短用，优材不劣用。节约用水、用电，消灭长流水和长明灯。</w:t>
      </w:r>
    </w:p>
    <w:p>
      <w:pPr>
        <w:pStyle w:val="BodyText"/>
        <w:spacing w:before="6" w:line="333" w:lineRule="auto"/>
        <w:ind w:right="584"/>
      </w:pPr>
      <w:r>
        <w:t>施工现场内的施工垃圾，应及时分捡、有使用价值的应回收、废料应及时清运出场。</w:t>
      </w:r>
    </w:p>
    <w:p>
      <w:pPr>
        <w:pStyle w:val="BodyText"/>
        <w:spacing w:before="2" w:line="336" w:lineRule="auto"/>
        <w:ind w:left="1959" w:right="8385" w:hanging="220"/>
      </w:pPr>
      <w:r>
        <w:t>三、施工机械进场准备1.作好设备进场计划</w:t>
      </w:r>
    </w:p>
    <w:p>
      <w:pPr>
        <w:pStyle w:val="BodyText"/>
        <w:spacing w:line="333" w:lineRule="auto"/>
        <w:ind w:right="580"/>
      </w:pPr>
      <w:r>
        <w:t>编制合理的机械设备供应计划，在时间、数量、性能方面满足施工生产的需要。合理安排各类机械设备在各个施工队（组）间和各个施工阶段在时间和空间上的合理搭配，以提高机械设备的使用效率及产出水平，从而提高设备的经济效益。</w:t>
      </w:r>
    </w:p>
    <w:p>
      <w:pPr>
        <w:pStyle w:val="ListParagraph"/>
        <w:numPr>
          <w:ilvl w:val="0"/>
          <w:numId w:val="37"/>
        </w:numPr>
        <w:tabs>
          <w:tab w:val="left" w:pos="2382"/>
        </w:tabs>
        <w:spacing w:before="2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机械设备检验及验收</w:t>
      </w:r>
    </w:p>
    <w:p>
      <w:pPr>
        <w:pStyle w:val="ListParagraph"/>
        <w:numPr>
          <w:ilvl w:val="0"/>
          <w:numId w:val="37"/>
        </w:numPr>
        <w:tabs>
          <w:tab w:val="left" w:pos="2382"/>
        </w:tabs>
        <w:spacing w:before="214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机械设备进场前检验</w:t>
      </w:r>
    </w:p>
    <w:p>
      <w:pPr>
        <w:pStyle w:val="ListParagraph"/>
        <w:numPr>
          <w:ilvl w:val="0"/>
          <w:numId w:val="36"/>
        </w:numPr>
        <w:tabs>
          <w:tab w:val="left" w:pos="2594"/>
        </w:tabs>
        <w:spacing w:before="211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项目设备工长组织相关人员对其进行检查、验收。</w:t>
      </w:r>
    </w:p>
    <w:p>
      <w:pPr>
        <w:pStyle w:val="ListParagraph"/>
        <w:numPr>
          <w:ilvl w:val="0"/>
          <w:numId w:val="36"/>
        </w:numPr>
        <w:tabs>
          <w:tab w:val="left" w:pos="2594"/>
        </w:tabs>
        <w:spacing w:before="210" w:after="0" w:line="333" w:lineRule="auto"/>
        <w:ind w:left="1120" w:right="580" w:firstLine="838"/>
        <w:jc w:val="left"/>
        <w:rPr>
          <w:sz w:val="42"/>
        </w:rPr>
      </w:pPr>
      <w:r>
        <w:rPr>
          <w:sz w:val="42"/>
        </w:rPr>
        <w:t>检查机械的完善情况，外部结构装臵的装配质量，连接部位</w:t>
      </w:r>
      <w:r>
        <w:rPr>
          <w:spacing w:val="-1"/>
          <w:sz w:val="42"/>
        </w:rPr>
        <w:t>的紧固与可靠程度，润滑部位、液压系统的油质油量，电气系统的完</w:t>
      </w:r>
      <w:r>
        <w:rPr>
          <w:sz w:val="42"/>
        </w:rPr>
        <w:t>整性等项内容，并填写《机械设备进场验收记录</w:t>
      </w:r>
      <w:r>
        <w:rPr>
          <w:spacing w:val="-120"/>
          <w:sz w:val="42"/>
        </w:rPr>
        <w:t>》。</w:t>
      </w:r>
    </w:p>
    <w:p>
      <w:pPr>
        <w:pStyle w:val="ListParagraph"/>
        <w:numPr>
          <w:ilvl w:val="0"/>
          <w:numId w:val="36"/>
        </w:numPr>
        <w:tabs>
          <w:tab w:val="left" w:pos="2594"/>
        </w:tabs>
        <w:spacing w:before="7" w:after="0" w:line="336" w:lineRule="auto"/>
        <w:ind w:left="1120" w:right="793" w:firstLine="838"/>
        <w:jc w:val="left"/>
        <w:rPr>
          <w:sz w:val="42"/>
        </w:rPr>
      </w:pPr>
      <w:r>
        <w:rPr>
          <w:spacing w:val="-1"/>
          <w:sz w:val="42"/>
        </w:rPr>
        <w:t>项目设备工长组织相关人员对设备外观进行检查，要求机械</w:t>
      </w:r>
      <w:r>
        <w:rPr>
          <w:sz w:val="42"/>
        </w:rPr>
        <w:t>设备外观整洁、颜色一致，经验收合格后方能进入现场进行安装。</w:t>
      </w:r>
    </w:p>
    <w:p>
      <w:pPr>
        <w:pStyle w:val="ListParagraph"/>
        <w:numPr>
          <w:ilvl w:val="0"/>
          <w:numId w:val="37"/>
        </w:numPr>
        <w:tabs>
          <w:tab w:val="left" w:pos="2382"/>
        </w:tabs>
        <w:spacing w:before="0" w:after="0" w:line="533" w:lineRule="exact"/>
        <w:ind w:left="2381" w:right="0" w:hanging="423"/>
        <w:jc w:val="left"/>
        <w:rPr>
          <w:sz w:val="42"/>
        </w:rPr>
      </w:pPr>
      <w:r>
        <w:rPr>
          <w:sz w:val="42"/>
        </w:rPr>
        <w:t>设备验收</w:t>
      </w:r>
    </w:p>
    <w:p>
      <w:pPr>
        <w:pStyle w:val="BodyText"/>
        <w:spacing w:before="211" w:line="336" w:lineRule="auto"/>
        <w:ind w:right="580"/>
      </w:pPr>
      <w:r>
        <w:t>1）设备安装完毕后，由项目、安装单位进行验收，并按照建委的验收表格填写记录，合格后，原件交项目设备工程师、复印件交物</w:t>
      </w:r>
    </w:p>
    <w:p>
      <w:pPr>
        <w:spacing w:after="0" w:line="336" w:lineRule="auto"/>
        <w:sectPr>
          <w:pgSz w:w="17860" w:h="25260"/>
          <w:pgMar w:top="1940" w:right="1940" w:bottom="280" w:left="1580" w:header="708" w:footer="708"/>
          <w:pgNumType w:start="16"/>
          <w:cols w:space="708"/>
        </w:sectPr>
      </w:pPr>
    </w:p>
    <w:p>
      <w:pPr>
        <w:pStyle w:val="BodyText"/>
        <w:spacing w:before="22" w:line="333" w:lineRule="auto"/>
        <w:ind w:left="1959" w:right="793" w:hanging="839"/>
      </w:pPr>
      <w:r>
        <w:t>资工程师进行备案。                                       2）</w:t>
      </w:r>
      <w:r>
        <w:rPr>
          <w:spacing w:val="-1"/>
        </w:rPr>
        <w:t>设备验收合格后，在进行施工生产前，由项目设备工长检查</w:t>
      </w:r>
    </w:p>
    <w:p>
      <w:pPr>
        <w:pStyle w:val="BodyText"/>
        <w:spacing w:before="5" w:line="333" w:lineRule="auto"/>
        <w:ind w:right="747" w:firstLine="0"/>
      </w:pPr>
      <w:r>
        <w:rPr>
          <w:spacing w:val="-10"/>
        </w:rPr>
        <w:t>操作人员的操作证并预留其复印件存档，合格后，方能进入现场进行</w:t>
      </w:r>
      <w:r>
        <w:t>施工作业。</w:t>
      </w:r>
    </w:p>
    <w:p>
      <w:pPr>
        <w:pStyle w:val="ListParagraph"/>
        <w:numPr>
          <w:ilvl w:val="0"/>
          <w:numId w:val="53"/>
        </w:numPr>
        <w:tabs>
          <w:tab w:val="left" w:pos="2382"/>
        </w:tabs>
        <w:spacing w:before="2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机械设备日常管理</w:t>
      </w:r>
    </w:p>
    <w:p>
      <w:pPr>
        <w:pStyle w:val="ListParagraph"/>
        <w:numPr>
          <w:ilvl w:val="0"/>
          <w:numId w:val="35"/>
        </w:numPr>
        <w:tabs>
          <w:tab w:val="left" w:pos="2594"/>
        </w:tabs>
        <w:spacing w:before="214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机械设备台帐</w:t>
      </w:r>
    </w:p>
    <w:p>
      <w:pPr>
        <w:pStyle w:val="BodyText"/>
        <w:spacing w:before="211" w:line="333" w:lineRule="auto"/>
        <w:ind w:right="689"/>
        <w:jc w:val="both"/>
      </w:pPr>
      <w:r>
        <w:rPr>
          <w:spacing w:val="-12"/>
        </w:rPr>
        <w:t>机械设备经安装调试完毕，确认合格并投入使用后，由项目经理</w:t>
      </w:r>
      <w:r>
        <w:rPr>
          <w:spacing w:val="-20"/>
        </w:rPr>
        <w:t>部设备工长登记进入项目机械设备台帐备案。对台帐内的大型机械建</w:t>
      </w:r>
      <w:r>
        <w:rPr>
          <w:spacing w:val="-19"/>
        </w:rPr>
        <w:t>立技术档案，档案中包括：原始技术资料和验收凭证、建委颁发的设</w:t>
      </w:r>
      <w:r>
        <w:rPr>
          <w:spacing w:val="-8"/>
        </w:rPr>
        <w:t>备编号及经劳动局检验后出具的安全使用合格证、保养记录统计、历次大中修改造记录、运转时间记录、事故记录及履历资料等。</w:t>
      </w:r>
    </w:p>
    <w:p>
      <w:pPr>
        <w:pStyle w:val="ListParagraph"/>
        <w:numPr>
          <w:ilvl w:val="0"/>
          <w:numId w:val="35"/>
        </w:numPr>
        <w:tabs>
          <w:tab w:val="left" w:pos="2594"/>
        </w:tabs>
        <w:spacing w:before="12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“三定”制度</w:t>
      </w:r>
    </w:p>
    <w:p>
      <w:pPr>
        <w:pStyle w:val="BodyText"/>
        <w:spacing w:before="211" w:line="333" w:lineRule="auto"/>
        <w:ind w:right="517"/>
      </w:pPr>
      <w:r>
        <w:rPr>
          <w:spacing w:val="-19"/>
        </w:rPr>
        <w:t xml:space="preserve">由项目设备工长负责贯彻落实机械设备的“定人、定机、定岗位” </w:t>
      </w:r>
      <w:r>
        <w:rPr>
          <w:spacing w:val="-21"/>
        </w:rPr>
        <w:t>的“三定”制度。由分包单位填写机械设备三定登记表并报项目备案。</w:t>
      </w:r>
    </w:p>
    <w:p>
      <w:pPr>
        <w:pStyle w:val="ListParagraph"/>
        <w:numPr>
          <w:ilvl w:val="0"/>
          <w:numId w:val="35"/>
        </w:numPr>
        <w:tabs>
          <w:tab w:val="left" w:pos="2594"/>
        </w:tabs>
        <w:spacing w:before="5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安全技术交底制度</w:t>
      </w:r>
    </w:p>
    <w:p>
      <w:pPr>
        <w:pStyle w:val="BodyText"/>
        <w:spacing w:before="211" w:line="333" w:lineRule="auto"/>
        <w:ind w:right="759"/>
      </w:pPr>
      <w:r>
        <w:t>机械设备操作人员实施操作之前，由项目设备工长/安全工程师对机械设备操作人员进安全技术交底。</w:t>
      </w:r>
    </w:p>
    <w:p>
      <w:pPr>
        <w:pStyle w:val="ListParagraph"/>
        <w:numPr>
          <w:ilvl w:val="0"/>
          <w:numId w:val="35"/>
        </w:numPr>
        <w:tabs>
          <w:tab w:val="left" w:pos="2594"/>
        </w:tabs>
        <w:spacing w:before="5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定期检查、保养制度</w:t>
      </w:r>
    </w:p>
    <w:p>
      <w:pPr>
        <w:pStyle w:val="BodyText"/>
        <w:spacing w:before="211" w:line="333" w:lineRule="auto"/>
        <w:ind w:right="760"/>
      </w:pPr>
      <w:r>
        <w:rPr>
          <w:spacing w:val="-7"/>
        </w:rPr>
        <w:t>由项目设备工长负责组织相关人员对施工设备进行定期检查</w:t>
      </w:r>
      <w:r>
        <w:t>（</w:t>
      </w:r>
      <w:r>
        <w:rPr>
          <w:spacing w:val="-18"/>
        </w:rPr>
        <w:t>包</w:t>
      </w:r>
      <w:r>
        <w:t>括周检和月检）和保养并做好记录。</w:t>
      </w:r>
    </w:p>
    <w:p>
      <w:pPr>
        <w:pStyle w:val="ListParagraph"/>
        <w:numPr>
          <w:ilvl w:val="0"/>
          <w:numId w:val="53"/>
        </w:numPr>
        <w:tabs>
          <w:tab w:val="left" w:pos="2382"/>
        </w:tabs>
        <w:spacing w:before="5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机械设备的使用管理</w:t>
      </w:r>
    </w:p>
    <w:p>
      <w:pPr>
        <w:pStyle w:val="ListParagraph"/>
        <w:numPr>
          <w:ilvl w:val="0"/>
          <w:numId w:val="34"/>
        </w:numPr>
        <w:tabs>
          <w:tab w:val="left" w:pos="2594"/>
        </w:tabs>
        <w:spacing w:before="211" w:after="0" w:line="333" w:lineRule="auto"/>
        <w:ind w:left="1120" w:right="793" w:firstLine="838"/>
        <w:jc w:val="left"/>
        <w:rPr>
          <w:sz w:val="42"/>
        </w:rPr>
      </w:pPr>
      <w:r>
        <w:rPr>
          <w:spacing w:val="-1"/>
          <w:sz w:val="42"/>
        </w:rPr>
        <w:t>在机械设备投入使用前，项目设备工长应熟悉机械设备性能</w:t>
      </w:r>
      <w:r>
        <w:rPr>
          <w:sz w:val="42"/>
        </w:rPr>
        <w:t>并掌握机械设备的合理使用的要点，保证安全使用。</w:t>
      </w:r>
    </w:p>
    <w:p>
      <w:pPr>
        <w:pStyle w:val="ListParagraph"/>
        <w:numPr>
          <w:ilvl w:val="0"/>
          <w:numId w:val="34"/>
        </w:numPr>
        <w:tabs>
          <w:tab w:val="left" w:pos="2594"/>
        </w:tabs>
        <w:spacing w:before="6" w:after="0" w:line="333" w:lineRule="auto"/>
        <w:ind w:left="1120" w:right="745" w:firstLine="838"/>
        <w:jc w:val="both"/>
        <w:rPr>
          <w:sz w:val="42"/>
        </w:rPr>
      </w:pPr>
      <w:r>
        <w:rPr>
          <w:sz w:val="42"/>
        </w:rPr>
        <w:t>严格按照规定的性能要求使用机械设备，要求操作者遵守操</w:t>
      </w:r>
      <w:r>
        <w:rPr>
          <w:spacing w:val="-15"/>
          <w:sz w:val="42"/>
        </w:rPr>
        <w:t>作规程，既不允许机械设备超负荷使用，也不允许长期处于低负荷下</w:t>
      </w:r>
      <w:r>
        <w:rPr>
          <w:sz w:val="42"/>
        </w:rPr>
        <w:t>使用和运转。</w:t>
      </w:r>
    </w:p>
    <w:p>
      <w:pPr>
        <w:pStyle w:val="ListParagraph"/>
        <w:numPr>
          <w:ilvl w:val="0"/>
          <w:numId w:val="34"/>
        </w:numPr>
        <w:tabs>
          <w:tab w:val="left" w:pos="2594"/>
        </w:tabs>
        <w:spacing w:before="6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机械设备使用的燃油和润滑油必须符合规定，电压等级必须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940" w:right="1940" w:bottom="280" w:left="1580" w:header="708" w:footer="708"/>
          <w:pgNumType w:start="17"/>
          <w:cols w:space="708"/>
        </w:sectPr>
      </w:pPr>
    </w:p>
    <w:p>
      <w:pPr>
        <w:pStyle w:val="BodyText"/>
        <w:spacing w:before="22"/>
        <w:ind w:firstLine="0"/>
      </w:pPr>
      <w:r>
        <w:t>符合铭牌规定。</w:t>
      </w:r>
    </w:p>
    <w:p>
      <w:pPr>
        <w:pStyle w:val="ListParagraph"/>
        <w:numPr>
          <w:ilvl w:val="0"/>
          <w:numId w:val="54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施工机械设备配置原则</w:t>
      </w:r>
    </w:p>
    <w:p>
      <w:pPr>
        <w:pStyle w:val="ListParagraph"/>
        <w:numPr>
          <w:ilvl w:val="0"/>
          <w:numId w:val="33"/>
        </w:numPr>
        <w:tabs>
          <w:tab w:val="left" w:pos="2594"/>
        </w:tabs>
        <w:spacing w:before="214" w:after="0" w:line="333" w:lineRule="auto"/>
        <w:ind w:left="1120" w:right="584" w:firstLine="838"/>
        <w:jc w:val="left"/>
        <w:rPr>
          <w:sz w:val="42"/>
        </w:rPr>
      </w:pPr>
      <w:r>
        <w:rPr>
          <w:sz w:val="42"/>
        </w:rPr>
        <w:t>、数量上要充足，不同种类的仪器和机具要配置合理。在施</w:t>
      </w:r>
      <w:r>
        <w:rPr>
          <w:spacing w:val="-15"/>
          <w:sz w:val="42"/>
        </w:rPr>
        <w:t>工高峰期，一方面要考虑满足数量的因素，另一方面要考虑有效的周转使用。</w:t>
      </w:r>
    </w:p>
    <w:p>
      <w:pPr>
        <w:pStyle w:val="ListParagraph"/>
        <w:numPr>
          <w:ilvl w:val="0"/>
          <w:numId w:val="33"/>
        </w:numPr>
        <w:tabs>
          <w:tab w:val="left" w:pos="2594"/>
        </w:tabs>
        <w:spacing w:before="6" w:after="0" w:line="333" w:lineRule="auto"/>
        <w:ind w:left="1120" w:right="535" w:firstLine="838"/>
        <w:jc w:val="both"/>
        <w:rPr>
          <w:sz w:val="42"/>
        </w:rPr>
      </w:pPr>
      <w:r>
        <w:rPr>
          <w:spacing w:val="-13"/>
          <w:sz w:val="42"/>
        </w:rPr>
        <w:t>、保证重要工序和重要部位的施工用仪器和机具。如各种测量</w:t>
      </w:r>
      <w:r>
        <w:rPr>
          <w:spacing w:val="-13"/>
          <w:w w:val="100"/>
          <w:sz w:val="42"/>
        </w:rPr>
        <w:t>仪器不仅要求功能先进，还要求准确有效</w:t>
      </w:r>
      <w:r>
        <w:rPr>
          <w:spacing w:val="-45"/>
          <w:w w:val="100"/>
          <w:sz w:val="42"/>
        </w:rPr>
        <w:t>。“没有规矩不成方圆”，若</w:t>
      </w:r>
      <w:r>
        <w:rPr>
          <w:spacing w:val="-25"/>
          <w:sz w:val="42"/>
        </w:rPr>
        <w:t>对轴线、标高控制线等没有准确的测量数据，精品工程是无从谈起的。</w:t>
      </w:r>
    </w:p>
    <w:p>
      <w:pPr>
        <w:pStyle w:val="ListParagraph"/>
        <w:numPr>
          <w:ilvl w:val="0"/>
          <w:numId w:val="33"/>
        </w:numPr>
        <w:tabs>
          <w:tab w:val="left" w:pos="2594"/>
        </w:tabs>
        <w:spacing w:before="7" w:after="0" w:line="333" w:lineRule="auto"/>
        <w:ind w:left="1120" w:right="736" w:firstLine="838"/>
        <w:jc w:val="left"/>
        <w:rPr>
          <w:sz w:val="42"/>
        </w:rPr>
      </w:pPr>
      <w:r>
        <w:rPr>
          <w:spacing w:val="-13"/>
          <w:sz w:val="42"/>
        </w:rPr>
        <w:t>、置必要的维修工具，在施工期间对各种仪器和设备进行合</w:t>
      </w:r>
      <w:r>
        <w:rPr>
          <w:spacing w:val="-4"/>
          <w:sz w:val="42"/>
        </w:rPr>
        <w:t>理的保养和维修。</w:t>
      </w:r>
    </w:p>
    <w:p>
      <w:pPr>
        <w:pStyle w:val="ListParagraph"/>
        <w:numPr>
          <w:ilvl w:val="0"/>
          <w:numId w:val="54"/>
        </w:numPr>
        <w:tabs>
          <w:tab w:val="left" w:pos="2382"/>
        </w:tabs>
        <w:spacing w:before="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设备使用规定</w:t>
      </w:r>
    </w:p>
    <w:p>
      <w:pPr>
        <w:pStyle w:val="ListParagraph"/>
        <w:numPr>
          <w:ilvl w:val="0"/>
          <w:numId w:val="32"/>
        </w:numPr>
        <w:tabs>
          <w:tab w:val="left" w:pos="2594"/>
        </w:tabs>
        <w:spacing w:before="215" w:after="0" w:line="333" w:lineRule="auto"/>
        <w:ind w:left="1120" w:right="580" w:firstLine="838"/>
        <w:jc w:val="left"/>
        <w:rPr>
          <w:sz w:val="42"/>
        </w:rPr>
      </w:pPr>
      <w:r>
        <w:rPr>
          <w:spacing w:val="-15"/>
          <w:sz w:val="42"/>
        </w:rPr>
        <w:t xml:space="preserve">、项目经理部根据施工组织安排，对施工中的各类机具设备的数量、规格和进场时间作好准备，机具设备要先在场外检修保养， </w:t>
      </w:r>
      <w:r>
        <w:rPr>
          <w:spacing w:val="-4"/>
          <w:sz w:val="42"/>
        </w:rPr>
        <w:t>确保不带病运转。</w:t>
      </w:r>
    </w:p>
    <w:p>
      <w:pPr>
        <w:pStyle w:val="BodyText"/>
        <w:spacing w:before="6" w:line="333" w:lineRule="auto"/>
        <w:ind w:right="751"/>
      </w:pPr>
      <w:r>
        <w:rPr>
          <w:spacing w:val="-10"/>
        </w:rPr>
        <w:t>进场机械设备须经项目经理部逐台进行验收，并填写施工机械设</w:t>
      </w:r>
      <w:r>
        <w:t>备验收清单。</w:t>
      </w:r>
    </w:p>
    <w:p>
      <w:pPr>
        <w:pStyle w:val="ListParagraph"/>
        <w:numPr>
          <w:ilvl w:val="0"/>
          <w:numId w:val="32"/>
        </w:numPr>
        <w:tabs>
          <w:tab w:val="left" w:pos="2594"/>
        </w:tabs>
        <w:spacing w:before="2" w:after="0" w:line="333" w:lineRule="auto"/>
        <w:ind w:left="1120" w:right="581" w:firstLine="838"/>
        <w:jc w:val="left"/>
        <w:rPr>
          <w:sz w:val="42"/>
        </w:rPr>
      </w:pPr>
      <w:r>
        <w:rPr>
          <w:sz w:val="42"/>
        </w:rPr>
        <w:t>、械设备操作人员必须持证上岗，做到定人、定岗、定位。</w:t>
      </w:r>
      <w:r>
        <w:rPr>
          <w:spacing w:val="-14"/>
          <w:sz w:val="42"/>
        </w:rPr>
        <w:t>上岗前，按规定的作业项目和要求做好交接班制度，并做好机械设备日常保养和修理工作。</w:t>
      </w:r>
    </w:p>
    <w:p>
      <w:pPr>
        <w:pStyle w:val="ListParagraph"/>
        <w:numPr>
          <w:ilvl w:val="0"/>
          <w:numId w:val="32"/>
        </w:numPr>
        <w:tabs>
          <w:tab w:val="left" w:pos="2594"/>
        </w:tabs>
        <w:spacing w:before="6" w:after="0" w:line="336" w:lineRule="auto"/>
        <w:ind w:left="1120" w:right="747" w:firstLine="838"/>
        <w:jc w:val="left"/>
        <w:rPr>
          <w:sz w:val="42"/>
        </w:rPr>
      </w:pPr>
      <w:r>
        <w:rPr>
          <w:spacing w:val="-14"/>
          <w:sz w:val="42"/>
        </w:rPr>
        <w:t>、保证机械设备性能满足工程施工需要，必须由操作人员对</w:t>
      </w:r>
      <w:r>
        <w:rPr>
          <w:spacing w:val="-4"/>
          <w:sz w:val="42"/>
        </w:rPr>
        <w:t>其进行系统的维护，项目经理部对机械设备做到每月检查一次。</w:t>
      </w:r>
    </w:p>
    <w:p>
      <w:pPr>
        <w:pStyle w:val="ListParagraph"/>
        <w:numPr>
          <w:ilvl w:val="0"/>
          <w:numId w:val="32"/>
        </w:numPr>
        <w:tabs>
          <w:tab w:val="left" w:pos="2594"/>
        </w:tabs>
        <w:spacing w:before="0" w:after="0" w:line="333" w:lineRule="auto"/>
        <w:ind w:left="1120" w:right="584" w:firstLine="838"/>
        <w:jc w:val="left"/>
        <w:rPr>
          <w:sz w:val="42"/>
        </w:rPr>
      </w:pPr>
      <w:r>
        <w:rPr>
          <w:sz w:val="42"/>
        </w:rPr>
        <w:t>、械设备使用前，按说明书要求进行试验与检验。机具用电</w:t>
      </w:r>
      <w:r>
        <w:rPr>
          <w:spacing w:val="-4"/>
          <w:sz w:val="42"/>
        </w:rPr>
        <w:t>的导线和插座必须符合公司安全用电管理规定。</w:t>
      </w:r>
    </w:p>
    <w:p>
      <w:pPr>
        <w:pStyle w:val="ListParagraph"/>
        <w:numPr>
          <w:ilvl w:val="0"/>
          <w:numId w:val="32"/>
        </w:numPr>
        <w:tabs>
          <w:tab w:val="left" w:pos="2594"/>
        </w:tabs>
        <w:spacing w:before="1" w:after="0" w:line="333" w:lineRule="auto"/>
        <w:ind w:left="1120" w:right="580" w:firstLine="838"/>
        <w:jc w:val="both"/>
        <w:rPr>
          <w:sz w:val="42"/>
        </w:rPr>
      </w:pPr>
      <w:r>
        <w:rPr>
          <w:sz w:val="42"/>
        </w:rPr>
        <w:t>、械使用前、使用后均由操作员进行检查，检查内容包括传</w:t>
      </w:r>
      <w:r>
        <w:rPr>
          <w:spacing w:val="-3"/>
          <w:sz w:val="42"/>
        </w:rPr>
        <w:t>动系统、电控系统及运转的稳定性等，发现异常情况要立即停止使用</w:t>
      </w:r>
      <w:r>
        <w:rPr>
          <w:spacing w:val="-4"/>
          <w:sz w:val="42"/>
        </w:rPr>
        <w:t>，直至找出原因，修复正常为止才可重新使用。</w:t>
      </w:r>
    </w:p>
    <w:p>
      <w:pPr>
        <w:pStyle w:val="BodyText"/>
        <w:spacing w:before="6"/>
        <w:ind w:left="1959" w:firstLine="0"/>
      </w:pPr>
      <w:r>
        <w:t>6）.严禁施工机械带病作业。</w:t>
      </w:r>
    </w:p>
    <w:p>
      <w:pPr>
        <w:spacing w:after="0"/>
        <w:sectPr>
          <w:pgSz w:w="17860" w:h="25260"/>
          <w:pgMar w:top="1940" w:right="1940" w:bottom="280" w:left="1580" w:header="708" w:footer="708"/>
          <w:pgNumType w:start="18"/>
          <w:cols w:space="708"/>
        </w:sectPr>
      </w:pPr>
    </w:p>
    <w:p>
      <w:pPr>
        <w:pStyle w:val="BodyText"/>
        <w:spacing w:before="6"/>
        <w:ind w:left="0" w:firstLine="0"/>
        <w:rPr>
          <w:sz w:val="23"/>
        </w:rPr>
      </w:pPr>
    </w:p>
    <w:p>
      <w:pPr>
        <w:pStyle w:val="Heading1"/>
        <w:spacing w:before="32"/>
        <w:ind w:left="5906"/>
      </w:pPr>
      <w:r>
        <w:t>第四节、施工方案</w:t>
      </w:r>
    </w:p>
    <w:p>
      <w:pPr>
        <w:pStyle w:val="BodyText"/>
        <w:spacing w:before="412" w:line="417" w:lineRule="auto"/>
        <w:ind w:left="1963" w:right="584" w:hanging="4"/>
      </w:pPr>
      <w:r>
        <w:t>本工程需拆除原有管线，主管道接管。新建管线，架空设方式。</w:t>
      </w:r>
      <w:r>
        <w:rPr>
          <w:b/>
        </w:rPr>
        <w:t>设计参数：</w:t>
      </w:r>
      <w:r>
        <w:t>供水 700C，回水 450C，P=1.0MPα</w:t>
      </w:r>
    </w:p>
    <w:p>
      <w:pPr>
        <w:pStyle w:val="Heading2"/>
        <w:spacing w:line="537" w:lineRule="exact"/>
      </w:pPr>
      <w:r>
        <w:t>管道材料：</w:t>
      </w:r>
    </w:p>
    <w:p>
      <w:pPr>
        <w:pStyle w:val="BodyText"/>
        <w:spacing w:before="1"/>
        <w:ind w:left="0" w:firstLine="0"/>
        <w:rPr>
          <w:b/>
          <w:sz w:val="31"/>
        </w:rPr>
      </w:pPr>
    </w:p>
    <w:p>
      <w:pPr>
        <w:pStyle w:val="BodyText"/>
        <w:ind w:left="1959" w:firstLine="0"/>
      </w:pPr>
      <w:r>
        <w:t>1、本工程管道采用输送流体无缝管道，材质为钢20，质量符合</w:t>
      </w:r>
    </w:p>
    <w:p>
      <w:pPr>
        <w:pStyle w:val="BodyText"/>
        <w:spacing w:before="2"/>
        <w:ind w:left="0" w:firstLine="0"/>
        <w:rPr>
          <w:sz w:val="31"/>
        </w:rPr>
      </w:pPr>
    </w:p>
    <w:p>
      <w:pPr>
        <w:pStyle w:val="BodyText"/>
        <w:ind w:firstLine="0"/>
      </w:pPr>
      <w:r>
        <w:t>《输送流体用无缝钢管》GB/T8163—2008。</w:t>
      </w:r>
    </w:p>
    <w:p>
      <w:pPr>
        <w:pStyle w:val="BodyText"/>
        <w:ind w:left="0" w:firstLine="0"/>
        <w:rPr>
          <w:sz w:val="31"/>
        </w:rPr>
      </w:pPr>
    </w:p>
    <w:p>
      <w:pPr>
        <w:pStyle w:val="BodyText"/>
        <w:spacing w:line="417" w:lineRule="auto"/>
        <w:ind w:right="730"/>
      </w:pPr>
      <w:r>
        <w:t>2、弯头、三通、异径接头、管帽材质为钢20，质量符合《钢制对焊无缝管件》GB/T12459—2005。</w:t>
      </w:r>
    </w:p>
    <w:p>
      <w:pPr>
        <w:pStyle w:val="BodyText"/>
        <w:spacing w:line="417" w:lineRule="auto"/>
        <w:ind w:right="793"/>
      </w:pPr>
      <w:r>
        <w:t>3</w:t>
      </w:r>
      <w:r>
        <w:rPr>
          <w:spacing w:val="-1"/>
        </w:rPr>
        <w:t>、管件壁厚不得小于相邻钢管壁厚，架空管道异径接头均采用</w:t>
      </w:r>
      <w:r>
        <w:t>偏心异径接头。</w:t>
      </w:r>
    </w:p>
    <w:p>
      <w:pPr>
        <w:pStyle w:val="BodyText"/>
        <w:spacing w:line="417" w:lineRule="auto"/>
        <w:ind w:left="1963" w:right="5547" w:hanging="4"/>
        <w:rPr>
          <w:b/>
        </w:rPr>
      </w:pPr>
      <w:r>
        <w:t>4</w:t>
      </w:r>
      <w:r>
        <w:rPr>
          <w:spacing w:val="-8"/>
        </w:rPr>
        <w:t xml:space="preserve">、阀门为钢制阀门，压力膦 </w:t>
      </w:r>
      <w:r>
        <w:rPr>
          <w:spacing w:val="-4"/>
        </w:rPr>
        <w:t xml:space="preserve">1.6MPα </w:t>
      </w:r>
      <w:r>
        <w:rPr>
          <w:b/>
        </w:rPr>
        <w:t>保温方式：</w:t>
      </w:r>
    </w:p>
    <w:p>
      <w:pPr>
        <w:pStyle w:val="BodyText"/>
        <w:spacing w:line="417" w:lineRule="auto"/>
        <w:ind w:right="580"/>
      </w:pPr>
      <w:r>
        <w:t>1、所有架空管道均采用工厂预制保温管，管道保温采用普通聚氨酯泡沫塑料，保护层采用玻璃纤维增强塑料。性能指标满足《玻璃纤维增强塑料外层聚氨酯泡沫塑料预制直埋保温管》CJ/T129—2000 的要求。</w:t>
      </w:r>
    </w:p>
    <w:p>
      <w:pPr>
        <w:pStyle w:val="BodyText"/>
        <w:spacing w:line="537" w:lineRule="exact"/>
        <w:ind w:left="1959" w:firstLine="0"/>
      </w:pPr>
      <w:r>
        <w:t>2、放水放气管需保温。保温材料为离心玻璃保温管壳，厚度为</w:t>
      </w:r>
    </w:p>
    <w:p>
      <w:pPr>
        <w:pStyle w:val="BodyText"/>
        <w:ind w:left="0" w:firstLine="0"/>
        <w:rPr>
          <w:sz w:val="31"/>
        </w:rPr>
      </w:pPr>
    </w:p>
    <w:p>
      <w:pPr>
        <w:pStyle w:val="BodyText"/>
        <w:spacing w:before="1" w:line="417" w:lineRule="auto"/>
        <w:ind w:right="739" w:firstLine="0"/>
      </w:pPr>
      <w:r>
        <w:rPr>
          <w:spacing w:val="-15"/>
        </w:rPr>
        <w:t>30mm</w:t>
      </w:r>
      <w:r>
        <w:rPr>
          <w:spacing w:val="-11"/>
        </w:rPr>
        <w:t>，玻璃布保护层外涂乳化沥青，保温及保护层材料用量以现场实</w:t>
      </w:r>
      <w:r>
        <w:t>际发生量为准。</w:t>
      </w:r>
    </w:p>
    <w:p>
      <w:pPr>
        <w:pStyle w:val="BodyText"/>
        <w:spacing w:line="537" w:lineRule="exact"/>
        <w:ind w:left="1959" w:firstLine="0"/>
      </w:pPr>
      <w:r>
        <w:t>3、保温补口</w:t>
      </w:r>
    </w:p>
    <w:p>
      <w:pPr>
        <w:pStyle w:val="BodyText"/>
        <w:ind w:left="0" w:firstLine="0"/>
        <w:rPr>
          <w:sz w:val="31"/>
        </w:rPr>
      </w:pPr>
    </w:p>
    <w:p>
      <w:pPr>
        <w:pStyle w:val="BodyText"/>
        <w:ind w:left="1959" w:firstLine="0"/>
      </w:pPr>
      <w:r>
        <w:t>焊口探伤合格后，由保温厂家对阀门、管件及接口进行现场保温。</w:t>
      </w:r>
    </w:p>
    <w:p>
      <w:pPr>
        <w:spacing w:after="0"/>
        <w:sectPr>
          <w:pgSz w:w="17860" w:h="25260"/>
          <w:pgMar w:top="2420" w:right="1940" w:bottom="280" w:left="1580" w:header="708" w:footer="708"/>
          <w:pgNumType w:start="19"/>
          <w:cols w:space="708"/>
        </w:sectPr>
      </w:pPr>
    </w:p>
    <w:p>
      <w:pPr>
        <w:pStyle w:val="BodyText"/>
        <w:spacing w:before="20"/>
        <w:ind w:firstLine="0"/>
      </w:pPr>
      <w:r>
        <w:t>保温质量应符合设计说明《城镇供热直埋热水管道技术规程》CJJ/T81</w:t>
      </w:r>
    </w:p>
    <w:p>
      <w:pPr>
        <w:pStyle w:val="BodyText"/>
        <w:spacing w:before="1"/>
        <w:ind w:left="0" w:firstLine="0"/>
        <w:rPr>
          <w:sz w:val="31"/>
        </w:rPr>
      </w:pPr>
    </w:p>
    <w:p>
      <w:pPr>
        <w:pStyle w:val="BodyText"/>
        <w:spacing w:line="417" w:lineRule="auto"/>
        <w:ind w:right="751" w:firstLine="0"/>
      </w:pPr>
      <w:r>
        <w:t>—2013</w:t>
      </w:r>
      <w:r>
        <w:rPr>
          <w:spacing w:val="-19"/>
        </w:rPr>
        <w:t xml:space="preserve"> 及《城镇供热管网工程施工及验收规范》</w:t>
      </w:r>
      <w:r>
        <w:t>CJJ28—2014</w:t>
      </w:r>
      <w:r>
        <w:rPr>
          <w:spacing w:val="-27"/>
        </w:rPr>
        <w:t xml:space="preserve"> 中的相</w:t>
      </w:r>
      <w:r>
        <w:t>关规定。</w:t>
      </w:r>
    </w:p>
    <w:p>
      <w:pPr>
        <w:pStyle w:val="Heading2"/>
        <w:spacing w:line="537" w:lineRule="exact"/>
      </w:pPr>
      <w:r>
        <w:t>管道焊接要求：</w:t>
      </w:r>
    </w:p>
    <w:p>
      <w:pPr>
        <w:pStyle w:val="BodyText"/>
        <w:ind w:left="0" w:firstLine="0"/>
        <w:rPr>
          <w:b/>
          <w:sz w:val="31"/>
        </w:rPr>
      </w:pPr>
    </w:p>
    <w:p>
      <w:pPr>
        <w:pStyle w:val="BodyText"/>
        <w:ind w:left="1959" w:firstLine="0"/>
      </w:pPr>
      <w:r>
        <w:t>1、管道的连接均采用电焊，焊条型号为E4303，牌号为J422。</w:t>
      </w:r>
    </w:p>
    <w:p>
      <w:pPr>
        <w:pStyle w:val="BodyText"/>
        <w:spacing w:before="1"/>
        <w:ind w:left="0" w:firstLine="0"/>
        <w:rPr>
          <w:sz w:val="31"/>
        </w:rPr>
      </w:pPr>
    </w:p>
    <w:p>
      <w:pPr>
        <w:pStyle w:val="BodyText"/>
        <w:spacing w:line="417" w:lineRule="auto"/>
        <w:ind w:right="372"/>
      </w:pPr>
      <w:r>
        <w:t>2</w:t>
      </w:r>
      <w:r>
        <w:rPr>
          <w:spacing w:val="-1"/>
        </w:rPr>
        <w:t>、管道焊缝表面不得有裂纹、气孔、夹渣等缺陷，不得有漏焊、</w:t>
      </w:r>
      <w:r>
        <w:t>欠焊。焊口焊缝超声波控伤检测比例为：所有管件，连接处和折点处</w:t>
      </w:r>
      <w:r>
        <w:rPr>
          <w:spacing w:val="-26"/>
        </w:rPr>
        <w:t xml:space="preserve">焊缝须 </w:t>
      </w:r>
      <w:r>
        <w:t>100</w:t>
      </w:r>
      <w:r>
        <w:rPr>
          <w:spacing w:val="-16"/>
        </w:rPr>
        <w:t xml:space="preserve">%探伤；直埋直管段焊口焊缝须抽检 </w:t>
      </w:r>
      <w:r>
        <w:t>30</w:t>
      </w:r>
      <w:r>
        <w:rPr>
          <w:spacing w:val="-10"/>
        </w:rPr>
        <w:t>%探伤，架空直管段</w:t>
      </w:r>
      <w:r>
        <w:rPr>
          <w:spacing w:val="-4"/>
        </w:rPr>
        <w:t xml:space="preserve">焊口焊缝须抽检 </w:t>
      </w:r>
      <w:r>
        <w:t>2%。焊口焊缝超声波探伤完成后，须采用射线探伤复</w:t>
      </w:r>
      <w:r>
        <w:rPr>
          <w:spacing w:val="-9"/>
        </w:rPr>
        <w:t xml:space="preserve">查，复检数量为超声波探伤数量的 </w:t>
      </w:r>
      <w:r>
        <w:t>20%。焊口焊缝超声波探伤，质量标准按照《焊缝无损检测超声检测技术、检测等级和评定》GB/T11354—2013</w:t>
      </w:r>
      <w:r>
        <w:rPr>
          <w:spacing w:val="-12"/>
        </w:rPr>
        <w:t xml:space="preserve"> 执行，要求进行 </w:t>
      </w:r>
      <w:r>
        <w:t>100</w:t>
      </w:r>
      <w:r>
        <w:rPr>
          <w:spacing w:val="-9"/>
        </w:rPr>
        <w:t>%超声波探伤的焊缝，不得小于</w:t>
      </w:r>
      <w:r>
        <w:t>I</w:t>
      </w:r>
      <w:r>
        <w:rPr>
          <w:spacing w:val="-41"/>
        </w:rPr>
        <w:t xml:space="preserve"> </w:t>
      </w:r>
      <w:r>
        <w:rPr>
          <w:spacing w:val="-3"/>
        </w:rPr>
        <w:t xml:space="preserve">级质量要求，要求进行超声波探伤抽检的焊缝，不得小于 </w:t>
      </w:r>
      <w:r>
        <w:t>II</w:t>
      </w:r>
      <w:r>
        <w:rPr>
          <w:spacing w:val="-11"/>
        </w:rPr>
        <w:t xml:space="preserve"> 级质量</w:t>
      </w:r>
      <w:r>
        <w:rPr>
          <w:spacing w:val="-9"/>
        </w:rPr>
        <w:t>要求，射线探伤的焊缝质量不得小于《无损检测 金属管道熔化焊环</w:t>
      </w:r>
      <w:r>
        <w:rPr>
          <w:spacing w:val="-23"/>
        </w:rPr>
        <w:t>向对接接头射线照相检测检测方法》</w:t>
      </w:r>
      <w:r>
        <w:t>GB/T12605</w:t>
      </w:r>
      <w:r>
        <w:rPr>
          <w:spacing w:val="-10"/>
        </w:rPr>
        <w:t xml:space="preserve"> 的</w:t>
      </w:r>
      <w:r>
        <w:t>III</w:t>
      </w:r>
      <w:r>
        <w:rPr>
          <w:spacing w:val="-16"/>
        </w:rPr>
        <w:t xml:space="preserve"> 级质量要求。确认合格后并应有验收手续，再进行保温。</w:t>
      </w:r>
    </w:p>
    <w:p>
      <w:pPr>
        <w:pStyle w:val="Heading2"/>
        <w:spacing w:line="536" w:lineRule="exact"/>
      </w:pPr>
      <w:r>
        <w:t>压力试验：</w:t>
      </w:r>
    </w:p>
    <w:p>
      <w:pPr>
        <w:pStyle w:val="BodyText"/>
        <w:spacing w:before="1"/>
        <w:ind w:left="0" w:firstLine="0"/>
        <w:rPr>
          <w:b/>
          <w:sz w:val="31"/>
        </w:rPr>
      </w:pPr>
    </w:p>
    <w:p>
      <w:pPr>
        <w:pStyle w:val="BodyText"/>
        <w:spacing w:line="417" w:lineRule="auto"/>
        <w:ind w:right="753"/>
      </w:pPr>
      <w:r>
        <w:t>1</w:t>
      </w:r>
      <w:r>
        <w:rPr>
          <w:spacing w:val="-22"/>
        </w:rPr>
        <w:t xml:space="preserve">、本式程要求进行强度试验与严密性试验，试验压力均为 </w:t>
      </w:r>
      <w:r>
        <w:rPr>
          <w:spacing w:val="-3"/>
        </w:rPr>
        <w:t xml:space="preserve">1.0MP </w:t>
      </w:r>
      <w:r>
        <w:t>α，</w:t>
      </w:r>
      <w:r>
        <w:rPr>
          <w:spacing w:val="-11"/>
        </w:rPr>
        <w:t xml:space="preserve">冬季施工环境温度低于 </w:t>
      </w:r>
      <w:r>
        <w:t>50C，试压应有防冻措施。</w:t>
      </w:r>
    </w:p>
    <w:p>
      <w:pPr>
        <w:pStyle w:val="BodyText"/>
        <w:spacing w:line="417" w:lineRule="auto"/>
        <w:ind w:right="793"/>
      </w:pPr>
      <w:r>
        <w:t>2</w:t>
      </w:r>
      <w:r>
        <w:rPr>
          <w:spacing w:val="-1"/>
        </w:rPr>
        <w:t>、强度、严密性试验应符合的《城镇供热管网工程施工及验收</w:t>
      </w:r>
      <w:r>
        <w:rPr>
          <w:spacing w:val="-2"/>
        </w:rPr>
        <w:t>规范》</w:t>
      </w:r>
      <w:r>
        <w:t>CJJ28</w:t>
      </w:r>
      <w:r>
        <w:rPr>
          <w:spacing w:val="-105"/>
        </w:rPr>
        <w:t>。、</w:t>
      </w:r>
    </w:p>
    <w:p>
      <w:pPr>
        <w:pStyle w:val="BodyText"/>
        <w:spacing w:line="537" w:lineRule="exact"/>
        <w:ind w:left="1959" w:firstLine="0"/>
      </w:pPr>
      <w:r>
        <w:t>管道的清洗、试运行、施工及验收：</w:t>
      </w:r>
    </w:p>
    <w:p>
      <w:pPr>
        <w:spacing w:after="0" w:line="537" w:lineRule="exact"/>
        <w:sectPr>
          <w:pgSz w:w="17860" w:h="25260"/>
          <w:pgMar w:top="1960" w:right="1940" w:bottom="280" w:left="1580" w:header="708" w:footer="708"/>
          <w:pgNumType w:start="20"/>
          <w:cols w:space="708"/>
        </w:sectPr>
      </w:pPr>
    </w:p>
    <w:p>
      <w:pPr>
        <w:pStyle w:val="BodyText"/>
        <w:spacing w:before="20" w:line="417" w:lineRule="auto"/>
        <w:ind w:right="584"/>
      </w:pPr>
      <w:r>
        <w:t>管道的清洗、试运行、施工及验收应严格按照《城镇供热管网工程施工及验收规范》CJJ28 的要求进行。</w:t>
      </w:r>
    </w:p>
    <w:p>
      <w:pPr>
        <w:pStyle w:val="Heading2"/>
        <w:spacing w:line="537" w:lineRule="exact"/>
      </w:pPr>
      <w:r>
        <w:t>其它：</w:t>
      </w:r>
    </w:p>
    <w:p>
      <w:pPr>
        <w:pStyle w:val="BodyText"/>
        <w:spacing w:before="1"/>
        <w:ind w:left="0" w:firstLine="0"/>
        <w:rPr>
          <w:b/>
          <w:sz w:val="31"/>
        </w:rPr>
      </w:pPr>
    </w:p>
    <w:p>
      <w:pPr>
        <w:pStyle w:val="BodyText"/>
        <w:spacing w:line="417" w:lineRule="auto"/>
        <w:ind w:right="736"/>
        <w:jc w:val="both"/>
      </w:pPr>
      <w:r>
        <w:t>1</w:t>
      </w:r>
      <w:r>
        <w:rPr>
          <w:spacing w:val="-9"/>
        </w:rPr>
        <w:t xml:space="preserve">、小区面积大于 </w:t>
      </w:r>
      <w:r>
        <w:t>2</w:t>
      </w:r>
      <w:r>
        <w:rPr>
          <w:spacing w:val="-9"/>
        </w:rPr>
        <w:t xml:space="preserve"> 万平米时，供、回水加装闸阀，回水加装手</w:t>
      </w:r>
      <w:r>
        <w:rPr>
          <w:spacing w:val="-18"/>
        </w:rPr>
        <w:t xml:space="preserve">动调节阀，供回水管阀门后加装温度计，小区面积小 </w:t>
      </w:r>
      <w:r>
        <w:t>2</w:t>
      </w:r>
      <w:r>
        <w:rPr>
          <w:spacing w:val="-15"/>
        </w:rPr>
        <w:t xml:space="preserve"> 万平米时取消回水管手动调节阀，其余不变。</w:t>
      </w:r>
    </w:p>
    <w:p>
      <w:pPr>
        <w:pStyle w:val="BodyText"/>
        <w:spacing w:line="417" w:lineRule="auto"/>
        <w:ind w:right="540"/>
      </w:pPr>
      <w:r>
        <w:t>2、连接阀门的法兰、反法兰、垫片、螺栓、螺母等材料，由阀</w:t>
      </w:r>
      <w:r>
        <w:rPr>
          <w:spacing w:val="-6"/>
        </w:rPr>
        <w:t xml:space="preserve">门厂家配套供货，法兰彩用 </w:t>
      </w:r>
      <w:r>
        <w:t>GB/T9119—2010</w:t>
      </w:r>
      <w:r>
        <w:rPr>
          <w:spacing w:val="-9"/>
        </w:rPr>
        <w:t xml:space="preserve"> 法兰公称压力，规格与对应阀门相一致；密封垫片采用金属厂墨缠绕垫。坚固件采用标准； </w:t>
      </w:r>
      <w:r>
        <w:rPr>
          <w:spacing w:val="28"/>
        </w:rPr>
        <w:t>螺栓为</w:t>
      </w:r>
      <w:r>
        <w:rPr>
          <w:spacing w:val="-9"/>
        </w:rPr>
        <w:t>GB/T5781——2000</w:t>
      </w:r>
      <w:r>
        <w:rPr>
          <w:spacing w:val="-21"/>
        </w:rPr>
        <w:t xml:space="preserve">，螺母为 </w:t>
      </w:r>
      <w:r>
        <w:rPr>
          <w:spacing w:val="-11"/>
        </w:rPr>
        <w:t>GB/T41—2000</w:t>
      </w:r>
      <w:r>
        <w:rPr>
          <w:spacing w:val="-14"/>
        </w:rPr>
        <w:t xml:space="preserve">，螺栓材质为钢 </w:t>
      </w:r>
      <w:r>
        <w:rPr>
          <w:spacing w:val="-7"/>
        </w:rPr>
        <w:t xml:space="preserve">35， </w:t>
      </w:r>
      <w:r>
        <w:rPr>
          <w:spacing w:val="-13"/>
        </w:rPr>
        <w:t xml:space="preserve">螺母材质为钢 </w:t>
      </w:r>
      <w:r>
        <w:t>25</w:t>
      </w:r>
      <w:r>
        <w:rPr>
          <w:spacing w:val="-18"/>
        </w:rPr>
        <w:t xml:space="preserve">。垫圈为 </w:t>
      </w:r>
      <w:r>
        <w:t>GB95—2002</w:t>
      </w:r>
      <w:r>
        <w:rPr>
          <w:spacing w:val="-20"/>
        </w:rPr>
        <w:t xml:space="preserve"> 规格。垫圈材质为 </w:t>
      </w:r>
      <w:r>
        <w:t>Q235A，数量与法兰相配。</w:t>
      </w:r>
    </w:p>
    <w:p>
      <w:pPr>
        <w:pStyle w:val="Heading2"/>
        <w:spacing w:line="537" w:lineRule="exact"/>
      </w:pPr>
      <w:r>
        <w:t>施工工艺</w:t>
      </w:r>
    </w:p>
    <w:p>
      <w:pPr>
        <w:pStyle w:val="BodyText"/>
        <w:spacing w:before="8"/>
        <w:ind w:left="0" w:firstLine="0"/>
        <w:rPr>
          <w:b/>
          <w:sz w:val="29"/>
        </w:rPr>
      </w:pPr>
    </w:p>
    <w:p>
      <w:pPr>
        <w:spacing w:before="0"/>
        <w:ind w:left="1963" w:right="0" w:firstLine="0"/>
        <w:jc w:val="left"/>
        <w:rPr>
          <w:b/>
          <w:sz w:val="42"/>
        </w:rPr>
      </w:pPr>
      <w:r>
        <w:rPr>
          <w:b/>
          <w:sz w:val="42"/>
        </w:rPr>
        <w:t>1、一般规定</w:t>
      </w:r>
    </w:p>
    <w:p>
      <w:pPr>
        <w:pStyle w:val="ListParagraph"/>
        <w:numPr>
          <w:ilvl w:val="0"/>
          <w:numId w:val="31"/>
        </w:numPr>
        <w:tabs>
          <w:tab w:val="left" w:pos="3019"/>
        </w:tabs>
        <w:spacing w:before="211" w:after="0" w:line="336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管材、管道附件、阀门、标准件等，应按设计要求加工或</w:t>
      </w:r>
      <w:r>
        <w:rPr>
          <w:sz w:val="42"/>
        </w:rPr>
        <w:t>购置。</w:t>
      </w:r>
    </w:p>
    <w:p>
      <w:pPr>
        <w:pStyle w:val="ListParagraph"/>
        <w:numPr>
          <w:ilvl w:val="0"/>
          <w:numId w:val="31"/>
        </w:numPr>
        <w:tabs>
          <w:tab w:val="left" w:pos="3016"/>
        </w:tabs>
        <w:spacing w:before="0" w:after="0" w:line="333" w:lineRule="auto"/>
        <w:ind w:left="1120" w:right="516" w:firstLine="838"/>
        <w:jc w:val="left"/>
        <w:rPr>
          <w:sz w:val="42"/>
        </w:rPr>
      </w:pPr>
      <w:r>
        <w:rPr>
          <w:sz w:val="42"/>
        </w:rPr>
        <w:t>管材的材质和壁厚偏差应符合国家现行管材制造技术标准</w:t>
      </w:r>
      <w:r>
        <w:rPr>
          <w:spacing w:val="-4"/>
          <w:sz w:val="42"/>
        </w:rPr>
        <w:t>，必须具有制造厂的产品证书，证书中所缺项目应作补充检验。</w:t>
      </w:r>
    </w:p>
    <w:p>
      <w:pPr>
        <w:pStyle w:val="ListParagraph"/>
        <w:numPr>
          <w:ilvl w:val="0"/>
          <w:numId w:val="31"/>
        </w:numPr>
        <w:tabs>
          <w:tab w:val="left" w:pos="3019"/>
        </w:tabs>
        <w:spacing w:before="0" w:after="0" w:line="333" w:lineRule="auto"/>
        <w:ind w:left="1120" w:right="536" w:firstLine="838"/>
        <w:jc w:val="left"/>
        <w:rPr>
          <w:sz w:val="42"/>
        </w:rPr>
      </w:pPr>
      <w:r>
        <w:rPr>
          <w:sz w:val="42"/>
        </w:rPr>
        <w:t>制作卷管、受内压管件和容器用的钢板，在使用前应作检</w:t>
      </w:r>
      <w:r>
        <w:rPr>
          <w:spacing w:val="-21"/>
          <w:sz w:val="42"/>
        </w:rPr>
        <w:t xml:space="preserve">查，不得有超过壁厚允许负偏差的锈蚀、凹陷以及裂纹和重皮等缺陷， </w:t>
      </w:r>
      <w:r>
        <w:rPr>
          <w:sz w:val="42"/>
        </w:rPr>
        <w:t>发现的局部缺陷应进行修补。</w:t>
      </w:r>
    </w:p>
    <w:p>
      <w:pPr>
        <w:pStyle w:val="ListParagraph"/>
        <w:numPr>
          <w:ilvl w:val="0"/>
          <w:numId w:val="31"/>
        </w:numPr>
        <w:tabs>
          <w:tab w:val="left" w:pos="3019"/>
        </w:tabs>
        <w:spacing w:before="6" w:after="0" w:line="333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对已预制了防腐层和保温层的管道及附件，在吊装和运输</w:t>
      </w:r>
      <w:r>
        <w:rPr>
          <w:sz w:val="42"/>
        </w:rPr>
        <w:t>前必须制订严格的防止损坏的技术措施，并认真实施。</w:t>
      </w:r>
    </w:p>
    <w:p>
      <w:pPr>
        <w:pStyle w:val="ListParagraph"/>
        <w:numPr>
          <w:ilvl w:val="0"/>
          <w:numId w:val="31"/>
        </w:numPr>
        <w:tabs>
          <w:tab w:val="left" w:pos="3019"/>
        </w:tabs>
        <w:spacing w:before="2" w:after="0" w:line="240" w:lineRule="auto"/>
        <w:ind w:left="3018" w:right="0" w:hanging="1060"/>
        <w:jc w:val="left"/>
        <w:rPr>
          <w:sz w:val="42"/>
        </w:rPr>
      </w:pPr>
      <w:r>
        <w:rPr>
          <w:sz w:val="42"/>
        </w:rPr>
        <w:t>管件制作和可预组装的部分宜在管道安装前完成，并经检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960" w:right="1940" w:bottom="280" w:left="1580" w:header="708" w:footer="708"/>
          <w:pgNumType w:start="21"/>
          <w:cols w:space="708"/>
        </w:sectPr>
      </w:pPr>
    </w:p>
    <w:p>
      <w:pPr>
        <w:pStyle w:val="BodyText"/>
        <w:spacing w:before="22"/>
        <w:ind w:firstLine="0"/>
      </w:pPr>
      <w:r>
        <w:t>验合格。</w:t>
      </w:r>
    </w:p>
    <w:p>
      <w:pPr>
        <w:pStyle w:val="ListParagraph"/>
        <w:numPr>
          <w:ilvl w:val="0"/>
          <w:numId w:val="55"/>
        </w:numPr>
        <w:tabs>
          <w:tab w:val="left" w:pos="3052"/>
        </w:tabs>
        <w:spacing w:before="211" w:after="0" w:line="336" w:lineRule="auto"/>
        <w:ind w:left="1120" w:right="1178" w:firstLine="838"/>
        <w:jc w:val="left"/>
        <w:rPr>
          <w:sz w:val="42"/>
        </w:rPr>
      </w:pPr>
      <w:r>
        <w:rPr>
          <w:spacing w:val="-1"/>
          <w:sz w:val="42"/>
        </w:rPr>
        <w:t>管子、管件、阀门等安装前应按设计要求核对型号并按</w:t>
      </w:r>
      <w:r>
        <w:rPr>
          <w:sz w:val="42"/>
        </w:rPr>
        <w:t>CJJ28-2005</w:t>
      </w:r>
      <w:r>
        <w:rPr>
          <w:spacing w:val="-16"/>
          <w:sz w:val="42"/>
        </w:rPr>
        <w:t xml:space="preserve"> 规定进行检验。</w:t>
      </w:r>
    </w:p>
    <w:p>
      <w:pPr>
        <w:pStyle w:val="ListParagraph"/>
        <w:numPr>
          <w:ilvl w:val="0"/>
          <w:numId w:val="55"/>
        </w:numPr>
        <w:tabs>
          <w:tab w:val="left" w:pos="3019"/>
        </w:tabs>
        <w:spacing w:before="0" w:after="0" w:line="333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施工间断时，管口应用堵板封闭，雨季用的堵板尚应具有</w:t>
      </w:r>
      <w:r>
        <w:rPr>
          <w:sz w:val="42"/>
        </w:rPr>
        <w:t>防止泥浆进入管腔的功能。</w:t>
      </w:r>
    </w:p>
    <w:p>
      <w:pPr>
        <w:pStyle w:val="Heading2"/>
      </w:pPr>
      <w:r>
        <w:t>2、管道、支吊架和滑托制作应符合下列要求：</w:t>
      </w:r>
    </w:p>
    <w:p>
      <w:pPr>
        <w:pStyle w:val="ListParagraph"/>
        <w:numPr>
          <w:ilvl w:val="0"/>
          <w:numId w:val="30"/>
        </w:numPr>
        <w:tabs>
          <w:tab w:val="left" w:pos="3019"/>
        </w:tabs>
        <w:spacing w:before="210" w:after="0" w:line="333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支架、吊架和滑托的型式、材质、外形尺寸、制作精度及</w:t>
      </w:r>
      <w:r>
        <w:rPr>
          <w:sz w:val="42"/>
        </w:rPr>
        <w:t>焊接质量应符合设计要求，焊接变形应予以矫正；</w:t>
      </w:r>
    </w:p>
    <w:p>
      <w:pPr>
        <w:pStyle w:val="ListParagraph"/>
        <w:numPr>
          <w:ilvl w:val="0"/>
          <w:numId w:val="30"/>
        </w:numPr>
        <w:tabs>
          <w:tab w:val="left" w:pos="3019"/>
        </w:tabs>
        <w:spacing w:before="6" w:after="0" w:line="333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支架上承接滑托的滑动支撑板、滑托的滑动平面及支吊架</w:t>
      </w:r>
      <w:r>
        <w:rPr>
          <w:sz w:val="42"/>
        </w:rPr>
        <w:t>弹簧盒的工作面应平整、光滑、无毛刺及焊渣等；</w:t>
      </w:r>
    </w:p>
    <w:p>
      <w:pPr>
        <w:pStyle w:val="ListParagraph"/>
        <w:numPr>
          <w:ilvl w:val="0"/>
          <w:numId w:val="30"/>
        </w:numPr>
        <w:tabs>
          <w:tab w:val="left" w:pos="3019"/>
        </w:tabs>
        <w:spacing w:before="2" w:after="0" w:line="336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组合式弹簧支架应具有合格证书，安装前应进行检查，并</w:t>
      </w:r>
      <w:r>
        <w:rPr>
          <w:sz w:val="42"/>
        </w:rPr>
        <w:t>符合下列要求：</w:t>
      </w:r>
    </w:p>
    <w:p>
      <w:pPr>
        <w:pStyle w:val="BodyText"/>
        <w:spacing w:line="533" w:lineRule="exact"/>
        <w:ind w:left="1959" w:firstLine="0"/>
      </w:pPr>
      <w:r>
        <w:t>a、外形尺寸偏差应符合图纸要求；</w:t>
      </w:r>
    </w:p>
    <w:p>
      <w:pPr>
        <w:pStyle w:val="BodyText"/>
        <w:spacing w:before="210"/>
        <w:ind w:left="1959" w:firstLine="0"/>
      </w:pPr>
      <w:r>
        <w:t>b、弹簧不应有裂纹、折迭、分层、锈蚀等缺陷；</w:t>
      </w:r>
    </w:p>
    <w:p>
      <w:pPr>
        <w:pStyle w:val="BodyText"/>
        <w:spacing w:before="215" w:line="333" w:lineRule="auto"/>
        <w:ind w:right="793"/>
      </w:pPr>
      <w:r>
        <w:t>c、弹簧两端支承面应与弹簧轴线垂直，其偏差不超过自由高度的 2%。</w:t>
      </w:r>
    </w:p>
    <w:p>
      <w:pPr>
        <w:pStyle w:val="ListParagraph"/>
        <w:numPr>
          <w:ilvl w:val="0"/>
          <w:numId w:val="30"/>
        </w:numPr>
        <w:tabs>
          <w:tab w:val="left" w:pos="3019"/>
        </w:tabs>
        <w:spacing w:before="2" w:after="0" w:line="336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已预制完成并经检查合格的管道支架、滑托等应按设计规</w:t>
      </w:r>
      <w:r>
        <w:rPr>
          <w:sz w:val="42"/>
        </w:rPr>
        <w:t>定进行防腐处理，并妥善保管；</w:t>
      </w:r>
    </w:p>
    <w:p>
      <w:pPr>
        <w:pStyle w:val="ListParagraph"/>
        <w:numPr>
          <w:ilvl w:val="0"/>
          <w:numId w:val="30"/>
        </w:numPr>
        <w:tabs>
          <w:tab w:val="left" w:pos="3019"/>
        </w:tabs>
        <w:spacing w:before="0" w:after="0" w:line="333" w:lineRule="auto"/>
        <w:ind w:left="1120" w:right="789" w:firstLine="838"/>
        <w:jc w:val="left"/>
        <w:rPr>
          <w:sz w:val="42"/>
        </w:rPr>
      </w:pPr>
      <w:r>
        <w:rPr>
          <w:spacing w:val="-1"/>
          <w:sz w:val="42"/>
        </w:rPr>
        <w:t>焊在管壁上的弧形板应用模具压制成型，用同径钢管切割</w:t>
      </w:r>
      <w:r>
        <w:rPr>
          <w:sz w:val="42"/>
        </w:rPr>
        <w:t>的，必须用模具整形。</w:t>
      </w:r>
    </w:p>
    <w:p>
      <w:pPr>
        <w:pStyle w:val="Heading2"/>
      </w:pPr>
      <w:r>
        <w:t>3、管道支架安装</w:t>
      </w:r>
    </w:p>
    <w:p>
      <w:pPr>
        <w:pStyle w:val="BodyText"/>
        <w:spacing w:before="210" w:line="333" w:lineRule="auto"/>
        <w:ind w:right="580"/>
      </w:pPr>
      <w:r>
        <w:t>⑴、管道安装前，应完成管道支架的安装，支架的位置应正确、平整、 牢固，坡度符合设计规定。管道支架支撑表面的标高可采用在其上部加设金属垫板的方式，进行调整。金属垫板不得超过两层， 垫板应与预埋铁件或钢结构进行焊接，不得浮加于滑托和支架之间， 也不得加于滑托和管子之间。使用吊架的管道坡度可用吊杆螺栓进行调整。</w:t>
      </w:r>
    </w:p>
    <w:p>
      <w:pPr>
        <w:spacing w:after="0" w:line="333" w:lineRule="auto"/>
        <w:sectPr>
          <w:pgSz w:w="17860" w:h="25260"/>
          <w:pgMar w:top="1940" w:right="1940" w:bottom="280" w:left="1580" w:header="708" w:footer="708"/>
          <w:pgNumType w:start="22"/>
          <w:cols w:space="708"/>
        </w:sectPr>
      </w:pPr>
    </w:p>
    <w:p>
      <w:pPr>
        <w:pStyle w:val="BodyText"/>
        <w:spacing w:before="22" w:line="333" w:lineRule="auto"/>
        <w:ind w:right="732"/>
        <w:jc w:val="both"/>
      </w:pPr>
      <w:r>
        <w:rPr>
          <w:spacing w:val="-15"/>
        </w:rPr>
        <w:t>⑵、管道滑托、吊架的吊杆中心应处于与管道热位移方向相反的</w:t>
      </w:r>
      <w:r>
        <w:rPr>
          <w:spacing w:val="10"/>
        </w:rPr>
        <w:t>一侧。 其偏移量在</w:t>
      </w:r>
      <w:r>
        <w:t>X</w:t>
      </w:r>
      <w:r>
        <w:rPr>
          <w:spacing w:val="-4"/>
        </w:rPr>
        <w:t>、</w:t>
      </w:r>
      <w:r>
        <w:t>Y、Z</w:t>
      </w:r>
      <w:r>
        <w:rPr>
          <w:spacing w:val="-11"/>
        </w:rPr>
        <w:t xml:space="preserve"> 三个轴线上均应为计算位移量的一半。</w:t>
      </w:r>
    </w:p>
    <w:p>
      <w:pPr>
        <w:pStyle w:val="BodyText"/>
        <w:spacing w:before="5" w:line="333" w:lineRule="auto"/>
        <w:ind w:right="754"/>
        <w:jc w:val="both"/>
      </w:pPr>
      <w:r>
        <w:rPr>
          <w:spacing w:val="-14"/>
        </w:rPr>
        <w:t>⑶、两根热位移方向不同或热位移量不等的热力管道，一般不得</w:t>
      </w:r>
      <w:r>
        <w:t>共用同 一吊杆或同一滑托。设计有共用的明确规定时，按设计要求安装。</w:t>
      </w:r>
    </w:p>
    <w:p>
      <w:pPr>
        <w:pStyle w:val="BodyText"/>
        <w:spacing w:before="6" w:line="333" w:lineRule="auto"/>
        <w:ind w:right="584"/>
        <w:jc w:val="both"/>
      </w:pPr>
      <w:r>
        <w:t>⑷、导向支架的导向接合面应洁净、平整、接触良好，不得有歪斜和卡 涩现象。</w:t>
      </w:r>
    </w:p>
    <w:p>
      <w:pPr>
        <w:pStyle w:val="BodyText"/>
        <w:spacing w:before="2" w:line="336" w:lineRule="auto"/>
        <w:ind w:right="584"/>
      </w:pPr>
      <w:r>
        <w:t>⑸、弹簧、支吊架安装高度应按设计规定进行调整。弹簧的临时固定件，应待管道安装、试压、保温完毕后拆除。</w:t>
      </w:r>
    </w:p>
    <w:p>
      <w:pPr>
        <w:pStyle w:val="BodyText"/>
        <w:spacing w:line="333" w:lineRule="auto"/>
        <w:ind w:right="531"/>
        <w:jc w:val="both"/>
      </w:pPr>
      <w:r>
        <w:t>⑹、支吊架和滑托的焊接应按设计图纸施焊，不得有漏焊、欠焊</w:t>
      </w:r>
      <w:r>
        <w:rPr>
          <w:spacing w:val="-22"/>
        </w:rPr>
        <w:t>或裂缝等缺陷。管道与固定支架、滑托等焊接时，管壁上不得有焊痕、</w:t>
      </w:r>
      <w:r>
        <w:t>咬肉等现象存在。</w:t>
      </w:r>
    </w:p>
    <w:p>
      <w:pPr>
        <w:pStyle w:val="BodyText"/>
        <w:spacing w:before="1" w:line="333" w:lineRule="auto"/>
        <w:ind w:right="584"/>
        <w:jc w:val="both"/>
      </w:pPr>
      <w:r>
        <w:t>⑺、固定支架应严格按设计图纸施工。有补偿器装置的管道，在补偿器 安装前，管道和固定支架不得进行固定连接。</w:t>
      </w:r>
    </w:p>
    <w:p>
      <w:pPr>
        <w:pStyle w:val="BodyText"/>
        <w:spacing w:before="5" w:line="333" w:lineRule="auto"/>
        <w:ind w:right="724"/>
      </w:pPr>
      <w:r>
        <w:rPr>
          <w:spacing w:val="-14"/>
        </w:rPr>
        <w:t>⑻、固定支架和滑托支架安装的允许偏差应符合施工及验收规范</w:t>
      </w:r>
      <w:r>
        <w:t>和施工图纸的要求。</w:t>
      </w:r>
    </w:p>
    <w:p>
      <w:pPr>
        <w:pStyle w:val="Heading2"/>
        <w:spacing w:before="3"/>
      </w:pPr>
      <w:r>
        <w:t>4、管口组对各项规定：</w:t>
      </w:r>
    </w:p>
    <w:p>
      <w:pPr>
        <w:pStyle w:val="ListParagraph"/>
        <w:numPr>
          <w:ilvl w:val="0"/>
          <w:numId w:val="29"/>
        </w:numPr>
        <w:tabs>
          <w:tab w:val="left" w:pos="2594"/>
        </w:tabs>
        <w:spacing w:before="214" w:after="0" w:line="333" w:lineRule="auto"/>
        <w:ind w:left="1120" w:right="741" w:firstLine="838"/>
        <w:jc w:val="both"/>
        <w:rPr>
          <w:sz w:val="42"/>
        </w:rPr>
      </w:pPr>
      <w:r>
        <w:rPr>
          <w:spacing w:val="-14"/>
          <w:sz w:val="42"/>
        </w:rPr>
        <w:t>、已做防腐层和保温层的管道，不得在地沟中沿已做沟纵向</w:t>
      </w:r>
      <w:r>
        <w:rPr>
          <w:sz w:val="42"/>
        </w:rPr>
        <w:t>拖拽，必 须沿管沟纵向拖动的，应利用拖轮进行拖动；架空管道的</w:t>
      </w:r>
      <w:r>
        <w:rPr>
          <w:spacing w:val="-9"/>
          <w:sz w:val="42"/>
        </w:rPr>
        <w:t>管组长度应按空中就位和焊接的需要来确定，并应符合施工及验收规</w:t>
      </w:r>
      <w:r>
        <w:rPr>
          <w:spacing w:val="-4"/>
          <w:sz w:val="42"/>
        </w:rPr>
        <w:t>范和施工图纸的要求。</w:t>
      </w:r>
    </w:p>
    <w:p>
      <w:pPr>
        <w:pStyle w:val="ListParagraph"/>
        <w:numPr>
          <w:ilvl w:val="0"/>
          <w:numId w:val="29"/>
        </w:numPr>
        <w:tabs>
          <w:tab w:val="left" w:pos="2594"/>
        </w:tabs>
        <w:spacing w:before="7" w:after="0" w:line="333" w:lineRule="auto"/>
        <w:ind w:left="1120" w:right="746" w:firstLine="838"/>
        <w:jc w:val="both"/>
        <w:rPr>
          <w:sz w:val="42"/>
        </w:rPr>
      </w:pPr>
      <w:r>
        <w:rPr>
          <w:spacing w:val="-14"/>
          <w:sz w:val="42"/>
        </w:rPr>
        <w:t>、管组或单根管子逐根的固定安装管道时，每个管组或每根</w:t>
      </w:r>
      <w:r>
        <w:rPr>
          <w:spacing w:val="-5"/>
          <w:sz w:val="42"/>
        </w:rPr>
        <w:t>管子都应 按管道的中心线和管道坡度对好管口。</w:t>
      </w:r>
    </w:p>
    <w:p>
      <w:pPr>
        <w:pStyle w:val="ListParagraph"/>
        <w:numPr>
          <w:ilvl w:val="0"/>
          <w:numId w:val="29"/>
        </w:numPr>
        <w:tabs>
          <w:tab w:val="left" w:pos="2594"/>
        </w:tabs>
        <w:spacing w:before="6" w:after="0" w:line="240" w:lineRule="auto"/>
        <w:ind w:left="2594" w:right="0" w:hanging="635"/>
        <w:jc w:val="left"/>
        <w:rPr>
          <w:sz w:val="42"/>
        </w:rPr>
      </w:pPr>
      <w:r>
        <w:rPr>
          <w:sz w:val="42"/>
        </w:rPr>
        <w:t>、管口对接应符合下列各项要求</w:t>
      </w:r>
    </w:p>
    <w:p>
      <w:pPr>
        <w:pStyle w:val="BodyText"/>
        <w:spacing w:before="211" w:line="333" w:lineRule="auto"/>
        <w:ind w:right="789"/>
      </w:pPr>
      <w:r>
        <w:t>⑴、 焊口应保持内壁平整，错口量应符合规范要求，按规定留出合适的对口间隙。</w:t>
      </w:r>
    </w:p>
    <w:p>
      <w:pPr>
        <w:pStyle w:val="BodyText"/>
        <w:spacing w:before="5"/>
        <w:ind w:left="1959" w:firstLine="0"/>
      </w:pPr>
      <w:r>
        <w:t>⑵、焊缝位置距离弯管起点不得小于管子外径或不小于 100mm；</w:t>
      </w:r>
    </w:p>
    <w:p>
      <w:pPr>
        <w:spacing w:after="0"/>
        <w:sectPr>
          <w:pgSz w:w="17860" w:h="25260"/>
          <w:pgMar w:top="1940" w:right="1940" w:bottom="280" w:left="1580" w:header="708" w:footer="708"/>
          <w:pgNumType w:start="23"/>
          <w:cols w:space="708"/>
        </w:sectPr>
      </w:pPr>
    </w:p>
    <w:p>
      <w:pPr>
        <w:pStyle w:val="BodyText"/>
        <w:spacing w:before="22" w:line="333" w:lineRule="auto"/>
        <w:ind w:right="1005"/>
      </w:pPr>
      <w:r>
        <w:t>⑶、管子两个对接焊缝间的距离不宜小于管子外径，且不小于150mm；</w:t>
      </w:r>
    </w:p>
    <w:p>
      <w:pPr>
        <w:pStyle w:val="BodyText"/>
        <w:spacing w:before="5" w:line="333" w:lineRule="auto"/>
        <w:ind w:right="752"/>
      </w:pPr>
      <w:r>
        <w:rPr>
          <w:spacing w:val="-15"/>
        </w:rPr>
        <w:t>⑷、支吊架管部位置不得与管子对接焊缝重合，焊缝距离支吊架</w:t>
      </w:r>
      <w:r>
        <w:rPr>
          <w:spacing w:val="-16"/>
        </w:rPr>
        <w:t xml:space="preserve">边缘不得小于 </w:t>
      </w:r>
      <w:r>
        <w:t>50mm；</w:t>
      </w:r>
    </w:p>
    <w:p>
      <w:pPr>
        <w:pStyle w:val="BodyText"/>
        <w:spacing w:before="2" w:line="336" w:lineRule="auto"/>
        <w:ind w:right="584"/>
      </w:pPr>
      <w:r>
        <w:t>⑸、管子接口应避开疏、放水及仪表管等的开孔位置，距开孔边缘不应小于 50mm，且不应小于外径；</w:t>
      </w:r>
    </w:p>
    <w:p>
      <w:pPr>
        <w:pStyle w:val="BodyText"/>
        <w:spacing w:line="333" w:lineRule="auto"/>
        <w:ind w:right="584"/>
      </w:pPr>
      <w:r>
        <w:t>⑹、管道在穿过隔墙、楼板时，位于隔墙、楼板内管的段不得有接口；</w:t>
      </w:r>
    </w:p>
    <w:p>
      <w:pPr>
        <w:pStyle w:val="BodyText"/>
        <w:spacing w:line="333" w:lineRule="auto"/>
        <w:ind w:right="604"/>
      </w:pPr>
      <w:r>
        <w:rPr>
          <w:spacing w:val="-7"/>
        </w:rPr>
        <w:t xml:space="preserve">⑺、管子和管件的坡口及内、外壁 </w:t>
      </w:r>
      <w:r>
        <w:t>10~15mm</w:t>
      </w:r>
      <w:r>
        <w:rPr>
          <w:spacing w:val="-14"/>
        </w:rPr>
        <w:t xml:space="preserve"> 范围内的油漆、垢、</w:t>
      </w:r>
      <w:r>
        <w:t>锈等，在对口前应清除干净，直至显示金属光泽；</w:t>
      </w:r>
    </w:p>
    <w:p>
      <w:pPr>
        <w:pStyle w:val="BodyText"/>
        <w:spacing w:before="2" w:line="336" w:lineRule="auto"/>
        <w:ind w:right="584"/>
      </w:pPr>
      <w:r>
        <w:t>⑻、管子对口符合要求后，应垫置牢固，避免焊接过程中管子移动。管道安装工作如有间断，应及时封闭管口。</w:t>
      </w:r>
    </w:p>
    <w:p>
      <w:pPr>
        <w:pStyle w:val="BodyText"/>
        <w:spacing w:line="333" w:lineRule="auto"/>
        <w:ind w:right="584"/>
      </w:pPr>
      <w:r>
        <w:rPr>
          <w:spacing w:val="-1"/>
        </w:rPr>
        <w:t>⑼、对按管口时，应检查管道平直度，在距接口中心及在所对接</w:t>
      </w:r>
      <w:r>
        <w:t>管子的全长范围内，偏差值应符合施工及验收规范和施工图纸的要 求。</w:t>
      </w:r>
    </w:p>
    <w:p>
      <w:pPr>
        <w:pStyle w:val="BodyText"/>
        <w:spacing w:before="1" w:line="333" w:lineRule="auto"/>
        <w:ind w:left="1959" w:right="527" w:firstLine="0"/>
      </w:pPr>
      <w:r>
        <w:rPr>
          <w:spacing w:val="-21"/>
        </w:rPr>
        <w:t xml:space="preserve">⑽、管子对口处应垫置牢固，避免在焊接过程中产生错位和变形； </w:t>
      </w:r>
      <w:r>
        <w:t>4）管道安装的允许偏差值应符合施工及验收规范和施工图纸的</w:t>
      </w:r>
    </w:p>
    <w:p>
      <w:pPr>
        <w:pStyle w:val="BodyText"/>
        <w:spacing w:before="5"/>
        <w:ind w:firstLine="0"/>
      </w:pPr>
      <w:r>
        <w:t>要求。</w:t>
      </w:r>
    </w:p>
    <w:p>
      <w:pPr>
        <w:pStyle w:val="Heading2"/>
        <w:spacing w:before="211"/>
      </w:pPr>
      <w:r>
        <w:t>5、法兰和阀门安装</w:t>
      </w:r>
    </w:p>
    <w:p>
      <w:pPr>
        <w:pStyle w:val="ListParagraph"/>
        <w:numPr>
          <w:ilvl w:val="1"/>
          <w:numId w:val="28"/>
        </w:numPr>
        <w:tabs>
          <w:tab w:val="left" w:pos="2698"/>
        </w:tabs>
        <w:spacing w:before="211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阀门检验</w:t>
      </w:r>
    </w:p>
    <w:p>
      <w:pPr>
        <w:pStyle w:val="BodyText"/>
        <w:spacing w:before="214" w:line="333" w:lineRule="auto"/>
        <w:ind w:right="741"/>
      </w:pPr>
      <w:r>
        <w:rPr>
          <w:spacing w:val="-13"/>
        </w:rPr>
        <w:t>热网管道工程所用的阀门，必须由制造厂的产品合格证或工程所</w:t>
      </w:r>
      <w:r>
        <w:t>在地阀门检验部门的检验合格证明。</w:t>
      </w:r>
    </w:p>
    <w:p>
      <w:pPr>
        <w:pStyle w:val="ListParagraph"/>
        <w:numPr>
          <w:ilvl w:val="1"/>
          <w:numId w:val="28"/>
        </w:numPr>
        <w:tabs>
          <w:tab w:val="left" w:pos="2698"/>
        </w:tabs>
        <w:spacing w:before="3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阀门安装</w:t>
      </w:r>
    </w:p>
    <w:p>
      <w:pPr>
        <w:pStyle w:val="BodyText"/>
        <w:spacing w:before="214"/>
        <w:ind w:left="1959" w:firstLine="0"/>
      </w:pPr>
      <w:r>
        <w:t>⑴按规定校对型号，阀门外观检查应无缺陷、开闭灵活；</w:t>
      </w:r>
    </w:p>
    <w:p>
      <w:pPr>
        <w:pStyle w:val="BodyText"/>
        <w:spacing w:before="210"/>
        <w:ind w:left="1959" w:firstLine="0"/>
      </w:pPr>
      <w:r>
        <w:t>⑵除阀口的封闭物（或挡片）和其它杂物；</w:t>
      </w:r>
    </w:p>
    <w:p>
      <w:pPr>
        <w:pStyle w:val="BodyText"/>
        <w:spacing w:before="211" w:line="336" w:lineRule="auto"/>
        <w:ind w:right="420"/>
      </w:pPr>
      <w:r>
        <w:rPr>
          <w:spacing w:val="-8"/>
        </w:rPr>
        <w:t>⑶阀门的开关手轮应放在便于操作的位置。水平安装的闸阀、截止阀、 阀杆应处于上半周范围内。蝶阀、节流阀的阀杆应垂直安装。</w:t>
      </w:r>
    </w:p>
    <w:p>
      <w:pPr>
        <w:spacing w:after="0" w:line="336" w:lineRule="auto"/>
        <w:sectPr>
          <w:pgSz w:w="17860" w:h="25260"/>
          <w:pgMar w:top="1940" w:right="1940" w:bottom="280" w:left="1580" w:header="708" w:footer="708"/>
          <w:pgNumType w:start="24"/>
          <w:cols w:space="708"/>
        </w:sectPr>
      </w:pPr>
    </w:p>
    <w:p>
      <w:pPr>
        <w:pStyle w:val="BodyText"/>
        <w:spacing w:before="22"/>
        <w:ind w:firstLine="0"/>
      </w:pPr>
      <w:r>
        <w:t>阀门应在关闭状态下进行安装；</w:t>
      </w:r>
    </w:p>
    <w:p>
      <w:pPr>
        <w:pStyle w:val="BodyText"/>
        <w:spacing w:before="211" w:line="336" w:lineRule="auto"/>
        <w:ind w:right="1005"/>
      </w:pPr>
      <w:r>
        <w:t>⑷阀门的操作机构和传动装置应进行清洗检查和调整，达到灵活、可 靠、无卡涩现象，开关程度指示标志应准确；</w:t>
      </w:r>
    </w:p>
    <w:p>
      <w:pPr>
        <w:pStyle w:val="BodyText"/>
        <w:spacing w:line="533" w:lineRule="exact"/>
        <w:ind w:left="1959" w:firstLine="0"/>
      </w:pPr>
      <w:r>
        <w:t>⑸机群安装的阀门应安整齐、美观、便于操作的原则进行排列；</w:t>
      </w:r>
    </w:p>
    <w:p>
      <w:pPr>
        <w:pStyle w:val="BodyText"/>
        <w:spacing w:before="210" w:line="336" w:lineRule="auto"/>
        <w:ind w:right="584"/>
      </w:pPr>
      <w:r>
        <w:t>⑹铸铁阀门运输时，应平稳起吊和排放，不得扔、摔，已安装就位应 防止重物撞击和由高空堕落；</w:t>
      </w:r>
    </w:p>
    <w:p>
      <w:pPr>
        <w:pStyle w:val="BodyText"/>
        <w:spacing w:line="533" w:lineRule="exact"/>
        <w:ind w:left="1959" w:firstLine="0"/>
      </w:pPr>
      <w:r>
        <w:t>⑺不得用阀门手轮作为吊装的承重点。</w:t>
      </w:r>
    </w:p>
    <w:p>
      <w:pPr>
        <w:pStyle w:val="ListParagraph"/>
        <w:numPr>
          <w:ilvl w:val="1"/>
          <w:numId w:val="28"/>
        </w:numPr>
        <w:tabs>
          <w:tab w:val="left" w:pos="2802"/>
        </w:tabs>
        <w:spacing w:before="211" w:after="0" w:line="240" w:lineRule="auto"/>
        <w:ind w:left="2801" w:right="0" w:hanging="843"/>
        <w:jc w:val="left"/>
        <w:rPr>
          <w:sz w:val="42"/>
        </w:rPr>
      </w:pPr>
      <w:r>
        <w:rPr>
          <w:sz w:val="42"/>
        </w:rPr>
        <w:t>法兰连接应符合下列要求：</w:t>
      </w:r>
    </w:p>
    <w:p>
      <w:pPr>
        <w:pStyle w:val="BodyText"/>
        <w:spacing w:before="215" w:line="333" w:lineRule="auto"/>
        <w:ind w:right="747"/>
      </w:pPr>
      <w:r>
        <w:rPr>
          <w:spacing w:val="-10"/>
        </w:rPr>
        <w:t>⑴法兰密封面及密封垫片应进行外观检查，不得有影响密封性能</w:t>
      </w:r>
      <w:r>
        <w:t>的缺陷存在；</w:t>
      </w:r>
    </w:p>
    <w:p>
      <w:pPr>
        <w:pStyle w:val="BodyText"/>
        <w:spacing w:before="2" w:line="333" w:lineRule="auto"/>
        <w:ind w:right="685"/>
        <w:jc w:val="both"/>
      </w:pPr>
      <w:r>
        <w:rPr>
          <w:spacing w:val="2"/>
        </w:rPr>
        <w:t xml:space="preserve">⑵法兰端面应保持平行，偏差应不大于法兰外径的 </w:t>
      </w:r>
      <w:r>
        <w:t>1.5%且不大</w:t>
      </w:r>
      <w:r>
        <w:rPr>
          <w:spacing w:val="-38"/>
        </w:rPr>
        <w:t xml:space="preserve">于 </w:t>
      </w:r>
      <w:r>
        <w:t>2mm</w:t>
      </w:r>
      <w:r>
        <w:rPr>
          <w:spacing w:val="-1"/>
        </w:rPr>
        <w:t xml:space="preserve">。不得采用加偏垫、多层垫或强力拧紧法兰一侧螺栓的方法， </w:t>
      </w:r>
      <w:r>
        <w:t>消除法兰接口端面缝隙；</w:t>
      </w:r>
    </w:p>
    <w:p>
      <w:pPr>
        <w:pStyle w:val="ListParagraph"/>
        <w:numPr>
          <w:ilvl w:val="0"/>
          <w:numId w:val="27"/>
        </w:numPr>
        <w:tabs>
          <w:tab w:val="left" w:pos="2593"/>
        </w:tabs>
        <w:spacing w:before="6" w:after="0" w:line="336" w:lineRule="auto"/>
        <w:ind w:left="1120" w:right="751" w:firstLine="838"/>
        <w:jc w:val="left"/>
        <w:rPr>
          <w:sz w:val="42"/>
        </w:rPr>
      </w:pPr>
      <w:r>
        <w:rPr>
          <w:spacing w:val="1"/>
          <w:sz w:val="42"/>
        </w:rPr>
        <w:t>法兰连接应保持同轴，螺栓中心偏差不超过孔径的</w:t>
      </w:r>
      <w:r>
        <w:rPr>
          <w:sz w:val="42"/>
        </w:rPr>
        <w:t>5%</w:t>
      </w:r>
      <w:r>
        <w:rPr>
          <w:spacing w:val="-6"/>
          <w:sz w:val="42"/>
        </w:rPr>
        <w:t>并保证</w:t>
      </w:r>
      <w:r>
        <w:rPr>
          <w:sz w:val="42"/>
        </w:rPr>
        <w:t>螺栓能自由穿入；</w:t>
      </w:r>
    </w:p>
    <w:p>
      <w:pPr>
        <w:pStyle w:val="ListParagraph"/>
        <w:numPr>
          <w:ilvl w:val="0"/>
          <w:numId w:val="27"/>
        </w:numPr>
        <w:tabs>
          <w:tab w:val="left" w:pos="2593"/>
        </w:tabs>
        <w:spacing w:before="0" w:after="0" w:line="333" w:lineRule="auto"/>
        <w:ind w:left="1120" w:right="535" w:firstLine="838"/>
        <w:jc w:val="left"/>
        <w:rPr>
          <w:sz w:val="42"/>
        </w:rPr>
      </w:pPr>
      <w:r>
        <w:rPr>
          <w:spacing w:val="-12"/>
          <w:sz w:val="42"/>
        </w:rPr>
        <w:t xml:space="preserve">垫片的材质和涂料应符合设计规定，大口径垫片需要拼接时， </w:t>
      </w:r>
      <w:r>
        <w:rPr>
          <w:sz w:val="42"/>
        </w:rPr>
        <w:t>应采 用斜口拼接或迷宫形式的对接，不得直缝对接。垫片尺寸应与法兰密封面相等；</w:t>
      </w:r>
    </w:p>
    <w:p>
      <w:pPr>
        <w:pStyle w:val="ListParagraph"/>
        <w:numPr>
          <w:ilvl w:val="0"/>
          <w:numId w:val="27"/>
        </w:numPr>
        <w:tabs>
          <w:tab w:val="left" w:pos="2593"/>
        </w:tabs>
        <w:spacing w:before="1" w:after="0" w:line="333" w:lineRule="auto"/>
        <w:ind w:left="1120" w:right="793" w:firstLine="838"/>
        <w:jc w:val="left"/>
        <w:rPr>
          <w:sz w:val="42"/>
        </w:rPr>
      </w:pPr>
      <w:r>
        <w:rPr>
          <w:spacing w:val="-1"/>
          <w:sz w:val="42"/>
        </w:rPr>
        <w:t>严禁采用先加好垫片并拧紧法兰螺栓，在焊接法兰焊口的方法进行 法兰焊接；</w:t>
      </w:r>
    </w:p>
    <w:p>
      <w:pPr>
        <w:pStyle w:val="ListParagraph"/>
        <w:numPr>
          <w:ilvl w:val="0"/>
          <w:numId w:val="27"/>
        </w:numPr>
        <w:tabs>
          <w:tab w:val="left" w:pos="2802"/>
        </w:tabs>
        <w:spacing w:before="5" w:after="0" w:line="240" w:lineRule="auto"/>
        <w:ind w:left="2801" w:right="0" w:hanging="843"/>
        <w:jc w:val="both"/>
        <w:rPr>
          <w:sz w:val="42"/>
        </w:rPr>
      </w:pPr>
      <w:r>
        <w:rPr>
          <w:sz w:val="42"/>
        </w:rPr>
        <w:t>螺栓宜涂以二硫化钼油脂或石墨机油加以保护；</w:t>
      </w:r>
    </w:p>
    <w:p>
      <w:pPr>
        <w:pStyle w:val="ListParagraph"/>
        <w:numPr>
          <w:ilvl w:val="0"/>
          <w:numId w:val="27"/>
        </w:numPr>
        <w:tabs>
          <w:tab w:val="left" w:pos="2802"/>
        </w:tabs>
        <w:spacing w:before="211" w:after="0" w:line="336" w:lineRule="auto"/>
        <w:ind w:left="1120" w:right="747" w:firstLine="838"/>
        <w:jc w:val="both"/>
        <w:rPr>
          <w:sz w:val="42"/>
        </w:rPr>
      </w:pPr>
      <w:r>
        <w:rPr>
          <w:spacing w:val="-12"/>
          <w:sz w:val="42"/>
        </w:rPr>
        <w:t>法兰连接应使用同一规格的螺栓，安装方向应一致紧固螺栓</w:t>
      </w:r>
      <w:r>
        <w:rPr>
          <w:sz w:val="42"/>
        </w:rPr>
        <w:t>时应对 称、均匀的进行、松紧适度。紧固后丝扣外露长度应不超过2~3</w:t>
      </w:r>
      <w:r>
        <w:rPr>
          <w:spacing w:val="-11"/>
          <w:sz w:val="42"/>
        </w:rPr>
        <w:t xml:space="preserve"> 倍的螺距，需要用垫圈调整时，每个螺栓只能用一个垫圈。</w:t>
      </w:r>
    </w:p>
    <w:p>
      <w:pPr>
        <w:pStyle w:val="Heading2"/>
        <w:spacing w:line="529" w:lineRule="exact"/>
      </w:pPr>
      <w:r>
        <w:t>6、焊接及检验</w:t>
      </w:r>
    </w:p>
    <w:p>
      <w:pPr>
        <w:pStyle w:val="ListParagraph"/>
        <w:numPr>
          <w:ilvl w:val="1"/>
          <w:numId w:val="26"/>
        </w:numPr>
        <w:tabs>
          <w:tab w:val="left" w:pos="2698"/>
        </w:tabs>
        <w:spacing w:before="210" w:after="0" w:line="240" w:lineRule="auto"/>
        <w:ind w:left="2697" w:right="0" w:hanging="739"/>
        <w:jc w:val="left"/>
        <w:rPr>
          <w:sz w:val="42"/>
        </w:rPr>
      </w:pPr>
      <w:r>
        <w:rPr>
          <w:sz w:val="42"/>
        </w:rPr>
        <w:t>一般规定</w:t>
      </w:r>
    </w:p>
    <w:p>
      <w:pPr>
        <w:pStyle w:val="ListParagraph"/>
        <w:numPr>
          <w:ilvl w:val="2"/>
          <w:numId w:val="26"/>
        </w:numPr>
        <w:tabs>
          <w:tab w:val="left" w:pos="3119"/>
        </w:tabs>
        <w:spacing w:before="215" w:after="0" w:line="240" w:lineRule="auto"/>
        <w:ind w:left="3118" w:right="0" w:hanging="1160"/>
        <w:jc w:val="left"/>
        <w:rPr>
          <w:sz w:val="42"/>
        </w:rPr>
      </w:pPr>
      <w:r>
        <w:rPr>
          <w:sz w:val="42"/>
        </w:rPr>
        <w:t>施焊部门应符合下列要求：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940" w:right="1940" w:bottom="280" w:left="1580" w:header="708" w:footer="708"/>
          <w:pgNumType w:start="25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2382"/>
        </w:tabs>
        <w:spacing w:before="22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有负责焊接工程的焊接技术人员、检查人员和检验人员。</w:t>
      </w:r>
    </w:p>
    <w:p>
      <w:pPr>
        <w:pStyle w:val="ListParagraph"/>
        <w:numPr>
          <w:ilvl w:val="0"/>
          <w:numId w:val="25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有符合焊接工艺要求的焊接设备且性能稳定可靠。</w:t>
      </w:r>
    </w:p>
    <w:p>
      <w:pPr>
        <w:pStyle w:val="ListParagraph"/>
        <w:numPr>
          <w:ilvl w:val="0"/>
          <w:numId w:val="25"/>
        </w:numPr>
        <w:tabs>
          <w:tab w:val="left" w:pos="2382"/>
        </w:tabs>
        <w:spacing w:before="214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有精度等级符合要求，灵敏度可靠的焊接检验设备。</w:t>
      </w:r>
    </w:p>
    <w:p>
      <w:pPr>
        <w:pStyle w:val="ListParagraph"/>
        <w:numPr>
          <w:ilvl w:val="0"/>
          <w:numId w:val="25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保证焊接工程质量达到设计和本规范规定的标准。</w:t>
      </w:r>
    </w:p>
    <w:p>
      <w:pPr>
        <w:pStyle w:val="ListParagraph"/>
        <w:numPr>
          <w:ilvl w:val="2"/>
          <w:numId w:val="26"/>
        </w:numPr>
        <w:tabs>
          <w:tab w:val="left" w:pos="3119"/>
        </w:tabs>
        <w:spacing w:before="210" w:after="0" w:line="336" w:lineRule="auto"/>
        <w:ind w:left="1120" w:right="690" w:firstLine="838"/>
        <w:jc w:val="left"/>
        <w:rPr>
          <w:sz w:val="42"/>
        </w:rPr>
      </w:pPr>
      <w:r>
        <w:rPr>
          <w:spacing w:val="-1"/>
          <w:sz w:val="42"/>
        </w:rPr>
        <w:t>已取得合格证并按鉴定合格的焊接工艺施焊的焊工，在下</w:t>
      </w:r>
      <w:r>
        <w:rPr>
          <w:sz w:val="42"/>
        </w:rPr>
        <w:t>列情况下，应重新进行考试。</w:t>
      </w:r>
    </w:p>
    <w:p>
      <w:pPr>
        <w:pStyle w:val="ListParagraph"/>
        <w:numPr>
          <w:ilvl w:val="0"/>
          <w:numId w:val="24"/>
        </w:numPr>
        <w:tabs>
          <w:tab w:val="left" w:pos="2382"/>
        </w:tabs>
        <w:spacing w:before="0" w:after="0" w:line="533" w:lineRule="exact"/>
        <w:ind w:left="2381" w:right="0" w:hanging="423"/>
        <w:jc w:val="left"/>
        <w:rPr>
          <w:sz w:val="42"/>
        </w:rPr>
      </w:pPr>
      <w:r>
        <w:rPr>
          <w:sz w:val="42"/>
        </w:rPr>
        <w:t>焊接作业中断六个月以上者。</w:t>
      </w:r>
    </w:p>
    <w:p>
      <w:pPr>
        <w:pStyle w:val="ListParagraph"/>
        <w:numPr>
          <w:ilvl w:val="0"/>
          <w:numId w:val="24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换用不熟悉的焊接设备和使用新的焊接材料时。</w:t>
      </w:r>
    </w:p>
    <w:p>
      <w:pPr>
        <w:pStyle w:val="ListParagraph"/>
        <w:numPr>
          <w:ilvl w:val="0"/>
          <w:numId w:val="24"/>
        </w:numPr>
        <w:tabs>
          <w:tab w:val="left" w:pos="2382"/>
        </w:tabs>
        <w:spacing w:before="215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焊接工艺改变超过原考试范围时。</w:t>
      </w:r>
    </w:p>
    <w:p>
      <w:pPr>
        <w:pStyle w:val="ListParagraph"/>
        <w:numPr>
          <w:ilvl w:val="0"/>
          <w:numId w:val="24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调到不熟悉的工作条件下施焊者。</w:t>
      </w:r>
    </w:p>
    <w:p>
      <w:pPr>
        <w:pStyle w:val="ListParagraph"/>
        <w:numPr>
          <w:ilvl w:val="0"/>
          <w:numId w:val="24"/>
        </w:numPr>
        <w:tabs>
          <w:tab w:val="left" w:pos="2382"/>
        </w:tabs>
        <w:spacing w:before="210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焊接方法与原考核条件不同时。</w:t>
      </w:r>
    </w:p>
    <w:p>
      <w:pPr>
        <w:pStyle w:val="ListParagraph"/>
        <w:numPr>
          <w:ilvl w:val="2"/>
          <w:numId w:val="26"/>
        </w:numPr>
        <w:tabs>
          <w:tab w:val="left" w:pos="3119"/>
        </w:tabs>
        <w:spacing w:before="215" w:after="0" w:line="333" w:lineRule="auto"/>
        <w:ind w:left="1120" w:right="690" w:firstLine="838"/>
        <w:jc w:val="left"/>
        <w:rPr>
          <w:sz w:val="42"/>
        </w:rPr>
      </w:pPr>
      <w:r>
        <w:rPr>
          <w:spacing w:val="-1"/>
          <w:sz w:val="42"/>
        </w:rPr>
        <w:t>施焊前，应根据焊接工艺实验结果编写焊接工艺，焊接作</w:t>
      </w:r>
      <w:r>
        <w:rPr>
          <w:sz w:val="42"/>
        </w:rPr>
        <w:t>业根据该</w:t>
      </w:r>
    </w:p>
    <w:p>
      <w:pPr>
        <w:pStyle w:val="BodyText"/>
        <w:spacing w:before="1" w:line="336" w:lineRule="auto"/>
        <w:ind w:left="1959" w:right="7323" w:firstLine="0"/>
      </w:pPr>
      <w:r>
        <w:t>工艺进行，其主要内容为： 1)母材性能和焊接材料</w:t>
      </w:r>
    </w:p>
    <w:p>
      <w:pPr>
        <w:pStyle w:val="ListParagraph"/>
        <w:numPr>
          <w:ilvl w:val="0"/>
          <w:numId w:val="23"/>
        </w:numPr>
        <w:tabs>
          <w:tab w:val="left" w:pos="2382"/>
        </w:tabs>
        <w:spacing w:before="0" w:after="0" w:line="533" w:lineRule="exact"/>
        <w:ind w:left="2381" w:right="0" w:hanging="423"/>
        <w:jc w:val="left"/>
        <w:rPr>
          <w:sz w:val="42"/>
        </w:rPr>
      </w:pPr>
      <w:r>
        <w:rPr>
          <w:sz w:val="42"/>
        </w:rPr>
        <w:t>焊接方法</w:t>
      </w:r>
    </w:p>
    <w:p>
      <w:pPr>
        <w:pStyle w:val="ListParagraph"/>
        <w:numPr>
          <w:ilvl w:val="0"/>
          <w:numId w:val="23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坡口型式及制作方法</w:t>
      </w:r>
    </w:p>
    <w:p>
      <w:pPr>
        <w:pStyle w:val="ListParagraph"/>
        <w:numPr>
          <w:ilvl w:val="0"/>
          <w:numId w:val="23"/>
        </w:numPr>
        <w:tabs>
          <w:tab w:val="left" w:pos="2382"/>
        </w:tabs>
        <w:spacing w:before="214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焊缝结构型式及外型尺寸</w:t>
      </w:r>
    </w:p>
    <w:p>
      <w:pPr>
        <w:pStyle w:val="ListParagraph"/>
        <w:numPr>
          <w:ilvl w:val="0"/>
          <w:numId w:val="23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焊缝接头的组对要求及允许偏差</w:t>
      </w:r>
    </w:p>
    <w:p>
      <w:pPr>
        <w:pStyle w:val="ListParagraph"/>
        <w:numPr>
          <w:ilvl w:val="0"/>
          <w:numId w:val="23"/>
        </w:numPr>
        <w:tabs>
          <w:tab w:val="left" w:pos="2382"/>
        </w:tabs>
        <w:spacing w:before="211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焊接电流的选择</w:t>
      </w:r>
    </w:p>
    <w:p>
      <w:pPr>
        <w:pStyle w:val="ListParagraph"/>
        <w:numPr>
          <w:ilvl w:val="0"/>
          <w:numId w:val="23"/>
        </w:numPr>
        <w:tabs>
          <w:tab w:val="left" w:pos="2382"/>
        </w:tabs>
        <w:spacing w:before="214" w:after="0" w:line="240" w:lineRule="auto"/>
        <w:ind w:left="2381" w:right="0" w:hanging="423"/>
        <w:jc w:val="left"/>
        <w:rPr>
          <w:sz w:val="42"/>
        </w:rPr>
      </w:pPr>
      <w:r>
        <w:rPr>
          <w:sz w:val="42"/>
        </w:rPr>
        <w:t>检验方法及合格标准</w:t>
      </w:r>
    </w:p>
    <w:p>
      <w:pPr>
        <w:pStyle w:val="ListParagraph"/>
        <w:numPr>
          <w:ilvl w:val="1"/>
          <w:numId w:val="26"/>
        </w:numPr>
        <w:tabs>
          <w:tab w:val="left" w:pos="2698"/>
        </w:tabs>
        <w:spacing w:before="211" w:after="0" w:line="240" w:lineRule="auto"/>
        <w:ind w:left="2697" w:right="0" w:hanging="739"/>
        <w:jc w:val="both"/>
        <w:rPr>
          <w:sz w:val="42"/>
        </w:rPr>
      </w:pPr>
      <w:r>
        <w:rPr>
          <w:sz w:val="42"/>
        </w:rPr>
        <w:t>焊前准备</w:t>
      </w:r>
    </w:p>
    <w:p>
      <w:pPr>
        <w:pStyle w:val="ListParagraph"/>
        <w:numPr>
          <w:ilvl w:val="2"/>
          <w:numId w:val="26"/>
        </w:numPr>
        <w:tabs>
          <w:tab w:val="left" w:pos="3119"/>
        </w:tabs>
        <w:spacing w:before="211" w:after="0" w:line="333" w:lineRule="auto"/>
        <w:ind w:left="1120" w:right="690" w:firstLine="838"/>
        <w:jc w:val="both"/>
        <w:rPr>
          <w:sz w:val="42"/>
        </w:rPr>
      </w:pPr>
      <w:r>
        <w:rPr>
          <w:spacing w:val="-1"/>
          <w:sz w:val="42"/>
        </w:rPr>
        <w:t>管道上焊缝的位置应合理选择，使焊缝处于便于焊接、检</w:t>
      </w:r>
      <w:r>
        <w:rPr>
          <w:sz w:val="42"/>
        </w:rPr>
        <w:t>验、维 修的位置，并避开应力集中区域。各种焊缝之间的关系，一般应符合下列要求：</w:t>
      </w:r>
    </w:p>
    <w:p>
      <w:pPr>
        <w:pStyle w:val="ListParagraph"/>
        <w:numPr>
          <w:ilvl w:val="0"/>
          <w:numId w:val="22"/>
        </w:numPr>
        <w:tabs>
          <w:tab w:val="left" w:pos="2382"/>
        </w:tabs>
        <w:spacing w:before="6" w:after="0" w:line="240" w:lineRule="auto"/>
        <w:ind w:left="2381" w:right="0" w:hanging="423"/>
        <w:jc w:val="left"/>
        <w:rPr>
          <w:sz w:val="42"/>
        </w:rPr>
      </w:pPr>
      <w:r>
        <w:rPr>
          <w:spacing w:val="-10"/>
          <w:sz w:val="42"/>
        </w:rPr>
        <w:t>有缝管对口及钢板卷管相邻筒节组对时，纵缝之间应相互错开</w:t>
      </w:r>
    </w:p>
    <w:p>
      <w:pPr>
        <w:pStyle w:val="BodyText"/>
        <w:spacing w:before="214"/>
        <w:ind w:firstLine="0"/>
      </w:pPr>
      <w:r>
        <w:t>100mm 以上。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https://d.book118.com/828001024022006035</w:t>
        </w:r>
      </w:hyperlink>
    </w:p>
    <w:p>
      <w:pPr>
        <w:spacing w:after="0"/>
      </w:pPr>
    </w:p>
    <w:sectPr>
      <w:pgSz w:w="17860" w:h="25260"/>
      <w:pgMar w:top="1940" w:right="1940" w:bottom="280" w:left="1580" w:header="708" w:footer="708"/>
      <w:pgNumType w:start="2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2735"/>
    <w:multiLevelType w:val="hybridMultilevel"/>
    <w:tmpl w:val="00000000"/>
    <w:lvl w:ilvl="0">
      <w:start w:val="2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1">
    <w:nsid w:val="07308E97"/>
    <w:multiLevelType w:val="hybridMultilevel"/>
    <w:tmpl w:val="00000000"/>
    <w:lvl w:ilvl="0">
      <w:start w:val="1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2">
    <w:nsid w:val="0D7C1B86"/>
    <w:multiLevelType w:val="hybridMultilevel"/>
    <w:tmpl w:val="00000000"/>
    <w:lvl w:ilvl="0">
      <w:start w:val="1"/>
      <w:numFmt w:val="decimal"/>
      <w:lvlText w:val="%1）"/>
      <w:lvlJc w:val="left"/>
      <w:pPr>
        <w:ind w:left="1120" w:hanging="635"/>
        <w:jc w:val="left"/>
      </w:pPr>
      <w:rPr>
        <w:rFonts w:ascii="宋体" w:eastAsia="宋体" w:hAnsi="宋体" w:cs="宋体" w:hint="default"/>
        <w:spacing w:val="-21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35"/>
      </w:pPr>
      <w:rPr>
        <w:rFonts w:hint="default"/>
      </w:rPr>
    </w:lvl>
  </w:abstractNum>
  <w:abstractNum w:abstractNumId="3">
    <w:nsid w:val="0F540CAF"/>
    <w:multiLevelType w:val="hybridMultilevel"/>
    <w:tmpl w:val="00000000"/>
    <w:lvl w:ilvl="0">
      <w:start w:val="17"/>
      <w:numFmt w:val="decimal"/>
      <w:lvlText w:val="(%1)"/>
      <w:lvlJc w:val="left"/>
      <w:pPr>
        <w:ind w:left="1120" w:hanging="844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8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844"/>
      </w:pPr>
      <w:rPr>
        <w:rFonts w:hint="default"/>
      </w:rPr>
    </w:lvl>
  </w:abstractNum>
  <w:abstractNum w:abstractNumId="4">
    <w:nsid w:val="123871D9"/>
    <w:multiLevelType w:val="hybridMultilevel"/>
    <w:tmpl w:val="00000000"/>
    <w:lvl w:ilvl="0">
      <w:start w:val="3"/>
      <w:numFmt w:val="decimal"/>
      <w:lvlText w:val="(%1)"/>
      <w:lvlJc w:val="left"/>
      <w:pPr>
        <w:ind w:left="1120" w:hanging="634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34"/>
      </w:pPr>
      <w:rPr>
        <w:rFonts w:hint="default"/>
      </w:rPr>
    </w:lvl>
  </w:abstractNum>
  <w:abstractNum w:abstractNumId="5">
    <w:nsid w:val="132D9837"/>
    <w:multiLevelType w:val="hybridMultilevel"/>
    <w:tmpl w:val="00000000"/>
    <w:lvl w:ilvl="0">
      <w:start w:val="5"/>
      <w:numFmt w:val="decimal"/>
      <w:lvlText w:val="%1"/>
      <w:lvlJc w:val="left"/>
      <w:pPr>
        <w:ind w:left="26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97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027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5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3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7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1" w:hanging="738"/>
      </w:pPr>
      <w:rPr>
        <w:rFonts w:hint="default"/>
      </w:rPr>
    </w:lvl>
  </w:abstractNum>
  <w:abstractNum w:abstractNumId="6">
    <w:nsid w:val="15ED5A88"/>
    <w:multiLevelType w:val="hybridMultilevel"/>
    <w:tmpl w:val="00000000"/>
    <w:lvl w:ilvl="0">
      <w:start w:val="1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7">
    <w:nsid w:val="19FFC5B1"/>
    <w:multiLevelType w:val="hybridMultilevel"/>
    <w:tmpl w:val="00000000"/>
    <w:lvl w:ilvl="0">
      <w:start w:val="3"/>
      <w:numFmt w:val="decimal"/>
      <w:lvlText w:val="%1"/>
      <w:lvlJc w:val="left"/>
      <w:pPr>
        <w:ind w:left="2593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93" w:hanging="634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94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4"/>
      </w:pPr>
      <w:rPr>
        <w:rFonts w:hint="default"/>
      </w:rPr>
    </w:lvl>
  </w:abstractNum>
  <w:abstractNum w:abstractNumId="8">
    <w:nsid w:val="1A2645F4"/>
    <w:multiLevelType w:val="hybridMultilevel"/>
    <w:tmpl w:val="00000000"/>
    <w:lvl w:ilvl="0">
      <w:start w:val="2"/>
      <w:numFmt w:val="decimal"/>
      <w:lvlText w:val="%1.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9">
    <w:nsid w:val="1A9BCFEA"/>
    <w:multiLevelType w:val="hybridMultilevel"/>
    <w:tmpl w:val="00000000"/>
    <w:lvl w:ilvl="0">
      <w:start w:val="3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10">
    <w:nsid w:val="1C1C6FBD"/>
    <w:multiLevelType w:val="hybridMultilevel"/>
    <w:tmpl w:val="00000000"/>
    <w:lvl w:ilvl="0">
      <w:start w:val="1"/>
      <w:numFmt w:val="decimal"/>
      <w:lvlText w:val="（%1）"/>
      <w:lvlJc w:val="left"/>
      <w:pPr>
        <w:ind w:left="1120" w:hanging="1060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10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1060"/>
      </w:pPr>
      <w:rPr>
        <w:rFonts w:hint="default"/>
      </w:rPr>
    </w:lvl>
  </w:abstractNum>
  <w:abstractNum w:abstractNumId="11">
    <w:nsid w:val="1D890293"/>
    <w:multiLevelType w:val="hybridMultilevel"/>
    <w:tmpl w:val="00000000"/>
    <w:lvl w:ilvl="0">
      <w:start w:val="1"/>
      <w:numFmt w:val="decimal"/>
      <w:lvlText w:val="%1）"/>
      <w:lvlJc w:val="left"/>
      <w:pPr>
        <w:ind w:left="1120" w:hanging="635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35"/>
      </w:pPr>
      <w:rPr>
        <w:rFonts w:hint="default"/>
      </w:rPr>
    </w:lvl>
  </w:abstractNum>
  <w:abstractNum w:abstractNumId="12">
    <w:nsid w:val="25359CC7"/>
    <w:multiLevelType w:val="hybridMultilevel"/>
    <w:tmpl w:val="00000000"/>
    <w:lvl w:ilvl="0">
      <w:start w:val="1"/>
      <w:numFmt w:val="decimal"/>
      <w:lvlText w:val="（%1）"/>
      <w:lvlJc w:val="left"/>
      <w:pPr>
        <w:ind w:left="1120" w:hanging="1060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10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1060"/>
      </w:pPr>
      <w:rPr>
        <w:rFonts w:hint="default"/>
      </w:rPr>
    </w:lvl>
  </w:abstractNum>
  <w:abstractNum w:abstractNumId="13">
    <w:nsid w:val="2604DFF0"/>
    <w:multiLevelType w:val="hybridMultilevel"/>
    <w:tmpl w:val="00000000"/>
    <w:lvl w:ilvl="0">
      <w:start w:val="2"/>
      <w:numFmt w:val="decimal"/>
      <w:lvlText w:val="%1"/>
      <w:lvlJc w:val="left"/>
      <w:pPr>
        <w:ind w:left="1959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9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435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11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7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5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3" w:hanging="738"/>
      </w:pPr>
      <w:rPr>
        <w:rFonts w:hint="default"/>
      </w:rPr>
    </w:lvl>
  </w:abstractNum>
  <w:abstractNum w:abstractNumId="14">
    <w:nsid w:val="2BBDADF8"/>
    <w:multiLevelType w:val="hybridMultilevel"/>
    <w:tmpl w:val="00000000"/>
    <w:lvl w:ilvl="0">
      <w:start w:val="2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15">
    <w:nsid w:val="2DFB1750"/>
    <w:multiLevelType w:val="hybridMultilevel"/>
    <w:tmpl w:val="00000000"/>
    <w:lvl w:ilvl="0">
      <w:start w:val="1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16">
    <w:nsid w:val="2F7C6570"/>
    <w:multiLevelType w:val="hybridMultilevel"/>
    <w:tmpl w:val="00000000"/>
    <w:lvl w:ilvl="0">
      <w:start w:val="17"/>
      <w:numFmt w:val="decimal"/>
      <w:lvlText w:val="(%1)"/>
      <w:lvlJc w:val="left"/>
      <w:pPr>
        <w:ind w:left="1120" w:hanging="844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8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844"/>
      </w:pPr>
      <w:rPr>
        <w:rFonts w:hint="default"/>
      </w:rPr>
    </w:lvl>
  </w:abstractNum>
  <w:abstractNum w:abstractNumId="17">
    <w:nsid w:val="31B6BEAB"/>
    <w:multiLevelType w:val="hybridMultilevel"/>
    <w:tmpl w:val="00000000"/>
    <w:lvl w:ilvl="0">
      <w:start w:val="7"/>
      <w:numFmt w:val="decimal"/>
      <w:lvlText w:val="%1"/>
      <w:lvlJc w:val="left"/>
      <w:pPr>
        <w:ind w:left="26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97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120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1"/>
      <w:numFmt w:val="decimal"/>
      <w:lvlText w:val="%1.%2.%3.%4"/>
      <w:lvlJc w:val="left"/>
      <w:pPr>
        <w:ind w:left="3536" w:hanging="157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4">
      <w:start w:val="0"/>
      <w:numFmt w:val="bullet"/>
      <w:lvlText w:val="•"/>
      <w:lvlJc w:val="left"/>
      <w:pPr>
        <w:ind w:left="3540" w:hanging="15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39" w:hanging="15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39" w:hanging="15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9" w:hanging="15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39" w:hanging="1577"/>
      </w:pPr>
      <w:rPr>
        <w:rFonts w:hint="default"/>
      </w:rPr>
    </w:lvl>
  </w:abstractNum>
  <w:abstractNum w:abstractNumId="18">
    <w:nsid w:val="36932E13"/>
    <w:multiLevelType w:val="hybridMultilevel"/>
    <w:tmpl w:val="00000000"/>
    <w:lvl w:ilvl="0">
      <w:start w:val="1"/>
      <w:numFmt w:val="decimal"/>
      <w:lvlText w:val="%1）"/>
      <w:lvlJc w:val="left"/>
      <w:pPr>
        <w:ind w:left="1120" w:hanging="635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35"/>
      </w:pPr>
      <w:rPr>
        <w:rFonts w:hint="default"/>
      </w:rPr>
    </w:lvl>
  </w:abstractNum>
  <w:abstractNum w:abstractNumId="19">
    <w:nsid w:val="3B2BCB4E"/>
    <w:multiLevelType w:val="hybridMultilevel"/>
    <w:tmpl w:val="00000000"/>
    <w:lvl w:ilvl="0">
      <w:start w:val="2"/>
      <w:numFmt w:val="decimal"/>
      <w:lvlText w:val="%1.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20">
    <w:nsid w:val="3BB9E639"/>
    <w:multiLevelType w:val="hybridMultilevel"/>
    <w:tmpl w:val="00000000"/>
    <w:lvl w:ilvl="0">
      <w:start w:val="1"/>
      <w:numFmt w:val="decimal"/>
      <w:lvlText w:val="（%1）"/>
      <w:lvlJc w:val="left"/>
      <w:pPr>
        <w:ind w:left="301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15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8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1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4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5" w:hanging="1056"/>
      </w:pPr>
      <w:rPr>
        <w:rFonts w:hint="default"/>
      </w:rPr>
    </w:lvl>
  </w:abstractNum>
  <w:abstractNum w:abstractNumId="21">
    <w:nsid w:val="3CAE4DC2"/>
    <w:multiLevelType w:val="hybridMultilevel"/>
    <w:tmpl w:val="00000000"/>
    <w:lvl w:ilvl="0">
      <w:start w:val="1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22">
    <w:nsid w:val="3F6E2844"/>
    <w:multiLevelType w:val="hybridMultilevel"/>
    <w:tmpl w:val="00000000"/>
    <w:lvl w:ilvl="0">
      <w:start w:val="2"/>
      <w:numFmt w:val="decimal"/>
      <w:lvlText w:val="(%1)"/>
      <w:lvlJc w:val="left"/>
      <w:pPr>
        <w:ind w:left="1120" w:hanging="663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41" w:hanging="6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63"/>
      </w:pPr>
      <w:rPr>
        <w:rFonts w:hint="default"/>
      </w:rPr>
    </w:lvl>
  </w:abstractNum>
  <w:abstractNum w:abstractNumId="23">
    <w:nsid w:val="4017BA74"/>
    <w:multiLevelType w:val="hybridMultilevel"/>
    <w:tmpl w:val="00000000"/>
    <w:lvl w:ilvl="0">
      <w:start w:val="1"/>
      <w:numFmt w:val="decimal"/>
      <w:lvlText w:val="%1."/>
      <w:lvlJc w:val="left"/>
      <w:pPr>
        <w:ind w:left="1120" w:hanging="105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41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1052"/>
      </w:pPr>
      <w:rPr>
        <w:rFonts w:hint="default"/>
      </w:rPr>
    </w:lvl>
  </w:abstractNum>
  <w:abstractNum w:abstractNumId="24">
    <w:nsid w:val="40D3E8C0"/>
    <w:multiLevelType w:val="hybridMultilevel"/>
    <w:tmpl w:val="00000000"/>
    <w:lvl w:ilvl="0">
      <w:start w:val="3"/>
      <w:numFmt w:val="decimal"/>
      <w:lvlText w:val="(%1)"/>
      <w:lvlJc w:val="left"/>
      <w:pPr>
        <w:ind w:left="2593" w:hanging="634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4"/>
      </w:pPr>
      <w:rPr>
        <w:rFonts w:hint="default"/>
      </w:rPr>
    </w:lvl>
  </w:abstractNum>
  <w:abstractNum w:abstractNumId="25">
    <w:nsid w:val="45AB3224"/>
    <w:multiLevelType w:val="hybridMultilevel"/>
    <w:tmpl w:val="00000000"/>
    <w:lvl w:ilvl="0">
      <w:start w:val="3"/>
      <w:numFmt w:val="decimal"/>
      <w:lvlText w:val="%1）"/>
      <w:lvlJc w:val="left"/>
      <w:pPr>
        <w:ind w:left="1120" w:hanging="653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6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53"/>
      </w:pPr>
      <w:rPr>
        <w:rFonts w:hint="default"/>
      </w:rPr>
    </w:lvl>
  </w:abstractNum>
  <w:abstractNum w:abstractNumId="26">
    <w:nsid w:val="468BA43F"/>
    <w:multiLevelType w:val="hybridMultilevel"/>
    <w:tmpl w:val="00000000"/>
    <w:lvl w:ilvl="0">
      <w:start w:val="6"/>
      <w:numFmt w:val="decimal"/>
      <w:lvlText w:val="%1"/>
      <w:lvlJc w:val="left"/>
      <w:pPr>
        <w:ind w:left="26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97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118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3120" w:hanging="1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22" w:hanging="1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5" w:hanging="1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28" w:hanging="1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1" w:hanging="1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34" w:hanging="1160"/>
      </w:pPr>
      <w:rPr>
        <w:rFonts w:hint="default"/>
      </w:rPr>
    </w:lvl>
  </w:abstractNum>
  <w:abstractNum w:abstractNumId="27">
    <w:nsid w:val="4766E41B"/>
    <w:multiLevelType w:val="hybridMultilevel"/>
    <w:tmpl w:val="00000000"/>
    <w:lvl w:ilvl="0">
      <w:start w:val="1"/>
      <w:numFmt w:val="decimal"/>
      <w:lvlText w:val="%1."/>
      <w:lvlJc w:val="left"/>
      <w:pPr>
        <w:ind w:left="1120" w:hanging="105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41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1052"/>
      </w:pPr>
      <w:rPr>
        <w:rFonts w:hint="default"/>
      </w:rPr>
    </w:lvl>
  </w:abstractNum>
  <w:abstractNum w:abstractNumId="28">
    <w:nsid w:val="4953FA02"/>
    <w:multiLevelType w:val="hybridMultilevel"/>
    <w:tmpl w:val="00000000"/>
    <w:lvl w:ilvl="0">
      <w:start w:val="1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29">
    <w:nsid w:val="4C5CC7BC"/>
    <w:multiLevelType w:val="hybridMultilevel"/>
    <w:tmpl w:val="00000000"/>
    <w:lvl w:ilvl="0">
      <w:start w:val="7"/>
      <w:numFmt w:val="decimal"/>
      <w:lvlText w:val="(%1)"/>
      <w:lvlJc w:val="left"/>
      <w:pPr>
        <w:ind w:left="1120" w:hanging="659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41" w:hanging="6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59"/>
      </w:pPr>
      <w:rPr>
        <w:rFonts w:hint="default"/>
      </w:rPr>
    </w:lvl>
  </w:abstractNum>
  <w:abstractNum w:abstractNumId="30">
    <w:nsid w:val="4D4A7E92"/>
    <w:multiLevelType w:val="hybridMultilevel"/>
    <w:tmpl w:val="00000000"/>
    <w:lvl w:ilvl="0">
      <w:start w:val="1"/>
      <w:numFmt w:val="decimal"/>
      <w:lvlText w:val="%1.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31">
    <w:nsid w:val="4E6C3FFF"/>
    <w:multiLevelType w:val="hybridMultilevel"/>
    <w:tmpl w:val="00000000"/>
    <w:lvl w:ilvl="0">
      <w:start w:val="2"/>
      <w:numFmt w:val="decimal"/>
      <w:lvlText w:val="%1.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32">
    <w:nsid w:val="4F83D41F"/>
    <w:multiLevelType w:val="hybridMultilevel"/>
    <w:tmpl w:val="00000000"/>
    <w:lvl w:ilvl="0">
      <w:start w:val="2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33">
    <w:nsid w:val="4FDE63CB"/>
    <w:multiLevelType w:val="hybridMultilevel"/>
    <w:tmpl w:val="00000000"/>
    <w:lvl w:ilvl="0">
      <w:start w:val="1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34">
    <w:nsid w:val="5018063C"/>
    <w:multiLevelType w:val="hybridMultilevel"/>
    <w:tmpl w:val="00000000"/>
    <w:lvl w:ilvl="0">
      <w:start w:val="3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35">
    <w:nsid w:val="5080F2D4"/>
    <w:multiLevelType w:val="hybridMultilevel"/>
    <w:tmpl w:val="00000000"/>
    <w:lvl w:ilvl="0">
      <w:start w:val="1"/>
      <w:numFmt w:val="decimal"/>
      <w:lvlText w:val="%1）"/>
      <w:lvlJc w:val="left"/>
      <w:pPr>
        <w:ind w:left="1120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635"/>
      </w:pPr>
      <w:rPr>
        <w:rFonts w:hint="default"/>
      </w:rPr>
    </w:lvl>
  </w:abstractNum>
  <w:abstractNum w:abstractNumId="36">
    <w:nsid w:val="51E4459A"/>
    <w:multiLevelType w:val="hybridMultilevel"/>
    <w:tmpl w:val="00000000"/>
    <w:lvl w:ilvl="0">
      <w:start w:val="2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37">
    <w:nsid w:val="545D6B65"/>
    <w:multiLevelType w:val="hybridMultilevel"/>
    <w:tmpl w:val="00000000"/>
    <w:lvl w:ilvl="0">
      <w:start w:val="8"/>
      <w:numFmt w:val="decimal"/>
      <w:lvlText w:val="%1"/>
      <w:lvlJc w:val="left"/>
      <w:pPr>
        <w:ind w:left="26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97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3118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613" w:hanging="1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59" w:hanging="1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6" w:hanging="1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3" w:hanging="1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99" w:hanging="1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6" w:hanging="1160"/>
      </w:pPr>
      <w:rPr>
        <w:rFonts w:hint="default"/>
      </w:rPr>
    </w:lvl>
  </w:abstractNum>
  <w:abstractNum w:abstractNumId="38">
    <w:nsid w:val="55109539"/>
    <w:multiLevelType w:val="hybridMultilevel"/>
    <w:tmpl w:val="00000000"/>
    <w:lvl w:ilvl="0">
      <w:start w:val="1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39">
    <w:nsid w:val="5A779F30"/>
    <w:multiLevelType w:val="hybridMultilevel"/>
    <w:tmpl w:val="00000000"/>
    <w:lvl w:ilvl="0">
      <w:start w:val="17"/>
      <w:numFmt w:val="decimal"/>
      <w:lvlText w:val="(%1)"/>
      <w:lvlJc w:val="left"/>
      <w:pPr>
        <w:ind w:left="1120" w:hanging="844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8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844"/>
      </w:pPr>
      <w:rPr>
        <w:rFonts w:hint="default"/>
      </w:rPr>
    </w:lvl>
  </w:abstractNum>
  <w:abstractNum w:abstractNumId="40">
    <w:nsid w:val="5B3C28C6"/>
    <w:multiLevelType w:val="hybridMultilevel"/>
    <w:tmpl w:val="00000000"/>
    <w:lvl w:ilvl="0">
      <w:start w:val="2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41">
    <w:nsid w:val="632ED248"/>
    <w:multiLevelType w:val="hybridMultilevel"/>
    <w:tmpl w:val="00000000"/>
    <w:lvl w:ilvl="0">
      <w:start w:val="1"/>
      <w:numFmt w:val="decimal"/>
      <w:lvlText w:val="%1"/>
      <w:lvlJc w:val="left"/>
      <w:pPr>
        <w:ind w:left="26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97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027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5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3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7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1" w:hanging="738"/>
      </w:pPr>
      <w:rPr>
        <w:rFonts w:hint="default"/>
      </w:rPr>
    </w:lvl>
  </w:abstractNum>
  <w:abstractNum w:abstractNumId="42">
    <w:nsid w:val="636DED2F"/>
    <w:multiLevelType w:val="hybridMultilevel"/>
    <w:tmpl w:val="00000000"/>
    <w:lvl w:ilvl="0">
      <w:start w:val="1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43">
    <w:nsid w:val="63DE5BB4"/>
    <w:multiLevelType w:val="hybridMultilevel"/>
    <w:tmpl w:val="00000000"/>
    <w:lvl w:ilvl="0">
      <w:start w:val="2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44">
    <w:nsid w:val="67778459"/>
    <w:multiLevelType w:val="hybridMultilevel"/>
    <w:tmpl w:val="00000000"/>
    <w:lvl w:ilvl="0">
      <w:start w:val="2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45">
    <w:nsid w:val="6E45CEFF"/>
    <w:multiLevelType w:val="hybridMultilevel"/>
    <w:tmpl w:val="00000000"/>
    <w:lvl w:ilvl="0">
      <w:start w:val="1"/>
      <w:numFmt w:val="decimal"/>
      <w:lvlText w:val="（%1）"/>
      <w:lvlJc w:val="left"/>
      <w:pPr>
        <w:ind w:left="1120" w:hanging="1060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10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1060"/>
      </w:pPr>
      <w:rPr>
        <w:rFonts w:hint="default"/>
      </w:rPr>
    </w:lvl>
  </w:abstractNum>
  <w:abstractNum w:abstractNumId="46">
    <w:nsid w:val="7070CB0B"/>
    <w:multiLevelType w:val="hybridMultilevel"/>
    <w:tmpl w:val="00000000"/>
    <w:lvl w:ilvl="0">
      <w:start w:val="3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47">
    <w:nsid w:val="71542DEF"/>
    <w:multiLevelType w:val="hybridMultilevel"/>
    <w:tmpl w:val="00000000"/>
    <w:lvl w:ilvl="0">
      <w:start w:val="9"/>
      <w:numFmt w:val="decimal"/>
      <w:lvlText w:val="%1"/>
      <w:lvlJc w:val="left"/>
      <w:pPr>
        <w:ind w:left="2279" w:hanging="317"/>
        <w:jc w:val="left"/>
      </w:pPr>
      <w:rPr>
        <w:rFonts w:ascii="宋体" w:eastAsia="宋体" w:hAnsi="宋体" w:cs="宋体" w:hint="default"/>
        <w:b/>
        <w:bCs/>
        <w:w w:val="99"/>
        <w:sz w:val="42"/>
        <w:szCs w:val="42"/>
      </w:rPr>
    </w:lvl>
    <w:lvl w:ilvl="1">
      <w:start w:val="1"/>
      <w:numFmt w:val="decimal"/>
      <w:lvlText w:val="%1.%2"/>
      <w:lvlJc w:val="left"/>
      <w:pPr>
        <w:ind w:left="2697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120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2900" w:hanging="1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4" w:hanging="1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68" w:hanging="1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02" w:hanging="1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6" w:hanging="1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71" w:hanging="1160"/>
      </w:pPr>
      <w:rPr>
        <w:rFonts w:hint="default"/>
      </w:rPr>
    </w:lvl>
  </w:abstractNum>
  <w:abstractNum w:abstractNumId="48">
    <w:nsid w:val="72888FD3"/>
    <w:multiLevelType w:val="hybridMultilevel"/>
    <w:tmpl w:val="00000000"/>
    <w:lvl w:ilvl="0">
      <w:start w:val="2"/>
      <w:numFmt w:val="decimal"/>
      <w:lvlText w:val="%1)"/>
      <w:lvlJc w:val="left"/>
      <w:pPr>
        <w:ind w:left="2381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7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7" w:hanging="423"/>
      </w:pPr>
      <w:rPr>
        <w:rFonts w:hint="default"/>
      </w:rPr>
    </w:lvl>
  </w:abstractNum>
  <w:abstractNum w:abstractNumId="49">
    <w:nsid w:val="75EC8DF8"/>
    <w:multiLevelType w:val="hybridMultilevel"/>
    <w:tmpl w:val="00000000"/>
    <w:lvl w:ilvl="0">
      <w:start w:val="3"/>
      <w:numFmt w:val="decimal"/>
      <w:lvlText w:val="%1)"/>
      <w:lvlJc w:val="left"/>
      <w:pPr>
        <w:ind w:left="112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423"/>
      </w:pPr>
      <w:rPr>
        <w:rFonts w:hint="default"/>
      </w:rPr>
    </w:lvl>
  </w:abstractNum>
  <w:abstractNum w:abstractNumId="50">
    <w:nsid w:val="75EDD50B"/>
    <w:multiLevelType w:val="hybridMultilevel"/>
    <w:tmpl w:val="00000000"/>
    <w:lvl w:ilvl="0">
      <w:start w:val="2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-7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51">
    <w:nsid w:val="7853E497"/>
    <w:multiLevelType w:val="hybridMultilevel"/>
    <w:tmpl w:val="00000000"/>
    <w:lvl w:ilvl="0">
      <w:start w:val="5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52">
    <w:nsid w:val="7BC8CD18"/>
    <w:multiLevelType w:val="hybridMultilevel"/>
    <w:tmpl w:val="00000000"/>
    <w:lvl w:ilvl="0">
      <w:start w:val="1"/>
      <w:numFmt w:val="decimal"/>
      <w:lvlText w:val="%1）"/>
      <w:lvlJc w:val="left"/>
      <w:pPr>
        <w:ind w:left="25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77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635"/>
      </w:pPr>
      <w:rPr>
        <w:rFonts w:hint="default"/>
      </w:rPr>
    </w:lvl>
  </w:abstractNum>
  <w:abstractNum w:abstractNumId="53">
    <w:nsid w:val="7CE5E051"/>
    <w:multiLevelType w:val="hybridMultilevel"/>
    <w:tmpl w:val="00000000"/>
    <w:lvl w:ilvl="0">
      <w:start w:val="1"/>
      <w:numFmt w:val="decimal"/>
      <w:lvlText w:val="（%1）"/>
      <w:lvlJc w:val="left"/>
      <w:pPr>
        <w:ind w:left="1120" w:hanging="1060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441" w:hanging="10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3" w:hanging="10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10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7" w:hanging="10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10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3" w:hanging="10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5" w:hanging="1060"/>
      </w:pPr>
      <w:rPr>
        <w:rFonts w:hint="default"/>
      </w:rPr>
    </w:lvl>
  </w:abstractNum>
  <w:abstractNum w:abstractNumId="54">
    <w:nsid w:val="7E708806"/>
    <w:multiLevelType w:val="hybridMultilevel"/>
    <w:tmpl w:val="00000000"/>
    <w:lvl w:ilvl="0">
      <w:start w:val="1"/>
      <w:numFmt w:val="decimal"/>
      <w:lvlText w:val="（%1）"/>
      <w:lvlJc w:val="left"/>
      <w:pPr>
        <w:ind w:left="301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15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8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1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4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5" w:hanging="1056"/>
      </w:pPr>
      <w:rPr>
        <w:rFonts w:hint="default"/>
      </w:rPr>
    </w:lvl>
  </w:abstractNum>
  <w:num w:numId="1">
    <w:abstractNumId w:val="47"/>
  </w:num>
  <w:num w:numId="2">
    <w:abstractNumId w:val="54"/>
  </w:num>
  <w:num w:numId="3">
    <w:abstractNumId w:val="50"/>
  </w:num>
  <w:num w:numId="4">
    <w:abstractNumId w:val="25"/>
  </w:num>
  <w:num w:numId="5">
    <w:abstractNumId w:val="24"/>
  </w:num>
  <w:num w:numId="6">
    <w:abstractNumId w:val="37"/>
  </w:num>
  <w:num w:numId="7">
    <w:abstractNumId w:val="14"/>
  </w:num>
  <w:num w:numId="8">
    <w:abstractNumId w:val="40"/>
  </w:num>
  <w:num w:numId="9">
    <w:abstractNumId w:val="51"/>
  </w:num>
  <w:num w:numId="10">
    <w:abstractNumId w:val="43"/>
  </w:num>
  <w:num w:numId="11">
    <w:abstractNumId w:val="0"/>
  </w:num>
  <w:num w:numId="12">
    <w:abstractNumId w:val="36"/>
  </w:num>
  <w:num w:numId="13">
    <w:abstractNumId w:val="20"/>
  </w:num>
  <w:num w:numId="14">
    <w:abstractNumId w:val="38"/>
  </w:num>
  <w:num w:numId="15">
    <w:abstractNumId w:val="46"/>
  </w:num>
  <w:num w:numId="16">
    <w:abstractNumId w:val="34"/>
  </w:num>
  <w:num w:numId="17">
    <w:abstractNumId w:val="17"/>
  </w:num>
  <w:num w:numId="18">
    <w:abstractNumId w:val="42"/>
  </w:num>
  <w:num w:numId="19">
    <w:abstractNumId w:val="32"/>
  </w:num>
  <w:num w:numId="20">
    <w:abstractNumId w:val="44"/>
  </w:num>
  <w:num w:numId="21">
    <w:abstractNumId w:val="9"/>
  </w:num>
  <w:num w:numId="22">
    <w:abstractNumId w:val="21"/>
  </w:num>
  <w:num w:numId="23">
    <w:abstractNumId w:val="48"/>
  </w:num>
  <w:num w:numId="24">
    <w:abstractNumId w:val="1"/>
  </w:num>
  <w:num w:numId="25">
    <w:abstractNumId w:val="28"/>
  </w:num>
  <w:num w:numId="26">
    <w:abstractNumId w:val="26"/>
  </w:num>
  <w:num w:numId="27">
    <w:abstractNumId w:val="4"/>
  </w:num>
  <w:num w:numId="28">
    <w:abstractNumId w:val="5"/>
  </w:num>
  <w:num w:numId="29">
    <w:abstractNumId w:val="18"/>
  </w:num>
  <w:num w:numId="30">
    <w:abstractNumId w:val="10"/>
  </w:num>
  <w:num w:numId="31">
    <w:abstractNumId w:val="12"/>
  </w:num>
  <w:num w:numId="32">
    <w:abstractNumId w:val="11"/>
  </w:num>
  <w:num w:numId="33">
    <w:abstractNumId w:val="2"/>
  </w:num>
  <w:num w:numId="34">
    <w:abstractNumId w:val="35"/>
  </w:num>
  <w:num w:numId="35">
    <w:abstractNumId w:val="52"/>
  </w:num>
  <w:num w:numId="36">
    <w:abstractNumId w:val="6"/>
  </w:num>
  <w:num w:numId="37">
    <w:abstractNumId w:val="19"/>
  </w:num>
  <w:num w:numId="38">
    <w:abstractNumId w:val="45"/>
  </w:num>
  <w:num w:numId="39">
    <w:abstractNumId w:val="27"/>
  </w:num>
  <w:num w:numId="40">
    <w:abstractNumId w:val="30"/>
  </w:num>
  <w:num w:numId="41">
    <w:abstractNumId w:val="49"/>
  </w:num>
  <w:num w:numId="42">
    <w:abstractNumId w:val="23"/>
  </w:num>
  <w:num w:numId="43">
    <w:abstractNumId w:val="16"/>
  </w:num>
  <w:num w:numId="44">
    <w:abstractNumId w:val="29"/>
  </w:num>
  <w:num w:numId="45">
    <w:abstractNumId w:val="22"/>
  </w:num>
  <w:num w:numId="46">
    <w:abstractNumId w:val="33"/>
  </w:num>
  <w:num w:numId="47">
    <w:abstractNumId w:val="7"/>
  </w:num>
  <w:num w:numId="48">
    <w:abstractNumId w:val="13"/>
  </w:num>
  <w:num w:numId="49">
    <w:abstractNumId w:val="41"/>
  </w:num>
  <w:num w:numId="50">
    <w:abstractNumId w:val="15"/>
  </w:num>
  <w:num w:numId="51">
    <w:abstractNumId w:val="39"/>
  </w:num>
  <w:num w:numId="52">
    <w:abstractNumId w:val="3"/>
  </w:num>
  <w:num w:numId="53">
    <w:abstractNumId w:val="8"/>
  </w:num>
  <w:num w:numId="54">
    <w:abstractNumId w:val="31"/>
  </w:num>
  <w:num w:numId="55">
    <w:abstractNumId w:val="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3493"/>
      <w:outlineLvl w:val="0"/>
    </w:pPr>
    <w:rPr>
      <w:rFonts w:ascii="宋体" w:eastAsia="宋体" w:hAnsi="宋体" w:cs="宋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963"/>
      <w:outlineLvl w:val="1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20" w:firstLine="838"/>
    </w:pPr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spacing w:line="825" w:lineRule="exact"/>
      <w:ind w:left="5362"/>
    </w:pPr>
    <w:rPr>
      <w:rFonts w:ascii="宋体" w:eastAsia="宋体" w:hAnsi="宋体" w:cs="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spacing w:before="211"/>
      <w:ind w:left="1120" w:firstLine="83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206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828001024022006035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2024-01-29T11:12:22Z</dcterms:created>
  <dcterms:modified xsi:type="dcterms:W3CDTF">2024-01-29T11:12:22Z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2024-01-29T00:00:00Z</vt:filetime>
  </property>
</Properties>
</file>