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除草剂混剂行业企业战略发展规划及建议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一、定性、定量安全评价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eastAsia="zh-CN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三、战略风险的识别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(一)、除草剂混剂行业企业在确定愿景及使命时的风险识别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(二)、制定除草剂混剂行业企业战略目标的风险识别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(三)、除草剂混剂行业企业战略分析的风险识别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7" w:history="1">
        <w:r>
          <w:rPr>
            <w:rFonts w:ascii="仿宋" w:eastAsia="仿宋" w:hAnsi="仿宋" w:cs="仿宋" w:hint="eastAsia"/>
            <w:lang w:eastAsia="zh-CN"/>
          </w:rPr>
          <w:t>(四)、除草剂混剂行业企业战略选择的风险识别</w:t>
        </w:r>
        <w:r>
          <w:tab/>
        </w:r>
        <w:r>
          <w:fldChar w:fldCharType="begin"/>
        </w:r>
        <w:r>
          <w:instrText xml:space="preserve"> PAGEREF _Toc28177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(五)、除草剂混剂行业企业战略实施的风险识别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四、人力资源分析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五、除草剂混剂投资管理策略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(一)、除草剂混剂投资估算主要内容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(二)、除草剂混剂设备购置投资费用管理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(三)、除草剂混剂装修施工投资费用管理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(四)、除草剂混剂流动资金管理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六、宏观环境分析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0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_Toc9570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8" w:history="1">
        <w:r>
          <w:rPr>
            <w:rFonts w:ascii="仿宋" w:eastAsia="仿宋" w:hAnsi="仿宋" w:cs="仿宋" w:hint="eastAsia"/>
            <w:lang w:eastAsia="zh-CN"/>
          </w:rPr>
          <w:t>七、除草剂混剂生产计划的含义与指标</w:t>
        </w:r>
        <w:r>
          <w:tab/>
        </w:r>
        <w:r>
          <w:fldChar w:fldCharType="begin"/>
        </w:r>
        <w:r>
          <w:instrText xml:space="preserve"> PAGEREF _Toc14448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9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_Toc15459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2" w:history="1">
        <w:r>
          <w:rPr>
            <w:rFonts w:ascii="仿宋" w:eastAsia="仿宋" w:hAnsi="仿宋" w:cs="仿宋" w:hint="eastAsia"/>
            <w:lang w:eastAsia="zh-CN"/>
          </w:rPr>
          <w:t>九、除草剂混剂市场地位与竞争战略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0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_Toc17546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十、产品规划及建设规模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十一、工艺技术分析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(二)、除草剂混剂项目技术工艺分析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2" w:history="1">
        <w:r>
          <w:rPr>
            <w:rFonts w:ascii="仿宋" w:eastAsia="仿宋" w:hAnsi="仿宋" w:cs="仿宋" w:hint="eastAsia"/>
            <w:lang w:eastAsia="zh-CN"/>
          </w:rPr>
          <w:t>(三)、除草剂混剂项目技术流程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十二、营销策略和销售计划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_Toc29360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十三、四经营所依赖的核心资源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_Toc25948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十四、除草剂混剂行业品牌策略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十五、品牌建设与公关策略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十六、外部合作与产业联盟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十七、除草剂混剂项目质量与标准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十八、项目技术流程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1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十九、法律与合规性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(二)、除草剂混剂项目合同管理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5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_Toc7055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二十、资源开发及综合利用分析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4"/>
      <w:r>
        <w:rPr>
          <w:rFonts w:ascii="仿宋" w:eastAsia="仿宋" w:hAnsi="仿宋" w:cs="仿宋" w:hint="eastAsia"/>
          <w:sz w:val="28"/>
          <w:lang w:eastAsia="zh-CN"/>
        </w:rPr>
        <w:t>一、定性、定量安全评价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17"/>
      <w:r>
        <w:rPr>
          <w:rFonts w:ascii="仿宋" w:eastAsia="仿宋" w:hAnsi="仿宋" w:cs="仿宋" w:hint="eastAsia"/>
          <w:lang w:eastAsia="zh-CN"/>
        </w:rPr>
        <w:t>(一)、安全管理单元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除草剂混剂项目一直以来以建设和完善安全管理体系为重点，充分意识到生产运营中安全管理的重要性。为此，除草剂混剂项目采取了多项措施来提升安全管理水平。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方面，除草剂混剂项目积极制定安全管理规章制度，并明确各岗位职责和安全操作规程，以确保全员了解和遵守相关规定。此外，项目还设立了专业的安全管理机构，负责监督和推动安全管理工作的实施。定期组织安全培训，提高员工的安全意识和应急处理能力，确保全员参与到安全管理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https://d.book118.com/828022061015006043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除草剂混剂行业企业战略发展规划及建议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除草剂混剂行业企业战略发展规划及建议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除草剂混剂行业企业战略发展规划及建议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除草剂混剂行业企业战略发展规划及建议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除草剂混剂行业企业战略发展规划及建议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1D0DE8"/>
    <w:rsid w:val="4593521B"/>
    <w:rsid w:val="771D0DE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22061015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2024-03-05T21:23:00Z</dcterms:created>
  <dcterms:modified xsi:type="dcterms:W3CDTF">2024-03-05T21:23:44Z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3054F30D4A014FA19E4DA8114F5EA4FB_11</vt:lpwstr>
  </property>
  <property fmtid="{D5CDD505-2E9C-101B-9397-08002B2CF9AE}" pid="3" name="KSOProductBuildVer">
    <vt:lpwstr>2052-12.1.0.16399</vt:lpwstr>
  </property>
</Properties>
</file>