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2024年功能复合材料行业分析报告及未来五到十年行业发展趋势报告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17678" w:history="1">
        <w:r>
          <w:rPr>
            <w:rFonts w:eastAsia="微软雅黑" w:hint="eastAsia"/>
            <w:snapToGrid/>
            <w:lang w:val="en-US" w:eastAsia="en-US"/>
          </w:rPr>
          <w:t>一、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行业的外部环境及发展趋势分析</w:t>
        </w:r>
        <w:r>
          <w:tab/>
        </w:r>
        <w:r>
          <w:fldChar w:fldCharType="begin"/>
        </w:r>
        <w:r>
          <w:instrText xml:space="preserve"> PAGEREF _Toc17678 \h </w:instrText>
        </w:r>
        <w:r>
          <w:fldChar w:fldCharType="separate"/>
        </w:r>
        <w:r>
          <w:t>4</w:t>
        </w:r>
        <w:r>
          <w:fldChar w:fldCharType="end"/>
        </w:r>
      </w:hyperlink>
      <w:r>
        <w:fldChar w:fldCharType="end"/>
      </w:r>
    </w:p>
    <w:p>
      <w:pPr>
        <w:pStyle w:val="TOC2"/>
        <w:tabs>
          <w:tab w:val="right" w:leader="dot" w:pos="8958"/>
        </w:tabs>
      </w:pPr>
      <w:hyperlink w:anchor="_Toc5580" w:history="1">
        <w:r>
          <w:rPr>
            <w:rFonts w:eastAsia="微软雅黑" w:hint="eastAsia"/>
            <w:snapToGrid/>
            <w:lang w:val="en-US" w:eastAsia="en-US"/>
          </w:rPr>
          <w:t>(一)、国际政治经济发展对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_Toc5580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008" w:history="1">
        <w:r>
          <w:rPr>
            <w:rFonts w:eastAsia="微软雅黑" w:hint="eastAsia"/>
            <w:snapToGrid/>
            <w:lang w:val="en-US" w:eastAsia="zh-CN"/>
          </w:rPr>
          <w:t>(二)、国内政治经济发展对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_Toc9008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665" w:history="1">
        <w:r>
          <w:rPr>
            <w:rFonts w:eastAsia="微软雅黑" w:hint="eastAsia"/>
            <w:snapToGrid/>
            <w:lang w:val="en-US" w:eastAsia="zh-CN"/>
          </w:rPr>
          <w:t>(三)、国内突出经济问题对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_Toc21665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7171" w:history="1">
        <w:r>
          <w:rPr>
            <w:rFonts w:eastAsia="微软雅黑" w:hint="eastAsia"/>
            <w:snapToGrid/>
            <w:lang w:val="en-US" w:eastAsia="en-US"/>
          </w:rPr>
          <w:t>二、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行业成功突围策略</w:t>
        </w:r>
        <w:r>
          <w:tab/>
        </w:r>
        <w:r>
          <w:fldChar w:fldCharType="begin"/>
        </w:r>
        <w:r>
          <w:instrText xml:space="preserve"> PAGEREF _Toc27171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444" w:history="1">
        <w:r>
          <w:rPr>
            <w:rFonts w:eastAsia="微软雅黑" w:hint="eastAsia"/>
            <w:snapToGrid/>
            <w:lang w:val="en-US" w:eastAsia="en-US"/>
          </w:rPr>
          <w:t>(一)、寻找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行业准差异化消费者兴趣诉求点</w:t>
        </w:r>
        <w:r>
          <w:tab/>
        </w:r>
        <w:r>
          <w:fldChar w:fldCharType="begin"/>
        </w:r>
        <w:r>
          <w:instrText xml:space="preserve"> PAGEREF _Toc18444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184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行业精准定位与无声消费教育</w:t>
        </w:r>
        <w:r>
          <w:tab/>
        </w:r>
        <w:r>
          <w:fldChar w:fldCharType="begin"/>
        </w:r>
        <w:r>
          <w:instrText xml:space="preserve"> PAGEREF _Toc16184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813" w:history="1">
        <w:r>
          <w:rPr>
            <w:rFonts w:eastAsia="微软雅黑" w:hint="eastAsia"/>
            <w:snapToGrid/>
            <w:lang w:val="en-US" w:eastAsia="zh-CN"/>
          </w:rPr>
          <w:t>(三)、从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行业硬文广告传播到深度合作</w:t>
        </w:r>
        <w:r>
          <w:tab/>
        </w:r>
        <w:r>
          <w:fldChar w:fldCharType="begin"/>
        </w:r>
        <w:r>
          <w:instrText xml:space="preserve"> PAGEREF _Toc8813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735" w:history="1">
        <w:r>
          <w:rPr>
            <w:rFonts w:eastAsia="微软雅黑" w:hint="eastAsia"/>
            <w:snapToGrid/>
            <w:lang w:val="en-US" w:eastAsia="zh-CN"/>
          </w:rPr>
          <w:t>(四)、公益营销竞争激烈</w:t>
        </w:r>
        <w:r>
          <w:tab/>
        </w:r>
        <w:r>
          <w:fldChar w:fldCharType="begin"/>
        </w:r>
        <w:r>
          <w:instrText xml:space="preserve"> PAGEREF _Toc27735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97" w:history="1">
        <w:r>
          <w:rPr>
            <w:rFonts w:eastAsia="微软雅黑" w:hint="eastAsia"/>
            <w:snapToGrid/>
            <w:lang w:val="en-US" w:eastAsia="zh-CN"/>
          </w:rPr>
          <w:t>(五)、电子商务提升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行业广告效果</w:t>
        </w:r>
        <w:r>
          <w:tab/>
        </w:r>
        <w:r>
          <w:fldChar w:fldCharType="begin"/>
        </w:r>
        <w:r>
          <w:instrText xml:space="preserve"> PAGEREF _Toc2797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042" w:history="1">
        <w:r>
          <w:rPr>
            <w:rFonts w:eastAsia="微软雅黑" w:hint="eastAsia"/>
            <w:snapToGrid/>
            <w:lang w:val="en-US" w:eastAsia="zh-CN"/>
          </w:rPr>
          <w:t>(六)、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行业渠道以多种形式传播</w:t>
        </w:r>
        <w:r>
          <w:tab/>
        </w:r>
        <w:r>
          <w:fldChar w:fldCharType="begin"/>
        </w:r>
        <w:r>
          <w:instrText xml:space="preserve"> PAGEREF _Toc30042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170" w:history="1">
        <w:r>
          <w:rPr>
            <w:rFonts w:eastAsia="微软雅黑" w:hint="eastAsia"/>
            <w:snapToGrid/>
            <w:lang w:val="en-US" w:eastAsia="zh-CN"/>
          </w:rPr>
          <w:t>(七)、强调市场细分，深耕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产业</w:t>
        </w:r>
        <w:r>
          <w:tab/>
        </w:r>
        <w:r>
          <w:fldChar w:fldCharType="begin"/>
        </w:r>
        <w:r>
          <w:instrText xml:space="preserve"> PAGEREF _Toc29170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3875" w:history="1">
        <w:r>
          <w:rPr>
            <w:rFonts w:eastAsia="微软雅黑" w:hint="eastAsia"/>
            <w:snapToGrid/>
            <w:lang w:val="en-US" w:eastAsia="en-US"/>
          </w:rPr>
          <w:t>三、宏观经济对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_Toc23875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224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行业线性决策机制分析</w:t>
        </w:r>
        <w:r>
          <w:tab/>
        </w:r>
        <w:r>
          <w:fldChar w:fldCharType="begin"/>
        </w:r>
        <w:r>
          <w:instrText xml:space="preserve"> PAGEREF _Toc31224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909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行业竞争与行业壁垒分析</w:t>
        </w:r>
        <w:r>
          <w:tab/>
        </w:r>
        <w:r>
          <w:fldChar w:fldCharType="begin"/>
        </w:r>
        <w:r>
          <w:instrText xml:space="preserve"> PAGEREF _Toc16909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349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行业库存管理波动分析</w:t>
        </w:r>
        <w:r>
          <w:tab/>
        </w:r>
        <w:r>
          <w:fldChar w:fldCharType="begin"/>
        </w:r>
        <w:r>
          <w:instrText xml:space="preserve"> PAGEREF _Toc8349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7697" w:history="1">
        <w:r>
          <w:rPr>
            <w:rFonts w:eastAsia="微软雅黑" w:hint="eastAsia"/>
            <w:snapToGrid/>
            <w:lang w:val="en-US" w:eastAsia="en-US"/>
          </w:rPr>
          <w:t>四、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行业“专业化能力”对盈利模式的影响分析</w:t>
        </w:r>
        <w:r>
          <w:tab/>
        </w:r>
        <w:r>
          <w:fldChar w:fldCharType="begin"/>
        </w:r>
        <w:r>
          <w:instrText xml:space="preserve"> PAGEREF _Toc27697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830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行业企业盈利模式运作的关键</w:t>
        </w:r>
        <w:r>
          <w:tab/>
        </w:r>
        <w:r>
          <w:fldChar w:fldCharType="begin"/>
        </w:r>
        <w:r>
          <w:instrText xml:space="preserve"> PAGEREF _Toc28830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900" w:history="1">
        <w:r>
          <w:rPr>
            <w:rFonts w:eastAsia="微软雅黑" w:hint="eastAsia"/>
            <w:snapToGrid/>
            <w:lang w:val="en-US" w:eastAsia="zh-CN"/>
          </w:rPr>
          <w:t>(二)、怎样培养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行业的业务能力</w:t>
        </w:r>
        <w:r>
          <w:tab/>
        </w:r>
        <w:r>
          <w:fldChar w:fldCharType="begin"/>
        </w:r>
        <w:r>
          <w:instrText xml:space="preserve"> PAGEREF _Toc5900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3343" w:history="1">
        <w:r>
          <w:rPr>
            <w:rFonts w:eastAsia="微软雅黑" w:hint="eastAsia"/>
            <w:snapToGrid/>
            <w:lang w:val="en-US" w:eastAsia="en-US"/>
          </w:rPr>
          <w:t>五、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行业数据预测与分析</w:t>
        </w:r>
        <w:r>
          <w:tab/>
        </w:r>
        <w:r>
          <w:fldChar w:fldCharType="begin"/>
        </w:r>
        <w:r>
          <w:instrText xml:space="preserve"> PAGEREF _Toc3343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657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行业时间序列预测与分析</w:t>
        </w:r>
        <w:r>
          <w:tab/>
        </w:r>
        <w:r>
          <w:fldChar w:fldCharType="begin"/>
        </w:r>
        <w:r>
          <w:instrText xml:space="preserve"> PAGEREF _Toc8657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014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行业时间曲线预测模型分析</w:t>
        </w:r>
        <w:r>
          <w:tab/>
        </w:r>
        <w:r>
          <w:fldChar w:fldCharType="begin"/>
        </w:r>
        <w:r>
          <w:instrText xml:space="preserve"> PAGEREF _Toc10014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290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行业差分方程预测模型分析</w:t>
        </w:r>
        <w:r>
          <w:tab/>
        </w:r>
        <w:r>
          <w:fldChar w:fldCharType="begin"/>
        </w:r>
        <w:r>
          <w:instrText xml:space="preserve"> PAGEREF _Toc5290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134" w:history="1">
        <w:r>
          <w:rPr>
            <w:rFonts w:eastAsia="微软雅黑" w:hint="eastAsia"/>
            <w:snapToGrid/>
            <w:lang w:val="en-US" w:eastAsia="zh-CN"/>
          </w:rPr>
          <w:t>(四)、未来5-10年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行业预测结论</w:t>
        </w:r>
        <w:r>
          <w:tab/>
        </w:r>
        <w:r>
          <w:fldChar w:fldCharType="begin"/>
        </w:r>
        <w:r>
          <w:instrText xml:space="preserve"> PAGEREF _Toc15134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070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行业企业转型思考(2024-2029)</w:t>
        </w:r>
        <w:r>
          <w:tab/>
        </w:r>
        <w:r>
          <w:fldChar w:fldCharType="begin"/>
        </w:r>
        <w:r>
          <w:instrText xml:space="preserve"> PAGEREF _Toc1070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801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行业的内生延伸——选择与定位</w:t>
        </w:r>
        <w:r>
          <w:tab/>
        </w:r>
        <w:r>
          <w:fldChar w:fldCharType="begin"/>
        </w:r>
        <w:r>
          <w:instrText xml:space="preserve"> PAGEREF _Toc5801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005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行业跨行业转型延伸</w:t>
        </w:r>
        <w:r>
          <w:tab/>
        </w:r>
        <w:r>
          <w:fldChar w:fldCharType="begin"/>
        </w:r>
        <w:r>
          <w:instrText xml:space="preserve"> PAGEREF _Toc28005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004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行业企业资本计划分析</w:t>
        </w:r>
        <w:r>
          <w:tab/>
        </w:r>
        <w:r>
          <w:fldChar w:fldCharType="begin"/>
        </w:r>
        <w:r>
          <w:instrText xml:space="preserve"> PAGEREF _Toc31004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049" w:history="1">
        <w:r>
          <w:rPr>
            <w:rFonts w:eastAsia="微软雅黑" w:hint="eastAsia"/>
            <w:snapToGrid/>
            <w:lang w:val="en-US" w:eastAsia="zh-CN"/>
          </w:rPr>
          <w:t>(四)、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行业的融资问题</w:t>
        </w:r>
        <w:r>
          <w:tab/>
        </w:r>
        <w:r>
          <w:fldChar w:fldCharType="begin"/>
        </w:r>
        <w:r>
          <w:instrText xml:space="preserve"> PAGEREF _Toc14049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819" w:history="1">
        <w:r>
          <w:rPr>
            <w:rFonts w:eastAsia="微软雅黑" w:hint="eastAsia"/>
            <w:snapToGrid/>
            <w:lang w:val="en-US" w:eastAsia="zh-CN"/>
          </w:rPr>
          <w:t>(五)、加强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行业人才引进，优化人才结构</w:t>
        </w:r>
        <w:r>
          <w:tab/>
        </w:r>
        <w:r>
          <w:fldChar w:fldCharType="begin"/>
        </w:r>
        <w:r>
          <w:instrText xml:space="preserve"> PAGEREF _Toc26819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0173" w:history="1">
        <w:r>
          <w:rPr>
            <w:rFonts w:eastAsia="微软雅黑" w:hint="eastAsia"/>
            <w:snapToGrid/>
            <w:lang w:val="en-US" w:eastAsia="en-US"/>
          </w:rPr>
          <w:t>七、2024-2029年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行业企业市场突围战略分析</w:t>
        </w:r>
        <w:r>
          <w:tab/>
        </w:r>
        <w:r>
          <w:fldChar w:fldCharType="begin"/>
        </w:r>
        <w:r>
          <w:instrText xml:space="preserve"> PAGEREF _Toc10173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228" w:history="1">
        <w:r>
          <w:rPr>
            <w:rFonts w:eastAsia="微软雅黑" w:hint="eastAsia"/>
            <w:snapToGrid/>
            <w:lang w:val="en-US" w:eastAsia="en-US"/>
          </w:rPr>
          <w:t>(一)、在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行业树立“战略突破”理念</w:t>
        </w:r>
        <w:r>
          <w:tab/>
        </w:r>
        <w:r>
          <w:fldChar w:fldCharType="begin"/>
        </w:r>
        <w:r>
          <w:instrText xml:space="preserve"> PAGEREF _Toc27228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524" w:history="1">
        <w:r>
          <w:rPr>
            <w:rFonts w:eastAsia="微软雅黑" w:hint="eastAsia"/>
            <w:snapToGrid/>
            <w:lang w:val="en-US" w:eastAsia="zh-CN"/>
          </w:rPr>
          <w:t>(二)、确定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行业市场定位、产品定位和品牌定位</w:t>
        </w:r>
        <w:r>
          <w:tab/>
        </w:r>
        <w:r>
          <w:fldChar w:fldCharType="begin"/>
        </w:r>
        <w:r>
          <w:instrText xml:space="preserve"> PAGEREF _Toc27524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30188" w:history="1">
        <w:r>
          <w:rPr>
            <w:rFonts w:eastAsia="微软雅黑" w:hint="eastAsia"/>
            <w:snapToGrid/>
            <w:lang w:val="en-US" w:eastAsia="zh-CN"/>
          </w:rPr>
          <w:t>1、市场定位</w:t>
        </w:r>
        <w:r>
          <w:tab/>
        </w:r>
        <w:r>
          <w:fldChar w:fldCharType="begin"/>
        </w:r>
        <w:r>
          <w:instrText xml:space="preserve"> PAGEREF _Toc30188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12871" w:history="1">
        <w:r>
          <w:rPr>
            <w:rFonts w:eastAsia="微软雅黑" w:hint="eastAsia"/>
            <w:snapToGrid/>
            <w:lang w:val="en-US" w:eastAsia="zh-CN"/>
          </w:rPr>
          <w:t>2、产品定位</w:t>
        </w:r>
        <w:r>
          <w:tab/>
        </w:r>
        <w:r>
          <w:fldChar w:fldCharType="begin"/>
        </w:r>
        <w:r>
          <w:instrText xml:space="preserve"> PAGEREF _Toc12871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6899" w:history="1">
        <w:r>
          <w:rPr>
            <w:rFonts w:eastAsia="微软雅黑" w:hint="eastAsia"/>
            <w:snapToGrid/>
            <w:lang w:val="en-US" w:eastAsia="zh-CN"/>
          </w:rPr>
          <w:t>3、品牌定位</w:t>
        </w:r>
        <w:r>
          <w:tab/>
        </w:r>
        <w:r>
          <w:fldChar w:fldCharType="begin"/>
        </w:r>
        <w:r>
          <w:instrText xml:space="preserve"> PAGEREF _Toc6899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930" w:history="1">
        <w:r>
          <w:rPr>
            <w:rFonts w:eastAsia="微软雅黑" w:hint="eastAsia"/>
            <w:snapToGrid/>
            <w:lang w:val="en-US" w:eastAsia="zh-CN"/>
          </w:rPr>
          <w:t>(三)、创新寻求突破</w:t>
        </w:r>
        <w:r>
          <w:tab/>
        </w:r>
        <w:r>
          <w:fldChar w:fldCharType="begin"/>
        </w:r>
        <w:r>
          <w:instrText xml:space="preserve"> PAGEREF _Toc13930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6016" w:history="1">
        <w:r>
          <w:rPr>
            <w:rFonts w:eastAsia="微软雅黑" w:hint="eastAsia"/>
            <w:snapToGrid/>
            <w:lang w:val="en-US" w:eastAsia="zh-CN"/>
          </w:rPr>
          <w:t>1、基于消费升级的科技创新模式</w:t>
        </w:r>
        <w:r>
          <w:tab/>
        </w:r>
        <w:r>
          <w:fldChar w:fldCharType="begin"/>
        </w:r>
        <w:r>
          <w:instrText xml:space="preserve"> PAGEREF _Toc6016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32253" w:history="1">
        <w:r>
          <w:rPr>
            <w:rFonts w:eastAsia="微软雅黑" w:hint="eastAsia"/>
            <w:snapToGrid/>
            <w:lang w:val="en-US" w:eastAsia="zh-CN"/>
          </w:rPr>
          <w:t>2、创新推动行业更高质量发展</w:t>
        </w:r>
        <w:r>
          <w:tab/>
        </w:r>
        <w:r>
          <w:fldChar w:fldCharType="begin"/>
        </w:r>
        <w:r>
          <w:instrText xml:space="preserve"> PAGEREF _Toc32253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88" w:history="1">
        <w:r>
          <w:rPr>
            <w:rFonts w:eastAsia="微软雅黑" w:hint="eastAsia"/>
            <w:snapToGrid/>
            <w:lang w:val="en-US" w:eastAsia="zh-CN"/>
          </w:rPr>
          <w:t>3、尝试业态创新和品牌创新</w:t>
        </w:r>
        <w:r>
          <w:tab/>
        </w:r>
        <w:r>
          <w:fldChar w:fldCharType="begin"/>
        </w:r>
        <w:r>
          <w:instrText xml:space="preserve"> PAGEREF _Toc188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7053" w:history="1">
        <w:r>
          <w:rPr>
            <w:rFonts w:eastAsia="微软雅黑" w:hint="eastAsia"/>
            <w:snapToGrid/>
            <w:lang w:val="en-US" w:eastAsia="zh-CN"/>
          </w:rPr>
          <w:t>4、自主创新打造品牌</w:t>
        </w:r>
        <w:r>
          <w:tab/>
        </w:r>
        <w:r>
          <w:fldChar w:fldCharType="begin"/>
        </w:r>
        <w:r>
          <w:instrText xml:space="preserve"> PAGEREF _Toc7053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700" w:history="1">
        <w:r>
          <w:rPr>
            <w:rFonts w:eastAsia="微软雅黑" w:hint="eastAsia"/>
            <w:snapToGrid/>
            <w:lang w:val="en-US" w:eastAsia="zh-CN"/>
          </w:rPr>
          <w:t>(四)、制定宣传计划</w:t>
        </w:r>
        <w:r>
          <w:tab/>
        </w:r>
        <w:r>
          <w:fldChar w:fldCharType="begin"/>
        </w:r>
        <w:r>
          <w:instrText xml:space="preserve"> PAGEREF _Toc20700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4824" w:history="1">
        <w:r>
          <w:rPr>
            <w:rFonts w:eastAsia="微软雅黑" w:hint="eastAsia"/>
            <w:snapToGrid/>
            <w:lang w:val="en-US" w:eastAsia="zh-CN"/>
          </w:rPr>
          <w:t>1、学会做低成本的传播工具</w:t>
        </w:r>
        <w:r>
          <w:tab/>
        </w:r>
        <w:r>
          <w:fldChar w:fldCharType="begin"/>
        </w:r>
        <w:r>
          <w:instrText xml:space="preserve"> PAGEREF _Toc4824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3487" w:history="1">
        <w:r>
          <w:rPr>
            <w:rFonts w:eastAsia="微软雅黑" w:hint="eastAsia"/>
            <w:snapToGrid/>
            <w:lang w:val="en-US" w:eastAsia="zh-CN"/>
          </w:rPr>
          <w:t>2、学会以优秀的品牌视觉设计突出品牌特色</w:t>
        </w:r>
        <w:r>
          <w:tab/>
        </w:r>
        <w:r>
          <w:fldChar w:fldCharType="begin"/>
        </w:r>
        <w:r>
          <w:instrText xml:space="preserve"> PAGEREF _Toc3487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6568" w:history="1">
        <w:r>
          <w:rPr>
            <w:rFonts w:eastAsia="微软雅黑" w:hint="eastAsia"/>
            <w:snapToGrid/>
            <w:lang w:val="en-US" w:eastAsia="zh-CN"/>
          </w:rPr>
          <w:t>3、学会使用网络营销</w:t>
        </w:r>
        <w:r>
          <w:tab/>
        </w:r>
        <w:r>
          <w:fldChar w:fldCharType="begin"/>
        </w:r>
        <w:r>
          <w:instrText xml:space="preserve"> PAGEREF _Toc26568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5058" w:history="1">
        <w:r>
          <w:rPr>
            <w:rFonts w:eastAsia="微软雅黑" w:hint="eastAsia"/>
            <w:snapToGrid/>
            <w:lang w:val="en-US" w:eastAsia="en-US"/>
          </w:rPr>
          <w:t>八、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行业未来发展机会</w:t>
        </w:r>
        <w:r>
          <w:tab/>
        </w:r>
        <w:r>
          <w:fldChar w:fldCharType="begin"/>
        </w:r>
        <w:r>
          <w:instrText xml:space="preserve"> PAGEREF _Toc5058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153" w:history="1">
        <w:r>
          <w:rPr>
            <w:rFonts w:eastAsia="微软雅黑" w:hint="eastAsia"/>
            <w:snapToGrid/>
            <w:lang w:val="en-US" w:eastAsia="en-US"/>
          </w:rPr>
          <w:t>(一)、在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行业中通过产品差异化获得商机</w:t>
        </w:r>
        <w:r>
          <w:tab/>
        </w:r>
        <w:r>
          <w:fldChar w:fldCharType="begin"/>
        </w:r>
        <w:r>
          <w:instrText xml:space="preserve"> PAGEREF _Toc21153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098" w:history="1">
        <w:r>
          <w:rPr>
            <w:rFonts w:eastAsia="微软雅黑" w:hint="eastAsia"/>
            <w:snapToGrid/>
            <w:lang w:val="en-US" w:eastAsia="zh-CN"/>
          </w:rPr>
          <w:t>(二)、借助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行业市场差异赢得商机</w:t>
        </w:r>
        <w:r>
          <w:tab/>
        </w:r>
        <w:r>
          <w:fldChar w:fldCharType="begin"/>
        </w:r>
        <w:r>
          <w:instrText xml:space="preserve"> PAGEREF _Toc14098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823" w:history="1">
        <w:r>
          <w:rPr>
            <w:rFonts w:eastAsia="微软雅黑" w:hint="eastAsia"/>
            <w:snapToGrid/>
            <w:lang w:val="en-US" w:eastAsia="zh-CN"/>
          </w:rPr>
          <w:t>(三)、借助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行业服务差异化抓住商机</w:t>
        </w:r>
        <w:r>
          <w:tab/>
        </w:r>
        <w:r>
          <w:fldChar w:fldCharType="begin"/>
        </w:r>
        <w:r>
          <w:instrText xml:space="preserve"> PAGEREF _Toc10823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215" w:history="1">
        <w:r>
          <w:rPr>
            <w:rFonts w:eastAsia="微软雅黑" w:hint="eastAsia"/>
            <w:snapToGrid/>
            <w:lang w:val="en-US" w:eastAsia="zh-CN"/>
          </w:rPr>
          <w:t>(四)、借助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行业客户差异化把握商机</w:t>
        </w:r>
        <w:r>
          <w:tab/>
        </w:r>
        <w:r>
          <w:fldChar w:fldCharType="begin"/>
        </w:r>
        <w:r>
          <w:instrText xml:space="preserve"> PAGEREF _Toc9215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068" w:history="1">
        <w:r>
          <w:rPr>
            <w:rFonts w:eastAsia="微软雅黑" w:hint="eastAsia"/>
            <w:snapToGrid/>
            <w:lang w:val="en-US" w:eastAsia="zh-CN"/>
          </w:rPr>
          <w:t>(五)、借助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行业渠道差异来寻求商机</w:t>
        </w:r>
        <w:r>
          <w:tab/>
        </w:r>
        <w:r>
          <w:fldChar w:fldCharType="begin"/>
        </w:r>
        <w:r>
          <w:instrText xml:space="preserve"> PAGEREF _Toc24068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5855" w:history="1">
        <w:r>
          <w:rPr>
            <w:rFonts w:eastAsia="微软雅黑" w:hint="eastAsia"/>
            <w:snapToGrid/>
            <w:lang w:val="en-US" w:eastAsia="en-US"/>
          </w:rPr>
          <w:t>九、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行业发展模式分析</w:t>
        </w:r>
        <w:r>
          <w:tab/>
        </w:r>
        <w:r>
          <w:fldChar w:fldCharType="begin"/>
        </w:r>
        <w:r>
          <w:instrText xml:space="preserve"> PAGEREF _Toc5855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147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行业地域有明显差异</w:t>
        </w:r>
        <w:r>
          <w:tab/>
        </w:r>
        <w:r>
          <w:fldChar w:fldCharType="begin"/>
        </w:r>
        <w:r>
          <w:instrText xml:space="preserve"> PAGEREF _Toc25147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4138" w:history="1">
        <w:r>
          <w:rPr>
            <w:rFonts w:eastAsia="微软雅黑" w:hint="eastAsia"/>
            <w:snapToGrid/>
            <w:lang w:val="en-US" w:eastAsia="en-US"/>
          </w:rPr>
          <w:t>十、2024-2029年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行业企业市场突破具体策略</w:t>
        </w:r>
        <w:r>
          <w:tab/>
        </w:r>
        <w:r>
          <w:fldChar w:fldCharType="begin"/>
        </w:r>
        <w:r>
          <w:instrText xml:space="preserve"> PAGEREF _Toc24138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454" w:history="1">
        <w:r>
          <w:rPr>
            <w:rFonts w:eastAsia="微软雅黑" w:hint="eastAsia"/>
            <w:snapToGrid/>
            <w:lang w:val="en-US" w:eastAsia="en-US"/>
          </w:rPr>
          <w:t>(一)、密切关注竞争对手的策略，提高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行业产品在行业内的竞争力</w:t>
        </w:r>
        <w:r>
          <w:tab/>
        </w:r>
        <w:r>
          <w:fldChar w:fldCharType="begin"/>
        </w:r>
        <w:r>
          <w:instrText xml:space="preserve"> PAGEREF _Toc20454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44" w:history="1">
        <w:r>
          <w:rPr>
            <w:rFonts w:eastAsia="微软雅黑" w:hint="eastAsia"/>
            <w:snapToGrid/>
            <w:lang w:val="en-US" w:eastAsia="zh-CN"/>
          </w:rPr>
          <w:t>(二)、使用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行业市场渗透策略，不断开发新客户</w:t>
        </w:r>
        <w:r>
          <w:tab/>
        </w:r>
        <w:r>
          <w:fldChar w:fldCharType="begin"/>
        </w:r>
        <w:r>
          <w:instrText xml:space="preserve"> PAGEREF _Toc2344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522" w:history="1">
        <w:r>
          <w:rPr>
            <w:rFonts w:eastAsia="微软雅黑" w:hint="eastAsia"/>
            <w:snapToGrid/>
            <w:lang w:val="en-US" w:eastAsia="zh-CN"/>
          </w:rPr>
          <w:t>(三)、实施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行业市场发展战略，不断开拓各类市场创新源</w:t>
        </w:r>
        <w:r>
          <w:tab/>
        </w:r>
        <w:r>
          <w:fldChar w:fldCharType="begin"/>
        </w:r>
        <w:r>
          <w:instrText xml:space="preserve"> PAGEREF _Toc13522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224" w:history="1">
        <w:r>
          <w:rPr>
            <w:rFonts w:eastAsia="微软雅黑" w:hint="eastAsia"/>
            <w:snapToGrid/>
            <w:lang w:val="en-US" w:eastAsia="zh-CN"/>
          </w:rPr>
          <w:t>(四)、不断提高产品质量，建立覆盖完善的服务体系</w:t>
        </w:r>
        <w:r>
          <w:tab/>
        </w:r>
        <w:r>
          <w:fldChar w:fldCharType="begin"/>
        </w:r>
        <w:r>
          <w:instrText xml:space="preserve"> PAGEREF _Toc26224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144" w:history="1">
        <w:r>
          <w:rPr>
            <w:rFonts w:eastAsia="微软雅黑" w:hint="eastAsia"/>
            <w:snapToGrid/>
            <w:lang w:val="en-US" w:eastAsia="zh-CN"/>
          </w:rPr>
          <w:t>(五)、实施线上线下融合，深化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行业国内外市场拓展</w:t>
        </w:r>
        <w:r>
          <w:tab/>
        </w:r>
        <w:r>
          <w:fldChar w:fldCharType="begin"/>
        </w:r>
        <w:r>
          <w:instrText xml:space="preserve"> PAGEREF _Toc17144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561" w:history="1">
        <w:r>
          <w:rPr>
            <w:rFonts w:eastAsia="微软雅黑" w:hint="eastAsia"/>
            <w:snapToGrid/>
            <w:lang w:val="en-US" w:eastAsia="zh-CN"/>
          </w:rPr>
          <w:t>(六)、在市场开发中结合渗透和其他策略</w:t>
        </w:r>
        <w:r>
          <w:tab/>
        </w:r>
        <w:r>
          <w:fldChar w:fldCharType="begin"/>
        </w:r>
        <w:r>
          <w:instrText xml:space="preserve"> PAGEREF _Toc27561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6230" w:history="1">
        <w:r>
          <w:rPr>
            <w:rFonts w:eastAsia="微软雅黑" w:hint="eastAsia"/>
            <w:snapToGrid/>
            <w:lang w:val="en-US" w:eastAsia="en-US"/>
          </w:rPr>
          <w:t>十一、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行业企业战略选择</w:t>
        </w:r>
        <w:r>
          <w:tab/>
        </w:r>
        <w:r>
          <w:fldChar w:fldCharType="begin"/>
        </w:r>
        <w:r>
          <w:instrText xml:space="preserve"> PAGEREF _Toc16230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4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行业SWOT分析</w:t>
        </w:r>
        <w:r>
          <w:tab/>
        </w:r>
        <w:r>
          <w:fldChar w:fldCharType="begin"/>
        </w:r>
        <w:r>
          <w:instrText xml:space="preserve"> PAGEREF _Toc174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900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行业企业战略确定</w:t>
        </w:r>
        <w:r>
          <w:tab/>
        </w:r>
        <w:r>
          <w:fldChar w:fldCharType="begin"/>
        </w:r>
        <w:r>
          <w:instrText xml:space="preserve"> PAGEREF _Toc21900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150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功能复合材料</w:t>
        </w:r>
        <w:r>
          <w:rPr>
            <w:rFonts w:eastAsia="微软雅黑" w:hint="eastAsia"/>
            <w:snapToGrid/>
            <w:lang w:val="en-US" w:eastAsia="zh-CN"/>
          </w:rPr>
          <w:t>行业PEST分析</w:t>
        </w:r>
        <w:r>
          <w:tab/>
        </w:r>
        <w:r>
          <w:fldChar w:fldCharType="begin"/>
        </w:r>
        <w:r>
          <w:instrText xml:space="preserve"> PAGEREF _Toc25150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3029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_Toc23029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6750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_Toc6750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8104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_Toc8104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7573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_Toc17573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4017" w:history="1">
        <w:r>
          <w:rPr>
            <w:rFonts w:eastAsia="微软雅黑" w:hint="eastAsia"/>
            <w:snapToGrid/>
            <w:lang w:val="en-US" w:eastAsia="en-US"/>
          </w:rPr>
          <w:t>十二、2024-2029年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行业竞争格局展望</w:t>
        </w:r>
        <w:r>
          <w:tab/>
        </w:r>
        <w:r>
          <w:fldChar w:fldCharType="begin"/>
        </w:r>
        <w:r>
          <w:instrText xml:space="preserve"> PAGEREF _Toc24017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879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功能复合材料</w:t>
        </w:r>
        <w:r>
          <w:rPr>
            <w:rFonts w:eastAsia="微软雅黑" w:hint="eastAsia"/>
            <w:snapToGrid/>
            <w:lang w:val="en-US" w:eastAsia="en-US"/>
          </w:rPr>
          <w:t>行业经济周期分析</w:t>
        </w:r>
        <w:r>
          <w:tab/>
        </w:r>
        <w:r>
          <w:fldChar w:fldCharType="begin"/>
        </w:r>
        <w:r>
          <w:instrText xml:space="preserve"> PAGEREF _Toc17879 \h </w:instrText>
        </w:r>
        <w:r>
          <w:fldChar w:fldCharType="separate"/>
        </w:r>
        <w:r>
          <w:t>34</w:t>
        </w:r>
        <w:r>
          <w:fldChar w:fldCharType="end"/>
        </w:r>
      </w:hyperlink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https://d.book118.com/828032032065006023</w:t>
        </w:r>
      </w:hyperlink>
    </w:p>
    <w:p>
      <w:pPr>
        <w:pStyle w:val="TOC2"/>
        <w:tabs>
          <w:tab w:val="right" w:leader="dot" w:pos="8958"/>
        </w:tabs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autoRedefine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2803203206500602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