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助剂项目可行性分析报告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176673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助剂项目可行性研究报告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二)、助剂项目总平面设计要求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五、助剂项目建设背景及必要性分析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240411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五)、助剂项目实施保障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4497281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助剂项目管理与团队协作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(一)、助剂项目管理方法论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)、助剂项目计划与进度管理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、助剂项目风险管理与应对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面介绍和规划一个创新性的助剂项目，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满足需求。该方案的目的是为了提供助剂项目的全面概览，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一、助剂项目可行性研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在助</w:t>
      </w:r>
      <w:r>
        <w:rPr>
          <w:rFonts w:ascii="FangSong" w:eastAsia="FangSong" w:hAnsi="FangSong" w:cs="FangSong"/>
          <w:spacing w:val="-15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上脱颖而出，成为消费者首选的助剂产品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2"/>
          <w:sz w:val="28"/>
          <w:szCs w:val="28"/>
        </w:rPr>
        <w:t>剂项目总投资</w:t>
      </w:r>
    </w:p>
    <w:p>
      <w:pPr>
        <w:spacing w:before="287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建设规模旨在实现一个全面、可持续的助剂项目。助剂项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剂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6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一部分资金将用于技术研发，以确保助剂项目引领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助剂项目规模与产能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我们计划在助剂项目建设后的第一年实现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助</w:t>
      </w:r>
      <w:r>
        <w:rPr>
          <w:rFonts w:ascii="FangSong" w:eastAsia="FangSong" w:hAnsi="FangSong" w:cs="FangSong"/>
          <w:spacing w:val="-16"/>
          <w:sz w:val="28"/>
          <w:szCs w:val="28"/>
        </w:rPr>
        <w:t>剂项目规模：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助剂项目将建设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、仓储设施等。这将确保助剂项目能够满足预期的产能需求，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废气处理等，以确保助剂项目的环保性。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助剂项目总投资与用地规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该助剂项目总征地面积为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亩)，其中：净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亩)。助剂项目规划的总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助剂项目</w:t>
      </w:r>
      <w:r>
        <w:rPr>
          <w:rFonts w:ascii="FangSong" w:eastAsia="FangSong" w:hAnsi="FangSong" w:cs="FangSong"/>
          <w:spacing w:val="-6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设备将在助剂项目运营中发挥关键作用，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助剂项目计划总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将为助剂项目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在助</w:t>
      </w:r>
      <w:r>
        <w:rPr>
          <w:rFonts w:ascii="FangSong" w:eastAsia="FangSong" w:hAnsi="FangSong" w:cs="FangSong"/>
          <w:spacing w:val="-15"/>
          <w:sz w:val="28"/>
          <w:szCs w:val="28"/>
        </w:rPr>
        <w:t>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以确保助剂项目的可持续发展和建筑结构的安全性：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(二)、助剂项目总平面设计要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助剂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适应助剂项目的实际使用需要。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9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结合助剂项目的实际需求和环境条件，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筑工程的设计总体要求是确保助剂项目实现预期功能、安全稳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建筑的功能布局满足助剂项目需求，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够达到高标准，满足助剂项目的长期发展需求。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75" w:firstLine="5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助剂项目规划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助剂项目总投资比例：</w:t>
      </w:r>
    </w:p>
    <w:p>
      <w:pPr>
        <w:spacing w:before="1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剂项目总投资的比例为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助剂项目运营的需求，同时避免了过度浪费。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助剂项目整体布局：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使助剂项目更好地适应当地的自然和人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23" w:bottom="2312" w:left="1785" w:header="0" w:footer="1977" w:gutter="0"/>
          <w:pgNumType w:start="21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623" w:bottom="2312" w:left="1785" w:header="0" w:footer="1977" w:gutter="0"/>
          <w:pgNumType w:start="22"/>
          <w:cols w:space="708"/>
          <w:titlePg w:val="0"/>
        </w:sectPr>
      </w:pPr>
    </w:p>
    <w:p>
      <w:pPr>
        <w:spacing w:before="185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助剂行业作为一个充满</w:t>
      </w:r>
      <w:r>
        <w:rPr>
          <w:rFonts w:ascii="FangSong" w:eastAsia="FangSong" w:hAnsi="FangSong" w:cs="FangSong"/>
          <w:spacing w:val="-2"/>
          <w:sz w:val="28"/>
          <w:szCs w:val="28"/>
        </w:rPr>
        <w:t>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助剂行业在技术上取得了显著的突破。高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ectPr>
          <w:footerReference w:type="default" r:id="rId6"/>
          <w:pgSz w:w="11906" w:h="16839"/>
          <w:pgMar w:top="1431" w:right="1763" w:bottom="40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*助剂行业**是一片充满活力的领域，囊括了广泛的产品和服务。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1" w:right="16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助剂</w:t>
      </w:r>
      <w:r>
        <w:rPr>
          <w:rFonts w:ascii="FangSong" w:eastAsia="FangSong" w:hAnsi="FangSong" w:cs="FangSong"/>
          <w:spacing w:val="-12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6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12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助剂行业在技术上取得了显著的突破。高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7"/>
          <w:pgSz w:w="11906" w:h="16839"/>
          <w:pgMar w:top="1431" w:right="1638" w:bottom="400" w:left="1785" w:header="0" w:footer="0" w:gutter="0"/>
          <w:pgNumType w:start="24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五、助剂项目建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2" w:line="414" w:lineRule="auto"/>
        <w:ind w:left="34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3" w:lineRule="auto"/>
        <w:rPr>
          <w:rFonts w:ascii="Arial"/>
          <w:sz w:val="21"/>
        </w:rPr>
        <w:sectPr>
          <w:footerReference w:type="default" r:id="rId11"/>
          <w:pgSz w:w="11906" w:h="16839"/>
          <w:pgMar w:top="1431" w:right="1763" w:bottom="400" w:left="1785" w:header="0" w:footer="0" w:gutter="0"/>
          <w:pgNumType w:start="28"/>
          <w:cols w:space="708"/>
        </w:sectPr>
      </w:pPr>
    </w:p>
    <w:p>
      <w:pPr>
        <w:spacing w:before="92" w:line="416" w:lineRule="auto"/>
        <w:ind w:lef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各项成本进行全面管理。这包括从供应链到生产流程的成本监控，</w:t>
      </w:r>
    </w:p>
    <w:p>
      <w:pPr>
        <w:sectPr>
          <w:footerReference w:type="default" r:id="rId12"/>
          <w:type w:val="nextPage"/>
          <w:pgSz w:w="11906" w:h="16839"/>
          <w:pgMar w:top="1431" w:right="1763" w:bottom="400" w:left="1785" w:header="0" w:footer="0" w:gutter="0"/>
          <w:pgNumType w:start="29"/>
          <w:cols w:space="708"/>
          <w:titlePg w:val="0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9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回报分析。通过对不同投资助剂项目的市场前景、回收期、现金流等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注</w:t>
      </w:r>
      <w:r>
        <w:rPr>
          <w:rFonts w:ascii="FangSong" w:eastAsia="FangSong" w:hAnsi="FangSong" w:cs="FangSong"/>
          <w:spacing w:val="-16"/>
          <w:sz w:val="28"/>
          <w:szCs w:val="28"/>
        </w:rPr>
        <w:t>重</w:t>
      </w:r>
      <w:r>
        <w:rPr>
          <w:rFonts w:ascii="FangSong" w:eastAsia="FangSong" w:hAnsi="FangSong" w:cs="FangSong"/>
          <w:spacing w:val="-12"/>
          <w:sz w:val="28"/>
          <w:szCs w:val="28"/>
        </w:rPr>
        <w:t>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平衡。</w:t>
      </w:r>
    </w:p>
    <w:p>
      <w:pPr>
        <w:spacing w:before="4" w:line="414" w:lineRule="auto"/>
        <w:ind w:left="40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注</w:t>
      </w:r>
      <w:r>
        <w:rPr>
          <w:rFonts w:ascii="FangSong" w:eastAsia="FangSong" w:hAnsi="FangSong" w:cs="FangSong"/>
          <w:spacing w:val="-4"/>
          <w:sz w:val="28"/>
          <w:szCs w:val="28"/>
        </w:rPr>
        <w:t>市场风险、信用风险、汇率风险等方面的潜在风险。通过建立风险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</w:p>
    <w:p>
      <w:pPr>
        <w:sectPr>
          <w:footerReference w:type="default" r:id="rId13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1" w:right="14" w:hanging="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高度</w:t>
      </w:r>
      <w:r>
        <w:rPr>
          <w:rFonts w:ascii="FangSong" w:eastAsia="FangSong" w:hAnsi="FangSong" w:cs="FangSong"/>
          <w:spacing w:val="-5"/>
          <w:sz w:val="28"/>
          <w:szCs w:val="28"/>
        </w:rPr>
        <w:t>敏</w:t>
      </w:r>
      <w:r>
        <w:rPr>
          <w:rFonts w:ascii="FangSong" w:eastAsia="FangSong" w:hAnsi="FangSong" w:cs="FangSong"/>
          <w:spacing w:val="-3"/>
          <w:sz w:val="28"/>
          <w:szCs w:val="28"/>
        </w:rPr>
        <w:t>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助剂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助剂项目团队将定期审核国家和地方的劳动安全法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应对助剂项目所在行业的特殊性，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助剂项目将参考并采用相关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6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助剂项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通过进</w:t>
      </w:r>
      <w:r>
        <w:rPr>
          <w:rFonts w:ascii="FangSong" w:eastAsia="FangSong" w:hAnsi="FangSong" w:cs="FangSong"/>
          <w:spacing w:val="-3"/>
          <w:sz w:val="28"/>
          <w:szCs w:val="28"/>
        </w:rPr>
        <w:t>行全员劳动安全培训，助剂项目将覆盖以下方面：</w:t>
      </w:r>
    </w:p>
    <w:p>
      <w:pPr>
        <w:spacing w:before="291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ectPr>
          <w:footerReference w:type="default" r:id="rId15"/>
          <w:pgSz w:w="11906" w:h="16839"/>
          <w:pgMar w:top="1431" w:right="1718" w:bottom="40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助剂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身</w:t>
      </w:r>
      <w:r>
        <w:rPr>
          <w:rFonts w:ascii="FangSong" w:eastAsia="FangSong" w:hAnsi="FangSong" w:cs="FangSong"/>
          <w:spacing w:val="-15"/>
          <w:sz w:val="28"/>
          <w:szCs w:val="28"/>
        </w:rPr>
        <w:t>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为降</w:t>
      </w:r>
      <w:r>
        <w:rPr>
          <w:rFonts w:ascii="FangSong" w:eastAsia="FangSong" w:hAnsi="FangSong" w:cs="FangSong"/>
          <w:spacing w:val="-4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设备故障引发的安全风险，助剂项目将采取以下措施：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738" w:right="1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过合理规划工作场所，助剂项目将确保工作环境符合安全标准：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https://d.book118.com/828050001131006045</w:t>
        </w:r>
      </w:hyperlink>
    </w:p>
    <w:p/>
    <w:sectPr>
      <w:footerReference w:type="default" r:id="rId17"/>
      <w:pgSz w:w="11906" w:h="16839"/>
      <w:pgMar w:top="1431" w:right="1697" w:bottom="40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hyperlink" Target="https://d.book118.com/828050001131006045" TargetMode="External" /><Relationship Id="rId17" Type="http://schemas.openxmlformats.org/officeDocument/2006/relationships/footer" Target="footer13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2024-03-14T08:03:56Z</vt:filetime>
  </property>
  <property fmtid="{D5CDD505-2E9C-101B-9397-08002B2CF9AE}" pid="3" name="CRO">
    <vt:lpwstr>wqlLaW5nc29mdCBQREYgdG8gV1BTIDgw</vt:lpwstr>
  </property>
</Properties>
</file>