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2024年柳州城市职业学院高职单招（英语／数学／语文）笔试历年真题摘选含答案解析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苏轼的《前赤壁赋》的感情变化线索是（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743258" cy="1438426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43258" cy="143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6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“多行不义必自毙”出自（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鲁迅指出：中国几千年封建社会“一治一乱”的历史是（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A.咱们向来就很好比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B.想做奴隶而不得的时代和暂时做稳了奴隶的时代的交替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C.汉族文化发达的时代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D.“古已有之”的时代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《选择与安排》一文提出完美的作品在结构上须具备的条件有（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A.要有头有尾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B.层次清楚、轻重分明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C.有贯穿的主旨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D.首尾呼应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唐代诗歌流传下来最多的诗人是（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D.刘禹锡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“遥岑远目，献愁供恨，玉簪螺髻”所用的修辞手法是（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A.象征、比喻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B.象征、拟人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C.双关、比喻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https://d.book118.com/828052027072006045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yperlink" Target="https://d.book118.com/828052027072006045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