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5"/>
          <w:footerReference w:type="default" r:id="rId6"/>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核辐射产品项目可行性研究分析报告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6" w:history="1">
        <w:r>
          <w:rPr>
            <w:rFonts w:ascii="仿宋" w:eastAsia="仿宋" w:hAnsi="仿宋" w:cs="仿宋" w:hint="eastAsia"/>
            <w:lang w:eastAsia="zh-CN"/>
          </w:rPr>
          <w:t>绪论</w:t>
        </w:r>
        <w:r>
          <w:tab/>
        </w:r>
        <w:r>
          <w:fldChar w:fldCharType="begin"/>
        </w:r>
        <w:r>
          <w:instrText xml:space="preserve"> PAGEREF _Toc2366 \h </w:instrText>
        </w:r>
        <w:r>
          <w:fldChar w:fldCharType="separate"/>
        </w:r>
        <w:r>
          <w:t>3</w:t>
        </w:r>
        <w:r>
          <w:fldChar w:fldCharType="end"/>
        </w:r>
      </w:hyperlink>
    </w:p>
    <w:p>
      <w:pPr>
        <w:pStyle w:val="TOC1"/>
        <w:tabs>
          <w:tab w:val="right" w:leader="dot" w:pos="8306"/>
        </w:tabs>
      </w:pPr>
      <w:hyperlink w:anchor="_Toc3621" w:history="1">
        <w:r>
          <w:rPr>
            <w:rFonts w:ascii="仿宋" w:eastAsia="仿宋" w:hAnsi="仿宋" w:cs="仿宋" w:hint="eastAsia"/>
            <w:lang w:eastAsia="zh-CN"/>
          </w:rPr>
          <w:t>一、融资方案和资金使用计划</w:t>
        </w:r>
        <w:r>
          <w:tab/>
        </w:r>
        <w:r>
          <w:fldChar w:fldCharType="begin"/>
        </w:r>
        <w:r>
          <w:instrText xml:space="preserve"> PAGEREF _Toc3621 \h </w:instrText>
        </w:r>
        <w:r>
          <w:fldChar w:fldCharType="separate"/>
        </w:r>
        <w:r>
          <w:t>3</w:t>
        </w:r>
        <w:r>
          <w:fldChar w:fldCharType="end"/>
        </w:r>
      </w:hyperlink>
    </w:p>
    <w:p>
      <w:pPr>
        <w:pStyle w:val="TOC2"/>
        <w:tabs>
          <w:tab w:val="right" w:leader="dot" w:pos="8306"/>
        </w:tabs>
      </w:pPr>
      <w:hyperlink w:anchor="_Toc11640" w:history="1">
        <w:r>
          <w:rPr>
            <w:rFonts w:ascii="仿宋" w:eastAsia="仿宋" w:hAnsi="仿宋" w:cs="仿宋" w:hint="eastAsia"/>
            <w:lang w:eastAsia="zh-CN"/>
          </w:rPr>
          <w:t>(一)、核辐射产品项目融资方式和资金来源选择</w:t>
        </w:r>
        <w:r>
          <w:tab/>
        </w:r>
        <w:r>
          <w:fldChar w:fldCharType="begin"/>
        </w:r>
        <w:r>
          <w:instrText xml:space="preserve"> PAGEREF _Toc11640 \h </w:instrText>
        </w:r>
        <w:r>
          <w:fldChar w:fldCharType="separate"/>
        </w:r>
        <w:r>
          <w:t>3</w:t>
        </w:r>
        <w:r>
          <w:fldChar w:fldCharType="end"/>
        </w:r>
      </w:hyperlink>
    </w:p>
    <w:p>
      <w:pPr>
        <w:pStyle w:val="TOC2"/>
        <w:tabs>
          <w:tab w:val="right" w:leader="dot" w:pos="8306"/>
        </w:tabs>
      </w:pPr>
      <w:hyperlink w:anchor="_Toc21915" w:history="1">
        <w:r>
          <w:rPr>
            <w:rFonts w:ascii="仿宋" w:eastAsia="仿宋" w:hAnsi="仿宋" w:cs="仿宋" w:hint="eastAsia"/>
            <w:lang w:eastAsia="zh-CN"/>
          </w:rPr>
          <w:t>(二)、资金使用计划和管理措施</w:t>
        </w:r>
        <w:r>
          <w:tab/>
        </w:r>
        <w:r>
          <w:fldChar w:fldCharType="begin"/>
        </w:r>
        <w:r>
          <w:instrText xml:space="preserve"> PAGEREF _Toc21915 \h </w:instrText>
        </w:r>
        <w:r>
          <w:fldChar w:fldCharType="separate"/>
        </w:r>
        <w:r>
          <w:t>4</w:t>
        </w:r>
        <w:r>
          <w:fldChar w:fldCharType="end"/>
        </w:r>
      </w:hyperlink>
    </w:p>
    <w:p>
      <w:pPr>
        <w:pStyle w:val="TOC2"/>
        <w:tabs>
          <w:tab w:val="right" w:leader="dot" w:pos="8306"/>
        </w:tabs>
      </w:pPr>
      <w:hyperlink w:anchor="_Toc23114" w:history="1">
        <w:r>
          <w:rPr>
            <w:rFonts w:ascii="仿宋" w:eastAsia="仿宋" w:hAnsi="仿宋" w:cs="仿宋" w:hint="eastAsia"/>
            <w:lang w:eastAsia="zh-CN"/>
          </w:rPr>
          <w:t>(三)、财务风险预警和应对方案</w:t>
        </w:r>
        <w:r>
          <w:tab/>
        </w:r>
        <w:r>
          <w:fldChar w:fldCharType="begin"/>
        </w:r>
        <w:r>
          <w:instrText xml:space="preserve"> PAGEREF _Toc23114 \h </w:instrText>
        </w:r>
        <w:r>
          <w:fldChar w:fldCharType="separate"/>
        </w:r>
        <w:r>
          <w:t>5</w:t>
        </w:r>
        <w:r>
          <w:fldChar w:fldCharType="end"/>
        </w:r>
      </w:hyperlink>
    </w:p>
    <w:p>
      <w:pPr>
        <w:pStyle w:val="TOC1"/>
        <w:tabs>
          <w:tab w:val="right" w:leader="dot" w:pos="8306"/>
        </w:tabs>
      </w:pPr>
      <w:hyperlink w:anchor="_Toc26275" w:history="1">
        <w:r>
          <w:rPr>
            <w:rFonts w:ascii="仿宋" w:eastAsia="仿宋" w:hAnsi="仿宋" w:cs="仿宋" w:hint="eastAsia"/>
            <w:lang w:eastAsia="zh-CN"/>
          </w:rPr>
          <w:t>二、核辐射产品项目主要建(构)筑物建设工程</w:t>
        </w:r>
        <w:r>
          <w:tab/>
        </w:r>
        <w:r>
          <w:fldChar w:fldCharType="begin"/>
        </w:r>
        <w:r>
          <w:instrText xml:space="preserve"> PAGEREF _Toc26275 \h </w:instrText>
        </w:r>
        <w:r>
          <w:fldChar w:fldCharType="separate"/>
        </w:r>
        <w:r>
          <w:t>6</w:t>
        </w:r>
        <w:r>
          <w:fldChar w:fldCharType="end"/>
        </w:r>
      </w:hyperlink>
    </w:p>
    <w:p>
      <w:pPr>
        <w:pStyle w:val="TOC2"/>
        <w:tabs>
          <w:tab w:val="right" w:leader="dot" w:pos="8306"/>
        </w:tabs>
      </w:pPr>
      <w:hyperlink w:anchor="_Toc32087" w:history="1">
        <w:r>
          <w:rPr>
            <w:rFonts w:ascii="仿宋" w:eastAsia="仿宋" w:hAnsi="仿宋" w:cs="仿宋" w:hint="eastAsia"/>
            <w:lang w:eastAsia="zh-CN"/>
          </w:rPr>
          <w:t>(一)、抗震设防</w:t>
        </w:r>
        <w:r>
          <w:tab/>
        </w:r>
        <w:r>
          <w:fldChar w:fldCharType="begin"/>
        </w:r>
        <w:r>
          <w:instrText xml:space="preserve"> PAGEREF _Toc32087 \h </w:instrText>
        </w:r>
        <w:r>
          <w:fldChar w:fldCharType="separate"/>
        </w:r>
        <w:r>
          <w:t>6</w:t>
        </w:r>
        <w:r>
          <w:fldChar w:fldCharType="end"/>
        </w:r>
      </w:hyperlink>
    </w:p>
    <w:p>
      <w:pPr>
        <w:pStyle w:val="TOC2"/>
        <w:tabs>
          <w:tab w:val="right" w:leader="dot" w:pos="8306"/>
        </w:tabs>
      </w:pPr>
      <w:hyperlink w:anchor="_Toc9522" w:history="1">
        <w:r>
          <w:rPr>
            <w:rFonts w:ascii="仿宋" w:eastAsia="仿宋" w:hAnsi="仿宋" w:cs="仿宋" w:hint="eastAsia"/>
            <w:lang w:eastAsia="zh-CN"/>
          </w:rPr>
          <w:t>(二)、建筑结构形势及基础方案</w:t>
        </w:r>
        <w:r>
          <w:tab/>
        </w:r>
        <w:r>
          <w:fldChar w:fldCharType="begin"/>
        </w:r>
        <w:r>
          <w:instrText xml:space="preserve"> PAGEREF _Toc9522 \h </w:instrText>
        </w:r>
        <w:r>
          <w:fldChar w:fldCharType="separate"/>
        </w:r>
        <w:r>
          <w:t>6</w:t>
        </w:r>
        <w:r>
          <w:fldChar w:fldCharType="end"/>
        </w:r>
      </w:hyperlink>
    </w:p>
    <w:p>
      <w:pPr>
        <w:pStyle w:val="TOC2"/>
        <w:tabs>
          <w:tab w:val="right" w:leader="dot" w:pos="8306"/>
        </w:tabs>
      </w:pPr>
      <w:hyperlink w:anchor="_Toc19502" w:history="1">
        <w:r>
          <w:rPr>
            <w:rFonts w:ascii="仿宋" w:eastAsia="仿宋" w:hAnsi="仿宋" w:cs="仿宋" w:hint="eastAsia"/>
            <w:lang w:eastAsia="zh-CN"/>
          </w:rPr>
          <w:t>(三)、主要建(构)筑物建设工程</w:t>
        </w:r>
        <w:r>
          <w:tab/>
        </w:r>
        <w:r>
          <w:fldChar w:fldCharType="begin"/>
        </w:r>
        <w:r>
          <w:instrText xml:space="preserve"> PAGEREF _Toc19502 \h </w:instrText>
        </w:r>
        <w:r>
          <w:fldChar w:fldCharType="separate"/>
        </w:r>
        <w:r>
          <w:t>7</w:t>
        </w:r>
        <w:r>
          <w:fldChar w:fldCharType="end"/>
        </w:r>
      </w:hyperlink>
    </w:p>
    <w:p>
      <w:pPr>
        <w:pStyle w:val="TOC1"/>
        <w:tabs>
          <w:tab w:val="right" w:leader="dot" w:pos="8306"/>
        </w:tabs>
      </w:pPr>
      <w:hyperlink w:anchor="_Toc5184" w:history="1">
        <w:r>
          <w:rPr>
            <w:rFonts w:ascii="仿宋" w:eastAsia="仿宋" w:hAnsi="仿宋" w:cs="仿宋" w:hint="eastAsia"/>
            <w:lang w:eastAsia="zh-CN"/>
          </w:rPr>
          <w:t>三、品牌建设和管理</w:t>
        </w:r>
        <w:r>
          <w:tab/>
        </w:r>
        <w:r>
          <w:fldChar w:fldCharType="begin"/>
        </w:r>
        <w:r>
          <w:instrText xml:space="preserve"> PAGEREF _Toc5184 \h </w:instrText>
        </w:r>
        <w:r>
          <w:fldChar w:fldCharType="separate"/>
        </w:r>
        <w:r>
          <w:t>7</w:t>
        </w:r>
        <w:r>
          <w:fldChar w:fldCharType="end"/>
        </w:r>
      </w:hyperlink>
    </w:p>
    <w:p>
      <w:pPr>
        <w:pStyle w:val="TOC2"/>
        <w:tabs>
          <w:tab w:val="right" w:leader="dot" w:pos="8306"/>
        </w:tabs>
      </w:pPr>
      <w:hyperlink w:anchor="_Toc31468" w:history="1">
        <w:r>
          <w:rPr>
            <w:rFonts w:ascii="仿宋" w:eastAsia="仿宋" w:hAnsi="仿宋" w:cs="仿宋" w:hint="eastAsia"/>
            <w:lang w:eastAsia="zh-CN"/>
          </w:rPr>
          <w:t>(一)、核辐射产品项目品牌定位和形象设计</w:t>
        </w:r>
        <w:r>
          <w:tab/>
        </w:r>
        <w:r>
          <w:fldChar w:fldCharType="begin"/>
        </w:r>
        <w:r>
          <w:instrText xml:space="preserve"> PAGEREF _Toc31468 \h </w:instrText>
        </w:r>
        <w:r>
          <w:fldChar w:fldCharType="separate"/>
        </w:r>
        <w:r>
          <w:t>7</w:t>
        </w:r>
        <w:r>
          <w:fldChar w:fldCharType="end"/>
        </w:r>
      </w:hyperlink>
    </w:p>
    <w:p>
      <w:pPr>
        <w:pStyle w:val="TOC2"/>
        <w:tabs>
          <w:tab w:val="right" w:leader="dot" w:pos="8306"/>
        </w:tabs>
      </w:pPr>
      <w:hyperlink w:anchor="_Toc26738" w:history="1">
        <w:r>
          <w:rPr>
            <w:rFonts w:ascii="仿宋" w:eastAsia="仿宋" w:hAnsi="仿宋" w:cs="仿宋" w:hint="eastAsia"/>
            <w:lang w:eastAsia="zh-CN"/>
          </w:rPr>
          <w:t>(二)、品牌传播和推广策略</w:t>
        </w:r>
        <w:r>
          <w:tab/>
        </w:r>
        <w:r>
          <w:fldChar w:fldCharType="begin"/>
        </w:r>
        <w:r>
          <w:instrText xml:space="preserve"> PAGEREF _Toc26738 \h </w:instrText>
        </w:r>
        <w:r>
          <w:fldChar w:fldCharType="separate"/>
        </w:r>
        <w:r>
          <w:t>8</w:t>
        </w:r>
        <w:r>
          <w:fldChar w:fldCharType="end"/>
        </w:r>
      </w:hyperlink>
    </w:p>
    <w:p>
      <w:pPr>
        <w:pStyle w:val="TOC2"/>
        <w:tabs>
          <w:tab w:val="right" w:leader="dot" w:pos="8306"/>
        </w:tabs>
      </w:pPr>
      <w:hyperlink w:anchor="_Toc24753" w:history="1">
        <w:r>
          <w:rPr>
            <w:rFonts w:ascii="仿宋" w:eastAsia="仿宋" w:hAnsi="仿宋" w:cs="仿宋" w:hint="eastAsia"/>
            <w:lang w:eastAsia="zh-CN"/>
          </w:rPr>
          <w:t>(三)、品牌保护和危机管理</w:t>
        </w:r>
        <w:r>
          <w:tab/>
        </w:r>
        <w:r>
          <w:fldChar w:fldCharType="begin"/>
        </w:r>
        <w:r>
          <w:instrText xml:space="preserve"> PAGEREF _Toc24753 \h </w:instrText>
        </w:r>
        <w:r>
          <w:fldChar w:fldCharType="separate"/>
        </w:r>
        <w:r>
          <w:t>8</w:t>
        </w:r>
        <w:r>
          <w:fldChar w:fldCharType="end"/>
        </w:r>
      </w:hyperlink>
    </w:p>
    <w:p>
      <w:pPr>
        <w:pStyle w:val="TOC1"/>
        <w:tabs>
          <w:tab w:val="right" w:leader="dot" w:pos="8306"/>
        </w:tabs>
      </w:pPr>
      <w:hyperlink w:anchor="_Toc1331" w:history="1">
        <w:r>
          <w:rPr>
            <w:rFonts w:ascii="仿宋" w:eastAsia="仿宋" w:hAnsi="仿宋" w:cs="仿宋" w:hint="eastAsia"/>
            <w:lang w:eastAsia="zh-CN"/>
          </w:rPr>
          <w:t>四、文化内涵和艺术价值</w:t>
        </w:r>
        <w:r>
          <w:tab/>
        </w:r>
        <w:r>
          <w:fldChar w:fldCharType="begin"/>
        </w:r>
        <w:r>
          <w:instrText xml:space="preserve"> PAGEREF _Toc1331 \h </w:instrText>
        </w:r>
        <w:r>
          <w:fldChar w:fldCharType="separate"/>
        </w:r>
        <w:r>
          <w:t>9</w:t>
        </w:r>
        <w:r>
          <w:fldChar w:fldCharType="end"/>
        </w:r>
      </w:hyperlink>
    </w:p>
    <w:p>
      <w:pPr>
        <w:pStyle w:val="TOC2"/>
        <w:tabs>
          <w:tab w:val="right" w:leader="dot" w:pos="8306"/>
        </w:tabs>
      </w:pPr>
      <w:hyperlink w:anchor="_Toc16605" w:history="1">
        <w:r>
          <w:rPr>
            <w:rFonts w:ascii="仿宋" w:eastAsia="仿宋" w:hAnsi="仿宋" w:cs="仿宋" w:hint="eastAsia"/>
            <w:lang w:eastAsia="zh-CN"/>
          </w:rPr>
          <w:t>(一)、核辐射产品项目与文化内涵的结合方式</w:t>
        </w:r>
        <w:r>
          <w:tab/>
        </w:r>
        <w:r>
          <w:fldChar w:fldCharType="begin"/>
        </w:r>
        <w:r>
          <w:instrText xml:space="preserve"> PAGEREF _Toc16605 \h </w:instrText>
        </w:r>
        <w:r>
          <w:fldChar w:fldCharType="separate"/>
        </w:r>
        <w:r>
          <w:t>9</w:t>
        </w:r>
        <w:r>
          <w:fldChar w:fldCharType="end"/>
        </w:r>
      </w:hyperlink>
    </w:p>
    <w:p>
      <w:pPr>
        <w:pStyle w:val="TOC2"/>
        <w:tabs>
          <w:tab w:val="right" w:leader="dot" w:pos="8306"/>
        </w:tabs>
      </w:pPr>
      <w:hyperlink w:anchor="_Toc24444" w:history="1">
        <w:r>
          <w:rPr>
            <w:rFonts w:ascii="仿宋" w:eastAsia="仿宋" w:hAnsi="仿宋" w:cs="仿宋" w:hint="eastAsia"/>
            <w:lang w:eastAsia="zh-CN"/>
          </w:rPr>
          <w:t>(二)、核辐射产品项目产品的艺术价值分析</w:t>
        </w:r>
        <w:r>
          <w:tab/>
        </w:r>
        <w:r>
          <w:fldChar w:fldCharType="begin"/>
        </w:r>
        <w:r>
          <w:instrText xml:space="preserve"> PAGEREF _Toc24444 \h </w:instrText>
        </w:r>
        <w:r>
          <w:fldChar w:fldCharType="separate"/>
        </w:r>
        <w:r>
          <w:t>9</w:t>
        </w:r>
        <w:r>
          <w:fldChar w:fldCharType="end"/>
        </w:r>
      </w:hyperlink>
    </w:p>
    <w:p>
      <w:pPr>
        <w:pStyle w:val="TOC2"/>
        <w:tabs>
          <w:tab w:val="right" w:leader="dot" w:pos="8306"/>
        </w:tabs>
      </w:pPr>
      <w:hyperlink w:anchor="_Toc26430" w:history="1">
        <w:r>
          <w:rPr>
            <w:rFonts w:ascii="仿宋" w:eastAsia="仿宋" w:hAnsi="仿宋" w:cs="仿宋" w:hint="eastAsia"/>
            <w:lang w:eastAsia="zh-CN"/>
          </w:rPr>
          <w:t>(三)、文化传承和艺术创新的策略探讨</w:t>
        </w:r>
        <w:r>
          <w:tab/>
        </w:r>
        <w:r>
          <w:fldChar w:fldCharType="begin"/>
        </w:r>
        <w:r>
          <w:instrText xml:space="preserve"> PAGEREF _Toc26430 \h </w:instrText>
        </w:r>
        <w:r>
          <w:fldChar w:fldCharType="separate"/>
        </w:r>
        <w:r>
          <w:t>10</w:t>
        </w:r>
        <w:r>
          <w:fldChar w:fldCharType="end"/>
        </w:r>
      </w:hyperlink>
    </w:p>
    <w:p>
      <w:pPr>
        <w:pStyle w:val="TOC1"/>
        <w:tabs>
          <w:tab w:val="right" w:leader="dot" w:pos="8306"/>
        </w:tabs>
      </w:pPr>
      <w:hyperlink w:anchor="_Toc23501" w:history="1">
        <w:r>
          <w:rPr>
            <w:rFonts w:ascii="仿宋" w:eastAsia="仿宋" w:hAnsi="仿宋" w:cs="仿宋" w:hint="eastAsia"/>
            <w:lang w:eastAsia="zh-CN"/>
          </w:rPr>
          <w:t>五、核辐射产品行业未来技术发展趋势</w:t>
        </w:r>
        <w:r>
          <w:tab/>
        </w:r>
        <w:r>
          <w:fldChar w:fldCharType="begin"/>
        </w:r>
        <w:r>
          <w:instrText xml:space="preserve"> PAGEREF _Toc23501 \h </w:instrText>
        </w:r>
        <w:r>
          <w:fldChar w:fldCharType="separate"/>
        </w:r>
        <w:r>
          <w:t>11</w:t>
        </w:r>
        <w:r>
          <w:fldChar w:fldCharType="end"/>
        </w:r>
      </w:hyperlink>
    </w:p>
    <w:p>
      <w:pPr>
        <w:pStyle w:val="TOC1"/>
        <w:tabs>
          <w:tab w:val="right" w:leader="dot" w:pos="8306"/>
        </w:tabs>
      </w:pPr>
      <w:hyperlink w:anchor="_Toc30347" w:history="1">
        <w:r>
          <w:rPr>
            <w:rFonts w:ascii="仿宋" w:eastAsia="仿宋" w:hAnsi="仿宋" w:cs="仿宋" w:hint="eastAsia"/>
            <w:lang w:eastAsia="zh-CN"/>
          </w:rPr>
          <w:t>六、消防安全</w:t>
        </w:r>
        <w:r>
          <w:tab/>
        </w:r>
        <w:r>
          <w:fldChar w:fldCharType="begin"/>
        </w:r>
        <w:r>
          <w:instrText xml:space="preserve"> PAGEREF _Toc30347 \h </w:instrText>
        </w:r>
        <w:r>
          <w:fldChar w:fldCharType="separate"/>
        </w:r>
        <w:r>
          <w:t>11</w:t>
        </w:r>
        <w:r>
          <w:fldChar w:fldCharType="end"/>
        </w:r>
      </w:hyperlink>
    </w:p>
    <w:p>
      <w:pPr>
        <w:pStyle w:val="TOC2"/>
        <w:tabs>
          <w:tab w:val="right" w:leader="dot" w:pos="8306"/>
        </w:tabs>
      </w:pPr>
      <w:hyperlink w:anchor="_Toc10554" w:history="1">
        <w:r>
          <w:rPr>
            <w:rFonts w:ascii="仿宋" w:eastAsia="仿宋" w:hAnsi="仿宋" w:cs="仿宋" w:hint="eastAsia"/>
            <w:lang w:eastAsia="zh-CN"/>
          </w:rPr>
          <w:t>(一)、核辐射产品项目消防设计依据及原则</w:t>
        </w:r>
        <w:r>
          <w:tab/>
        </w:r>
        <w:r>
          <w:fldChar w:fldCharType="begin"/>
        </w:r>
        <w:r>
          <w:instrText xml:space="preserve"> PAGEREF _Toc10554 \h </w:instrText>
        </w:r>
        <w:r>
          <w:fldChar w:fldCharType="separate"/>
        </w:r>
        <w:r>
          <w:t>11</w:t>
        </w:r>
        <w:r>
          <w:fldChar w:fldCharType="end"/>
        </w:r>
      </w:hyperlink>
    </w:p>
    <w:p>
      <w:pPr>
        <w:pStyle w:val="TOC2"/>
        <w:tabs>
          <w:tab w:val="right" w:leader="dot" w:pos="8306"/>
        </w:tabs>
      </w:pPr>
      <w:hyperlink w:anchor="_Toc999" w:history="1">
        <w:r>
          <w:rPr>
            <w:rFonts w:ascii="仿宋" w:eastAsia="仿宋" w:hAnsi="仿宋" w:cs="仿宋" w:hint="eastAsia"/>
            <w:lang w:eastAsia="zh-CN"/>
          </w:rPr>
          <w:t>(二)、核辐射产品项目火灾危险性分析</w:t>
        </w:r>
        <w:r>
          <w:tab/>
        </w:r>
        <w:r>
          <w:fldChar w:fldCharType="begin"/>
        </w:r>
        <w:r>
          <w:instrText xml:space="preserve"> PAGEREF _Toc999 \h </w:instrText>
        </w:r>
        <w:r>
          <w:fldChar w:fldCharType="separate"/>
        </w:r>
        <w:r>
          <w:t>12</w:t>
        </w:r>
        <w:r>
          <w:fldChar w:fldCharType="end"/>
        </w:r>
      </w:hyperlink>
    </w:p>
    <w:p>
      <w:pPr>
        <w:pStyle w:val="TOC1"/>
        <w:tabs>
          <w:tab w:val="right" w:leader="dot" w:pos="8306"/>
        </w:tabs>
      </w:pPr>
      <w:hyperlink w:anchor="_Toc26984" w:history="1">
        <w:r>
          <w:rPr>
            <w:rFonts w:ascii="仿宋" w:eastAsia="仿宋" w:hAnsi="仿宋" w:cs="仿宋" w:hint="eastAsia"/>
            <w:lang w:eastAsia="zh-CN"/>
          </w:rPr>
          <w:t>七、工程设计方案</w:t>
        </w:r>
        <w:r>
          <w:tab/>
        </w:r>
        <w:r>
          <w:fldChar w:fldCharType="begin"/>
        </w:r>
        <w:r>
          <w:instrText xml:space="preserve"> PAGEREF _Toc26984 \h </w:instrText>
        </w:r>
        <w:r>
          <w:fldChar w:fldCharType="separate"/>
        </w:r>
        <w:r>
          <w:t>14</w:t>
        </w:r>
        <w:r>
          <w:fldChar w:fldCharType="end"/>
        </w:r>
      </w:hyperlink>
    </w:p>
    <w:p>
      <w:pPr>
        <w:pStyle w:val="TOC2"/>
        <w:tabs>
          <w:tab w:val="right" w:leader="dot" w:pos="8306"/>
        </w:tabs>
      </w:pPr>
      <w:hyperlink w:anchor="_Toc12091" w:history="1">
        <w:r>
          <w:rPr>
            <w:rFonts w:ascii="仿宋" w:eastAsia="仿宋" w:hAnsi="仿宋" w:cs="仿宋" w:hint="eastAsia"/>
            <w:lang w:eastAsia="zh-CN"/>
          </w:rPr>
          <w:t>(一)、总图布置</w:t>
        </w:r>
        <w:r>
          <w:tab/>
        </w:r>
        <w:r>
          <w:fldChar w:fldCharType="begin"/>
        </w:r>
        <w:r>
          <w:instrText xml:space="preserve"> PAGEREF _Toc12091 \h </w:instrText>
        </w:r>
        <w:r>
          <w:fldChar w:fldCharType="separate"/>
        </w:r>
        <w:r>
          <w:t>14</w:t>
        </w:r>
        <w:r>
          <w:fldChar w:fldCharType="end"/>
        </w:r>
      </w:hyperlink>
    </w:p>
    <w:p>
      <w:pPr>
        <w:pStyle w:val="TOC2"/>
        <w:tabs>
          <w:tab w:val="right" w:leader="dot" w:pos="8306"/>
        </w:tabs>
      </w:pPr>
      <w:hyperlink w:anchor="_Toc13810" w:history="1">
        <w:r>
          <w:rPr>
            <w:rFonts w:ascii="仿宋" w:eastAsia="仿宋" w:hAnsi="仿宋" w:cs="仿宋" w:hint="eastAsia"/>
            <w:lang w:eastAsia="zh-CN"/>
          </w:rPr>
          <w:t>(二)、建筑设计</w:t>
        </w:r>
        <w:r>
          <w:tab/>
        </w:r>
        <w:r>
          <w:fldChar w:fldCharType="begin"/>
        </w:r>
        <w:r>
          <w:instrText xml:space="preserve"> PAGEREF _Toc13810 \h </w:instrText>
        </w:r>
        <w:r>
          <w:fldChar w:fldCharType="separate"/>
        </w:r>
        <w:r>
          <w:t>15</w:t>
        </w:r>
        <w:r>
          <w:fldChar w:fldCharType="end"/>
        </w:r>
      </w:hyperlink>
    </w:p>
    <w:p>
      <w:pPr>
        <w:pStyle w:val="TOC2"/>
        <w:tabs>
          <w:tab w:val="right" w:leader="dot" w:pos="8306"/>
        </w:tabs>
      </w:pPr>
      <w:hyperlink w:anchor="_Toc10154" w:history="1">
        <w:r>
          <w:rPr>
            <w:rFonts w:ascii="仿宋" w:eastAsia="仿宋" w:hAnsi="仿宋" w:cs="仿宋" w:hint="eastAsia"/>
            <w:lang w:eastAsia="zh-CN"/>
          </w:rPr>
          <w:t>(三)、结构设计</w:t>
        </w:r>
        <w:r>
          <w:tab/>
        </w:r>
        <w:r>
          <w:fldChar w:fldCharType="begin"/>
        </w:r>
        <w:r>
          <w:instrText xml:space="preserve"> PAGEREF _Toc10154 \h </w:instrText>
        </w:r>
        <w:r>
          <w:fldChar w:fldCharType="separate"/>
        </w:r>
        <w:r>
          <w:t>17</w:t>
        </w:r>
        <w:r>
          <w:fldChar w:fldCharType="end"/>
        </w:r>
      </w:hyperlink>
    </w:p>
    <w:p>
      <w:pPr>
        <w:pStyle w:val="TOC2"/>
        <w:tabs>
          <w:tab w:val="right" w:leader="dot" w:pos="8306"/>
        </w:tabs>
      </w:pPr>
      <w:hyperlink w:anchor="_Toc21914" w:history="1">
        <w:r>
          <w:rPr>
            <w:rFonts w:ascii="仿宋" w:eastAsia="仿宋" w:hAnsi="仿宋" w:cs="仿宋" w:hint="eastAsia"/>
            <w:lang w:eastAsia="zh-CN"/>
          </w:rPr>
          <w:t>(四)、给排水设计</w:t>
        </w:r>
        <w:r>
          <w:tab/>
        </w:r>
        <w:r>
          <w:fldChar w:fldCharType="begin"/>
        </w:r>
        <w:r>
          <w:instrText xml:space="preserve"> PAGEREF _Toc21914 \h </w:instrText>
        </w:r>
        <w:r>
          <w:fldChar w:fldCharType="separate"/>
        </w:r>
        <w:r>
          <w:t>18</w:t>
        </w:r>
        <w:r>
          <w:fldChar w:fldCharType="end"/>
        </w:r>
      </w:hyperlink>
    </w:p>
    <w:p>
      <w:pPr>
        <w:pStyle w:val="TOC2"/>
        <w:tabs>
          <w:tab w:val="right" w:leader="dot" w:pos="8306"/>
        </w:tabs>
      </w:pPr>
      <w:hyperlink w:anchor="_Toc17524" w:history="1">
        <w:r>
          <w:rPr>
            <w:rFonts w:ascii="仿宋" w:eastAsia="仿宋" w:hAnsi="仿宋" w:cs="仿宋" w:hint="eastAsia"/>
            <w:lang w:eastAsia="zh-CN"/>
          </w:rPr>
          <w:t>(五)、电气设计</w:t>
        </w:r>
        <w:r>
          <w:tab/>
        </w:r>
        <w:r>
          <w:fldChar w:fldCharType="begin"/>
        </w:r>
        <w:r>
          <w:instrText xml:space="preserve"> PAGEREF _Toc17524 \h </w:instrText>
        </w:r>
        <w:r>
          <w:fldChar w:fldCharType="separate"/>
        </w:r>
        <w:r>
          <w:t>19</w:t>
        </w:r>
        <w:r>
          <w:fldChar w:fldCharType="end"/>
        </w:r>
      </w:hyperlink>
    </w:p>
    <w:p>
      <w:pPr>
        <w:pStyle w:val="TOC2"/>
        <w:tabs>
          <w:tab w:val="right" w:leader="dot" w:pos="8306"/>
        </w:tabs>
      </w:pPr>
      <w:hyperlink w:anchor="_Toc18459" w:history="1">
        <w:r>
          <w:rPr>
            <w:rFonts w:ascii="仿宋" w:eastAsia="仿宋" w:hAnsi="仿宋" w:cs="仿宋" w:hint="eastAsia"/>
            <w:lang w:eastAsia="zh-CN"/>
          </w:rPr>
          <w:t>(六)、空调通风设计</w:t>
        </w:r>
        <w:r>
          <w:tab/>
        </w:r>
        <w:r>
          <w:fldChar w:fldCharType="begin"/>
        </w:r>
        <w:r>
          <w:instrText xml:space="preserve"> PAGEREF _Toc18459 \h </w:instrText>
        </w:r>
        <w:r>
          <w:fldChar w:fldCharType="separate"/>
        </w:r>
        <w:r>
          <w:t>21</w:t>
        </w:r>
        <w:r>
          <w:fldChar w:fldCharType="end"/>
        </w:r>
      </w:hyperlink>
    </w:p>
    <w:p>
      <w:pPr>
        <w:pStyle w:val="TOC2"/>
        <w:tabs>
          <w:tab w:val="right" w:leader="dot" w:pos="8306"/>
        </w:tabs>
      </w:pPr>
      <w:hyperlink w:anchor="_Toc24051" w:history="1">
        <w:r>
          <w:rPr>
            <w:rFonts w:ascii="仿宋" w:eastAsia="仿宋" w:hAnsi="仿宋" w:cs="仿宋" w:hint="eastAsia"/>
            <w:lang w:eastAsia="zh-CN"/>
          </w:rPr>
          <w:t>(七)、其他专业设计</w:t>
        </w:r>
        <w:r>
          <w:tab/>
        </w:r>
        <w:r>
          <w:fldChar w:fldCharType="begin"/>
        </w:r>
        <w:r>
          <w:instrText xml:space="preserve"> PAGEREF _Toc24051 \h </w:instrText>
        </w:r>
        <w:r>
          <w:fldChar w:fldCharType="separate"/>
        </w:r>
        <w:r>
          <w:t>22</w:t>
        </w:r>
        <w:r>
          <w:fldChar w:fldCharType="end"/>
        </w:r>
      </w:hyperlink>
    </w:p>
    <w:p>
      <w:pPr>
        <w:pStyle w:val="TOC1"/>
        <w:tabs>
          <w:tab w:val="right" w:leader="dot" w:pos="8306"/>
        </w:tabs>
      </w:pPr>
      <w:hyperlink w:anchor="_Toc17838" w:history="1">
        <w:r>
          <w:rPr>
            <w:rFonts w:ascii="仿宋" w:eastAsia="仿宋" w:hAnsi="仿宋" w:cs="仿宋" w:hint="eastAsia"/>
            <w:lang w:eastAsia="zh-CN"/>
          </w:rPr>
          <w:t>八、跨行业合作与创新</w:t>
        </w:r>
        <w:r>
          <w:tab/>
        </w:r>
        <w:r>
          <w:fldChar w:fldCharType="begin"/>
        </w:r>
        <w:r>
          <w:instrText xml:space="preserve"> PAGEREF _Toc17838 \h </w:instrText>
        </w:r>
        <w:r>
          <w:fldChar w:fldCharType="separate"/>
        </w:r>
        <w:r>
          <w:t>24</w:t>
        </w:r>
        <w:r>
          <w:fldChar w:fldCharType="end"/>
        </w:r>
      </w:hyperlink>
    </w:p>
    <w:p>
      <w:pPr>
        <w:pStyle w:val="TOC2"/>
        <w:tabs>
          <w:tab w:val="right" w:leader="dot" w:pos="8306"/>
        </w:tabs>
      </w:pPr>
      <w:hyperlink w:anchor="_Toc12199" w:history="1">
        <w:r>
          <w:rPr>
            <w:rFonts w:ascii="仿宋" w:eastAsia="仿宋" w:hAnsi="仿宋" w:cs="仿宋" w:hint="eastAsia"/>
            <w:lang w:eastAsia="zh-CN"/>
          </w:rPr>
          <w:t>(一)、与其他行业合作的潜力</w:t>
        </w:r>
        <w:r>
          <w:tab/>
        </w:r>
        <w:r>
          <w:fldChar w:fldCharType="begin"/>
        </w:r>
        <w:r>
          <w:instrText xml:space="preserve"> PAGEREF _Toc12199 \h </w:instrText>
        </w:r>
        <w:r>
          <w:fldChar w:fldCharType="separate"/>
        </w:r>
        <w:r>
          <w:t>24</w:t>
        </w:r>
        <w:r>
          <w:fldChar w:fldCharType="end"/>
        </w:r>
      </w:hyperlink>
    </w:p>
    <w:p>
      <w:pPr>
        <w:pStyle w:val="TOC2"/>
        <w:tabs>
          <w:tab w:val="right" w:leader="dot" w:pos="8306"/>
        </w:tabs>
      </w:pPr>
      <w:hyperlink w:anchor="_Toc30576" w:history="1">
        <w:r>
          <w:rPr>
            <w:rFonts w:ascii="仿宋" w:eastAsia="仿宋" w:hAnsi="仿宋" w:cs="仿宋" w:hint="eastAsia"/>
            <w:lang w:eastAsia="zh-CN"/>
          </w:rPr>
          <w:t>(二)、交叉行业创新和合作策略</w:t>
        </w:r>
        <w:r>
          <w:tab/>
        </w:r>
        <w:r>
          <w:fldChar w:fldCharType="begin"/>
        </w:r>
        <w:r>
          <w:instrText xml:space="preserve"> PAGEREF _Toc30576 \h </w:instrText>
        </w:r>
        <w:r>
          <w:fldChar w:fldCharType="separate"/>
        </w:r>
        <w:r>
          <w:t>25</w:t>
        </w:r>
        <w:r>
          <w:fldChar w:fldCharType="end"/>
        </w:r>
      </w:hyperlink>
    </w:p>
    <w:p>
      <w:pPr>
        <w:pStyle w:val="TOC2"/>
        <w:tabs>
          <w:tab w:val="right" w:leader="dot" w:pos="8306"/>
        </w:tabs>
      </w:pPr>
      <w:hyperlink w:anchor="_Toc4963" w:history="1">
        <w:r>
          <w:rPr>
            <w:rFonts w:ascii="仿宋" w:eastAsia="仿宋" w:hAnsi="仿宋" w:cs="仿宋" w:hint="eastAsia"/>
            <w:lang w:eastAsia="zh-CN"/>
          </w:rPr>
          <w:t>(三)、产业生态系统的参与和合作机会</w:t>
        </w:r>
        <w:r>
          <w:tab/>
        </w:r>
        <w:r>
          <w:fldChar w:fldCharType="begin"/>
        </w:r>
        <w:r>
          <w:instrText xml:space="preserve"> PAGEREF _Toc4963 \h </w:instrText>
        </w:r>
        <w:r>
          <w:fldChar w:fldCharType="separate"/>
        </w:r>
        <w:r>
          <w:t>26</w:t>
        </w:r>
        <w:r>
          <w:fldChar w:fldCharType="end"/>
        </w:r>
      </w:hyperlink>
    </w:p>
    <w:p>
      <w:pPr>
        <w:pStyle w:val="TOC1"/>
        <w:tabs>
          <w:tab w:val="right" w:leader="dot" w:pos="8306"/>
        </w:tabs>
      </w:pPr>
      <w:hyperlink w:anchor="_Toc6228" w:history="1">
        <w:r>
          <w:rPr>
            <w:rFonts w:ascii="仿宋" w:eastAsia="仿宋" w:hAnsi="仿宋" w:cs="仿宋" w:hint="eastAsia"/>
            <w:lang w:eastAsia="zh-CN"/>
          </w:rPr>
          <w:t>九、技术创新和研发成果转化</w:t>
        </w:r>
        <w:r>
          <w:tab/>
        </w:r>
        <w:r>
          <w:fldChar w:fldCharType="begin"/>
        </w:r>
        <w:r>
          <w:instrText xml:space="preserve"> PAGEREF _Toc6228 \h </w:instrText>
        </w:r>
        <w:r>
          <w:fldChar w:fldCharType="separate"/>
        </w:r>
        <w:r>
          <w:t>28</w:t>
        </w:r>
        <w:r>
          <w:fldChar w:fldCharType="end"/>
        </w:r>
      </w:hyperlink>
    </w:p>
    <w:p>
      <w:pPr>
        <w:pStyle w:val="TOC2"/>
        <w:tabs>
          <w:tab w:val="right" w:leader="dot" w:pos="8306"/>
        </w:tabs>
      </w:pPr>
      <w:hyperlink w:anchor="_Toc10006" w:history="1">
        <w:r>
          <w:rPr>
            <w:rFonts w:ascii="仿宋" w:eastAsia="仿宋" w:hAnsi="仿宋" w:cs="仿宋" w:hint="eastAsia"/>
            <w:lang w:eastAsia="zh-CN"/>
          </w:rPr>
          <w:t>(一)、技术创新的目标和途径</w:t>
        </w:r>
        <w:r>
          <w:tab/>
        </w:r>
        <w:r>
          <w:fldChar w:fldCharType="begin"/>
        </w:r>
        <w:r>
          <w:instrText xml:space="preserve"> PAGEREF _Toc10006 \h </w:instrText>
        </w:r>
        <w:r>
          <w:fldChar w:fldCharType="separate"/>
        </w:r>
        <w:r>
          <w:t>28</w:t>
        </w:r>
        <w:r>
          <w:fldChar w:fldCharType="end"/>
        </w:r>
      </w:hyperlink>
    </w:p>
    <w:p>
      <w:pPr>
        <w:pStyle w:val="TOC2"/>
        <w:tabs>
          <w:tab w:val="right" w:leader="dot" w:pos="8306"/>
        </w:tabs>
      </w:pPr>
      <w:hyperlink w:anchor="_Toc27204" w:history="1">
        <w:r>
          <w:rPr>
            <w:rFonts w:ascii="仿宋" w:eastAsia="仿宋" w:hAnsi="仿宋" w:cs="仿宋" w:hint="eastAsia"/>
            <w:lang w:eastAsia="zh-CN"/>
          </w:rPr>
          <w:t>(二)、研发成果转化的流程和机制</w:t>
        </w:r>
        <w:r>
          <w:tab/>
        </w:r>
        <w:r>
          <w:fldChar w:fldCharType="begin"/>
        </w:r>
        <w:r>
          <w:instrText xml:space="preserve"> PAGEREF _Toc27204 \h </w:instrText>
        </w:r>
        <w:r>
          <w:fldChar w:fldCharType="separate"/>
        </w:r>
        <w:r>
          <w:t>29</w:t>
        </w:r>
        <w:r>
          <w:fldChar w:fldCharType="end"/>
        </w:r>
      </w:hyperlink>
    </w:p>
    <w:p>
      <w:pPr>
        <w:pStyle w:val="TOC2"/>
        <w:tabs>
          <w:tab w:val="right" w:leader="dot" w:pos="8306"/>
        </w:tabs>
      </w:pPr>
      <w:hyperlink w:anchor="_Toc14800" w:history="1">
        <w:r>
          <w:rPr>
            <w:rFonts w:ascii="仿宋" w:eastAsia="仿宋" w:hAnsi="仿宋" w:cs="仿宋" w:hint="eastAsia"/>
            <w:lang w:eastAsia="zh-CN"/>
          </w:rPr>
          <w:t>(三)、技术创新和研发成果转化的风险控制</w:t>
        </w:r>
        <w:r>
          <w:tab/>
        </w:r>
        <w:r>
          <w:fldChar w:fldCharType="begin"/>
        </w:r>
        <w:r>
          <w:instrText xml:space="preserve"> PAGEREF _Toc14800 \h </w:instrText>
        </w:r>
        <w:r>
          <w:fldChar w:fldCharType="separate"/>
        </w:r>
        <w:r>
          <w:t>30</w:t>
        </w:r>
        <w:r>
          <w:fldChar w:fldCharType="end"/>
        </w:r>
      </w:hyperlink>
    </w:p>
    <w:p>
      <w:pPr>
        <w:pStyle w:val="TOC1"/>
        <w:tabs>
          <w:tab w:val="right" w:leader="dot" w:pos="8306"/>
        </w:tabs>
      </w:pPr>
      <w:hyperlink w:anchor="_Toc2455" w:history="1">
        <w:r>
          <w:rPr>
            <w:rFonts w:ascii="仿宋" w:eastAsia="仿宋" w:hAnsi="仿宋" w:cs="仿宋" w:hint="eastAsia"/>
            <w:lang w:eastAsia="zh-CN"/>
          </w:rPr>
          <w:t>十、客户服务和消费者权益保护</w:t>
        </w:r>
        <w:r>
          <w:tab/>
        </w:r>
        <w:r>
          <w:fldChar w:fldCharType="begin"/>
        </w:r>
        <w:r>
          <w:instrText xml:space="preserve"> PAGEREF _Toc2455 \h </w:instrText>
        </w:r>
        <w:r>
          <w:fldChar w:fldCharType="separate"/>
        </w:r>
        <w:r>
          <w:t>32</w:t>
        </w:r>
        <w:r>
          <w:fldChar w:fldCharType="end"/>
        </w:r>
      </w:hyperlink>
    </w:p>
    <w:p>
      <w:pPr>
        <w:pStyle w:val="TOC2"/>
        <w:tabs>
          <w:tab w:val="right" w:leader="dot" w:pos="8306"/>
        </w:tabs>
      </w:pPr>
      <w:hyperlink w:anchor="_Toc494" w:history="1">
        <w:r>
          <w:rPr>
            <w:rFonts w:ascii="仿宋" w:eastAsia="仿宋" w:hAnsi="仿宋" w:cs="仿宋" w:hint="eastAsia"/>
            <w:lang w:eastAsia="zh-CN"/>
          </w:rPr>
          <w:t>(一)、客户服务的标准和流程</w:t>
        </w:r>
        <w:r>
          <w:tab/>
        </w:r>
        <w:r>
          <w:fldChar w:fldCharType="begin"/>
        </w:r>
        <w:r>
          <w:instrText xml:space="preserve"> PAGEREF _Toc494 \h </w:instrText>
        </w:r>
        <w:r>
          <w:fldChar w:fldCharType="separate"/>
        </w:r>
        <w:r>
          <w:t>32</w:t>
        </w:r>
        <w:r>
          <w:fldChar w:fldCharType="end"/>
        </w:r>
      </w:hyperlink>
    </w:p>
    <w:p>
      <w:pPr>
        <w:pStyle w:val="TOC2"/>
        <w:tabs>
          <w:tab w:val="right" w:leader="dot" w:pos="8306"/>
        </w:tabs>
      </w:pPr>
      <w:hyperlink w:anchor="_Toc14613" w:history="1">
        <w:r>
          <w:rPr>
            <w:rFonts w:ascii="仿宋" w:eastAsia="仿宋" w:hAnsi="仿宋" w:cs="仿宋" w:hint="eastAsia"/>
            <w:lang w:eastAsia="zh-CN"/>
          </w:rPr>
          <w:t>(二)、消费者权益保护的措施和办法</w:t>
        </w:r>
        <w:r>
          <w:tab/>
        </w:r>
        <w:r>
          <w:fldChar w:fldCharType="begin"/>
        </w:r>
        <w:r>
          <w:instrText xml:space="preserve"> PAGEREF _Toc14613 \h </w:instrText>
        </w:r>
        <w:r>
          <w:fldChar w:fldCharType="separate"/>
        </w:r>
        <w:r>
          <w:t>34</w:t>
        </w:r>
        <w:r>
          <w:fldChar w:fldCharType="end"/>
        </w:r>
      </w:hyperlink>
    </w:p>
    <w:p>
      <w:pPr>
        <w:pStyle w:val="TOC2"/>
        <w:tabs>
          <w:tab w:val="right" w:leader="dot" w:pos="8306"/>
        </w:tabs>
      </w:pPr>
      <w:hyperlink w:anchor="_Toc28045" w:history="1">
        <w:r>
          <w:rPr>
            <w:rFonts w:ascii="仿宋" w:eastAsia="仿宋" w:hAnsi="仿宋" w:cs="仿宋" w:hint="eastAsia"/>
            <w:lang w:eastAsia="zh-CN"/>
          </w:rPr>
          <w:t>(三)、客户反馈和投诉处理的机制建设</w:t>
        </w:r>
        <w:r>
          <w:tab/>
        </w:r>
        <w:r>
          <w:fldChar w:fldCharType="begin"/>
        </w:r>
        <w:r>
          <w:instrText xml:space="preserve"> PAGEREF _Toc28045 \h </w:instrText>
        </w:r>
        <w:r>
          <w:fldChar w:fldCharType="separate"/>
        </w:r>
        <w:r>
          <w:t>35</w:t>
        </w:r>
        <w:r>
          <w:fldChar w:fldCharType="end"/>
        </w:r>
      </w:hyperlink>
    </w:p>
    <w:p>
      <w:pPr>
        <w:pStyle w:val="TOC1"/>
        <w:tabs>
          <w:tab w:val="right" w:leader="dot" w:pos="8306"/>
        </w:tabs>
        <w:sectPr>
          <w:headerReference w:type="default" r:id="rId7"/>
          <w:footerReference w:type="default" r:id="rId8"/>
          <w:type w:val="nextPage"/>
          <w:pgSz w:w="11906" w:h="16838"/>
          <w:pgMar w:top="1440" w:right="1800" w:bottom="1440" w:left="1800" w:header="851" w:footer="992" w:gutter="0"/>
          <w:pgNumType w:start="2"/>
          <w:cols w:num="1" w:space="425"/>
          <w:titlePg w:val="0"/>
          <w:docGrid w:type="lines" w:linePitch="312" w:charSpace="0"/>
        </w:sectPr>
      </w:pPr>
      <w:hyperlink w:anchor="_Toc21264" w:history="1">
        <w:r>
          <w:rPr>
            <w:rFonts w:ascii="仿宋" w:eastAsia="仿宋" w:hAnsi="仿宋" w:cs="仿宋" w:hint="eastAsia"/>
            <w:lang w:eastAsia="zh-CN"/>
          </w:rPr>
          <w:t>十一、未来发展趋势和战略规划</w:t>
        </w:r>
        <w:r>
          <w:tab/>
        </w:r>
        <w:r>
          <w:fldChar w:fldCharType="begin"/>
        </w:r>
        <w:r>
          <w:instrText xml:space="preserve"> PAGEREF _Toc21264 \h </w:instrText>
        </w:r>
        <w:r>
          <w:fldChar w:fldCharType="separate"/>
        </w:r>
        <w:r>
          <w:t>36</w:t>
        </w:r>
        <w:r>
          <w:fldChar w:fldCharType="end"/>
        </w:r>
      </w:hyperlink>
    </w:p>
    <w:p>
      <w:pPr>
        <w:pStyle w:val="TOC2"/>
        <w:tabs>
          <w:tab w:val="right" w:leader="dot" w:pos="8306"/>
        </w:tabs>
      </w:pPr>
      <w:hyperlink w:anchor="_Toc10166" w:history="1">
        <w:r>
          <w:rPr>
            <w:rFonts w:ascii="仿宋" w:eastAsia="仿宋" w:hAnsi="仿宋" w:cs="仿宋" w:hint="eastAsia"/>
            <w:lang w:eastAsia="zh-CN"/>
          </w:rPr>
          <w:t>(一)、核辐射产品行业未来发展趋势的预测</w:t>
        </w:r>
        <w:r>
          <w:tab/>
        </w:r>
        <w:r>
          <w:fldChar w:fldCharType="begin"/>
        </w:r>
        <w:r>
          <w:instrText xml:space="preserve"> PAGEREF _Toc10166 \h </w:instrText>
        </w:r>
        <w:r>
          <w:fldChar w:fldCharType="separate"/>
        </w:r>
        <w:r>
          <w:t>36</w:t>
        </w:r>
        <w:r>
          <w:fldChar w:fldCharType="end"/>
        </w:r>
      </w:hyperlink>
    </w:p>
    <w:p>
      <w:pPr>
        <w:pStyle w:val="TOC2"/>
        <w:tabs>
          <w:tab w:val="right" w:leader="dot" w:pos="8306"/>
        </w:tabs>
      </w:pPr>
      <w:hyperlink w:anchor="_Toc12387" w:history="1">
        <w:r>
          <w:rPr>
            <w:rFonts w:ascii="仿宋" w:eastAsia="仿宋" w:hAnsi="仿宋" w:cs="仿宋" w:hint="eastAsia"/>
            <w:lang w:eastAsia="zh-CN"/>
          </w:rPr>
          <w:t>(二)、核辐射产品项目产品在未来的发展和规划</w:t>
        </w:r>
        <w:r>
          <w:tab/>
        </w:r>
        <w:r>
          <w:fldChar w:fldCharType="begin"/>
        </w:r>
        <w:r>
          <w:instrText xml:space="preserve"> PAGEREF _Toc12387 \h </w:instrText>
        </w:r>
        <w:r>
          <w:fldChar w:fldCharType="separate"/>
        </w:r>
        <w:r>
          <w:t>38</w:t>
        </w:r>
        <w:r>
          <w:fldChar w:fldCharType="end"/>
        </w:r>
      </w:hyperlink>
    </w:p>
    <w:p>
      <w:pPr>
        <w:pStyle w:val="TOC2"/>
        <w:tabs>
          <w:tab w:val="right" w:leader="dot" w:pos="8306"/>
        </w:tabs>
      </w:pPr>
      <w:hyperlink w:anchor="_Toc32747" w:history="1">
        <w:r>
          <w:rPr>
            <w:rFonts w:ascii="仿宋" w:eastAsia="仿宋" w:hAnsi="仿宋" w:cs="仿宋" w:hint="eastAsia"/>
            <w:lang w:eastAsia="zh-CN"/>
          </w:rPr>
          <w:t>(三)、核辐射产品项目的战略规划和实施方案</w:t>
        </w:r>
        <w:r>
          <w:tab/>
        </w:r>
        <w:r>
          <w:fldChar w:fldCharType="begin"/>
        </w:r>
        <w:r>
          <w:instrText xml:space="preserve"> PAGEREF _Toc32747 \h </w:instrText>
        </w:r>
        <w:r>
          <w:fldChar w:fldCharType="separate"/>
        </w:r>
        <w:r>
          <w:t>39</w:t>
        </w:r>
        <w:r>
          <w:fldChar w:fldCharType="end"/>
        </w:r>
      </w:hyperlink>
    </w:p>
    <w:p>
      <w:pPr>
        <w:pStyle w:val="TOC1"/>
        <w:tabs>
          <w:tab w:val="right" w:leader="dot" w:pos="8306"/>
        </w:tabs>
      </w:pPr>
      <w:hyperlink w:anchor="_Toc7257" w:history="1">
        <w:r>
          <w:rPr>
            <w:rFonts w:ascii="仿宋" w:eastAsia="仿宋" w:hAnsi="仿宋" w:cs="仿宋" w:hint="eastAsia"/>
            <w:lang w:eastAsia="zh-CN"/>
          </w:rPr>
          <w:t>十二、社会创新和影响</w:t>
        </w:r>
        <w:r>
          <w:tab/>
        </w:r>
        <w:r>
          <w:fldChar w:fldCharType="begin"/>
        </w:r>
        <w:r>
          <w:instrText xml:space="preserve"> PAGEREF _Toc7257 \h </w:instrText>
        </w:r>
        <w:r>
          <w:fldChar w:fldCharType="separate"/>
        </w:r>
        <w:r>
          <w:t>40</w:t>
        </w:r>
        <w:r>
          <w:fldChar w:fldCharType="end"/>
        </w:r>
      </w:hyperlink>
    </w:p>
    <w:p>
      <w:pPr>
        <w:pStyle w:val="TOC2"/>
        <w:tabs>
          <w:tab w:val="right" w:leader="dot" w:pos="8306"/>
        </w:tabs>
      </w:pPr>
      <w:hyperlink w:anchor="_Toc3821" w:history="1">
        <w:r>
          <w:rPr>
            <w:rFonts w:ascii="仿宋" w:eastAsia="仿宋" w:hAnsi="仿宋" w:cs="仿宋" w:hint="eastAsia"/>
            <w:lang w:eastAsia="zh-CN"/>
          </w:rPr>
          <w:t>(一)、利用核辐射产品创新推动社会变革</w:t>
        </w:r>
        <w:r>
          <w:tab/>
        </w:r>
        <w:r>
          <w:fldChar w:fldCharType="begin"/>
        </w:r>
        <w:r>
          <w:instrText xml:space="preserve"> PAGEREF _Toc3821 \h </w:instrText>
        </w:r>
        <w:r>
          <w:fldChar w:fldCharType="separate"/>
        </w:r>
        <w:r>
          <w:t>40</w:t>
        </w:r>
        <w:r>
          <w:fldChar w:fldCharType="end"/>
        </w:r>
      </w:hyperlink>
    </w:p>
    <w:p>
      <w:pPr>
        <w:pStyle w:val="TOC2"/>
        <w:tabs>
          <w:tab w:val="right" w:leader="dot" w:pos="8306"/>
        </w:tabs>
      </w:pPr>
      <w:hyperlink w:anchor="_Toc25794" w:history="1">
        <w:r>
          <w:rPr>
            <w:rFonts w:ascii="仿宋" w:eastAsia="仿宋" w:hAnsi="仿宋" w:cs="仿宋" w:hint="eastAsia"/>
            <w:lang w:eastAsia="zh-CN"/>
          </w:rPr>
          <w:t>(二)、文化和艺术领域的影响</w:t>
        </w:r>
        <w:r>
          <w:tab/>
        </w:r>
        <w:r>
          <w:fldChar w:fldCharType="begin"/>
        </w:r>
        <w:r>
          <w:instrText xml:space="preserve"> PAGEREF _Toc25794 \h </w:instrText>
        </w:r>
        <w:r>
          <w:fldChar w:fldCharType="separate"/>
        </w:r>
        <w:r>
          <w:t>42</w:t>
        </w:r>
        <w:r>
          <w:fldChar w:fldCharType="end"/>
        </w:r>
      </w:hyperlink>
    </w:p>
    <w:p>
      <w:pPr>
        <w:pStyle w:val="TOC2"/>
        <w:tabs>
          <w:tab w:val="right" w:leader="dot" w:pos="8306"/>
        </w:tabs>
      </w:pPr>
      <w:hyperlink w:anchor="_Toc2815" w:history="1">
        <w:r>
          <w:rPr>
            <w:rFonts w:ascii="仿宋" w:eastAsia="仿宋" w:hAnsi="仿宋" w:cs="仿宋" w:hint="eastAsia"/>
            <w:lang w:eastAsia="zh-CN"/>
          </w:rPr>
          <w:t>(三)、社会核辐射产品项目和合作伙伴关系</w:t>
        </w:r>
        <w:r>
          <w:tab/>
        </w:r>
        <w:r>
          <w:fldChar w:fldCharType="begin"/>
        </w:r>
        <w:r>
          <w:instrText xml:space="preserve"> PAGEREF _Toc2815 \h </w:instrText>
        </w:r>
        <w:r>
          <w:fldChar w:fldCharType="separate"/>
        </w:r>
        <w:r>
          <w:t>43</w:t>
        </w:r>
        <w:r>
          <w:fldChar w:fldCharType="end"/>
        </w:r>
      </w:hyperlink>
    </w:p>
    <w:p>
      <w:pPr>
        <w:pStyle w:val="TOC1"/>
        <w:tabs>
          <w:tab w:val="right" w:leader="dot" w:pos="8306"/>
        </w:tabs>
      </w:pPr>
      <w:hyperlink w:anchor="_Toc20421" w:history="1">
        <w:r>
          <w:rPr>
            <w:rFonts w:ascii="仿宋" w:eastAsia="仿宋" w:hAnsi="仿宋" w:cs="仿宋" w:hint="eastAsia"/>
            <w:lang w:eastAsia="zh-CN"/>
          </w:rPr>
          <w:t>十三、合同管理和法务咨询</w:t>
        </w:r>
        <w:r>
          <w:tab/>
        </w:r>
        <w:r>
          <w:fldChar w:fldCharType="begin"/>
        </w:r>
        <w:r>
          <w:instrText xml:space="preserve"> PAGEREF _Toc20421 \h </w:instrText>
        </w:r>
        <w:r>
          <w:fldChar w:fldCharType="separate"/>
        </w:r>
        <w:r>
          <w:t>44</w:t>
        </w:r>
        <w:r>
          <w:fldChar w:fldCharType="end"/>
        </w:r>
      </w:hyperlink>
    </w:p>
    <w:p>
      <w:pPr>
        <w:pStyle w:val="TOC2"/>
        <w:tabs>
          <w:tab w:val="right" w:leader="dot" w:pos="8306"/>
        </w:tabs>
      </w:pPr>
      <w:hyperlink w:anchor="_Toc3823" w:history="1">
        <w:r>
          <w:rPr>
            <w:rFonts w:ascii="仿宋" w:eastAsia="仿宋" w:hAnsi="仿宋" w:cs="仿宋" w:hint="eastAsia"/>
            <w:lang w:eastAsia="zh-CN"/>
          </w:rPr>
          <w:t>(一)、合同管理体系的建立和管理</w:t>
        </w:r>
        <w:r>
          <w:tab/>
        </w:r>
        <w:r>
          <w:fldChar w:fldCharType="begin"/>
        </w:r>
        <w:r>
          <w:instrText xml:space="preserve"> PAGEREF _Toc3823 \h </w:instrText>
        </w:r>
        <w:r>
          <w:fldChar w:fldCharType="separate"/>
        </w:r>
        <w:r>
          <w:t>44</w:t>
        </w:r>
        <w:r>
          <w:fldChar w:fldCharType="end"/>
        </w:r>
      </w:hyperlink>
    </w:p>
    <w:p>
      <w:pPr>
        <w:pStyle w:val="TOC2"/>
        <w:tabs>
          <w:tab w:val="right" w:leader="dot" w:pos="8306"/>
        </w:tabs>
      </w:pPr>
      <w:hyperlink w:anchor="_Toc19759" w:history="1">
        <w:r>
          <w:rPr>
            <w:rFonts w:ascii="仿宋" w:eastAsia="仿宋" w:hAnsi="仿宋" w:cs="仿宋" w:hint="eastAsia"/>
            <w:lang w:eastAsia="zh-CN"/>
          </w:rPr>
          <w:t>(二)、法务咨询的程序和标准</w:t>
        </w:r>
        <w:r>
          <w:tab/>
        </w:r>
        <w:r>
          <w:fldChar w:fldCharType="begin"/>
        </w:r>
        <w:r>
          <w:instrText xml:space="preserve"> PAGEREF _Toc19759 \h </w:instrText>
        </w:r>
        <w:r>
          <w:fldChar w:fldCharType="separate"/>
        </w:r>
        <w:r>
          <w:t>46</w:t>
        </w:r>
        <w:r>
          <w:fldChar w:fldCharType="end"/>
        </w:r>
      </w:hyperlink>
    </w:p>
    <w:p>
      <w:pPr>
        <w:pStyle w:val="TOC2"/>
        <w:tabs>
          <w:tab w:val="right" w:leader="dot" w:pos="8306"/>
        </w:tabs>
      </w:pPr>
      <w:hyperlink w:anchor="_Toc29350" w:history="1">
        <w:r>
          <w:rPr>
            <w:rFonts w:ascii="仿宋" w:eastAsia="仿宋" w:hAnsi="仿宋" w:cs="仿宋" w:hint="eastAsia"/>
            <w:lang w:eastAsia="zh-CN"/>
          </w:rPr>
          <w:t>(三)、合同风险的控制和应对</w:t>
        </w:r>
        <w:r>
          <w:tab/>
        </w:r>
        <w:r>
          <w:fldChar w:fldCharType="begin"/>
        </w:r>
        <w:r>
          <w:instrText xml:space="preserve"> PAGEREF _Toc29350 \h </w:instrText>
        </w:r>
        <w:r>
          <w:fldChar w:fldCharType="separate"/>
        </w:r>
        <w:r>
          <w:t>48</w:t>
        </w:r>
        <w:r>
          <w:fldChar w:fldCharType="end"/>
        </w:r>
      </w:hyperlink>
    </w:p>
    <w:p>
      <w:pPr>
        <w:pStyle w:val="TOC1"/>
        <w:tabs>
          <w:tab w:val="right" w:leader="dot" w:pos="8306"/>
        </w:tabs>
      </w:pPr>
      <w:hyperlink w:anchor="_Toc10062" w:history="1">
        <w:r>
          <w:rPr>
            <w:rFonts w:ascii="仿宋" w:eastAsia="仿宋" w:hAnsi="仿宋" w:cs="仿宋" w:hint="eastAsia"/>
            <w:lang w:eastAsia="zh-CN"/>
          </w:rPr>
          <w:t>十四、安全风险评估和防范策略</w:t>
        </w:r>
        <w:r>
          <w:tab/>
        </w:r>
        <w:r>
          <w:fldChar w:fldCharType="begin"/>
        </w:r>
        <w:r>
          <w:instrText xml:space="preserve"> PAGEREF _Toc10062 \h </w:instrText>
        </w:r>
        <w:r>
          <w:fldChar w:fldCharType="separate"/>
        </w:r>
        <w:r>
          <w:t>50</w:t>
        </w:r>
        <w:r>
          <w:fldChar w:fldCharType="end"/>
        </w:r>
      </w:hyperlink>
    </w:p>
    <w:p>
      <w:pPr>
        <w:pStyle w:val="TOC2"/>
        <w:tabs>
          <w:tab w:val="right" w:leader="dot" w:pos="8306"/>
        </w:tabs>
      </w:pPr>
      <w:hyperlink w:anchor="_Toc2329" w:history="1">
        <w:r>
          <w:rPr>
            <w:rFonts w:ascii="仿宋" w:eastAsia="仿宋" w:hAnsi="仿宋" w:cs="仿宋" w:hint="eastAsia"/>
            <w:lang w:eastAsia="zh-CN"/>
          </w:rPr>
          <w:t>(一)、安全风险评估的目的和方法</w:t>
        </w:r>
        <w:r>
          <w:tab/>
        </w:r>
        <w:r>
          <w:fldChar w:fldCharType="begin"/>
        </w:r>
        <w:r>
          <w:instrText xml:space="preserve"> PAGEREF _Toc2329 \h </w:instrText>
        </w:r>
        <w:r>
          <w:fldChar w:fldCharType="separate"/>
        </w:r>
        <w:r>
          <w:t>50</w:t>
        </w:r>
        <w:r>
          <w:fldChar w:fldCharType="end"/>
        </w:r>
      </w:hyperlink>
    </w:p>
    <w:p>
      <w:pPr>
        <w:pStyle w:val="TOC2"/>
        <w:tabs>
          <w:tab w:val="right" w:leader="dot" w:pos="8306"/>
        </w:tabs>
      </w:pPr>
      <w:hyperlink w:anchor="_Toc22432" w:history="1">
        <w:r>
          <w:rPr>
            <w:rFonts w:ascii="仿宋" w:eastAsia="仿宋" w:hAnsi="仿宋" w:cs="仿宋" w:hint="eastAsia"/>
            <w:lang w:eastAsia="zh-CN"/>
          </w:rPr>
          <w:t>(二)、核辐射产品项目面临的安全风险分析和评估</w:t>
        </w:r>
        <w:r>
          <w:tab/>
        </w:r>
        <w:r>
          <w:fldChar w:fldCharType="begin"/>
        </w:r>
        <w:r>
          <w:instrText xml:space="preserve"> PAGEREF _Toc22432 \h </w:instrText>
        </w:r>
        <w:r>
          <w:fldChar w:fldCharType="separate"/>
        </w:r>
        <w:r>
          <w:t>51</w:t>
        </w:r>
        <w:r>
          <w:fldChar w:fldCharType="end"/>
        </w:r>
      </w:hyperlink>
    </w:p>
    <w:p>
      <w:pPr>
        <w:pStyle w:val="TOC2"/>
        <w:tabs>
          <w:tab w:val="right" w:leader="dot" w:pos="8306"/>
        </w:tabs>
      </w:pPr>
      <w:hyperlink w:anchor="_Toc30407" w:history="1">
        <w:r>
          <w:rPr>
            <w:rFonts w:ascii="仿宋" w:eastAsia="仿宋" w:hAnsi="仿宋" w:cs="仿宋" w:hint="eastAsia"/>
            <w:lang w:eastAsia="zh-CN"/>
          </w:rPr>
          <w:t>(三)、安全防范策略和应急预案的制定</w:t>
        </w:r>
        <w:r>
          <w:tab/>
        </w:r>
        <w:r>
          <w:fldChar w:fldCharType="begin"/>
        </w:r>
        <w:r>
          <w:instrText xml:space="preserve"> PAGEREF _Toc30407 \h </w:instrText>
        </w:r>
        <w:r>
          <w:fldChar w:fldCharType="separate"/>
        </w:r>
        <w:r>
          <w:t>52</w:t>
        </w:r>
        <w:r>
          <w:fldChar w:fldCharType="end"/>
        </w:r>
      </w:hyperlink>
    </w:p>
    <w:p>
      <w:pPr>
        <w:pStyle w:val="TOC1"/>
        <w:tabs>
          <w:tab w:val="right" w:leader="dot" w:pos="8306"/>
        </w:tabs>
      </w:pPr>
      <w:hyperlink w:anchor="_Toc1487" w:history="1">
        <w:r>
          <w:rPr>
            <w:rFonts w:ascii="仿宋" w:eastAsia="仿宋" w:hAnsi="仿宋" w:cs="仿宋" w:hint="eastAsia"/>
            <w:lang w:eastAsia="zh-CN"/>
          </w:rPr>
          <w:t>十五、供应链管理和合作伙伴选择</w:t>
        </w:r>
        <w:r>
          <w:tab/>
        </w:r>
        <w:r>
          <w:fldChar w:fldCharType="begin"/>
        </w:r>
        <w:r>
          <w:instrText xml:space="preserve"> PAGEREF _Toc1487 \h </w:instrText>
        </w:r>
        <w:r>
          <w:fldChar w:fldCharType="separate"/>
        </w:r>
        <w:r>
          <w:t>53</w:t>
        </w:r>
        <w:r>
          <w:fldChar w:fldCharType="end"/>
        </w:r>
      </w:hyperlink>
    </w:p>
    <w:p>
      <w:pPr>
        <w:pStyle w:val="TOC2"/>
        <w:tabs>
          <w:tab w:val="right" w:leader="dot" w:pos="8306"/>
        </w:tabs>
      </w:pPr>
      <w:hyperlink w:anchor="_Toc11565" w:history="1">
        <w:r>
          <w:rPr>
            <w:rFonts w:ascii="仿宋" w:eastAsia="仿宋" w:hAnsi="仿宋" w:cs="仿宋" w:hint="eastAsia"/>
            <w:lang w:eastAsia="zh-CN"/>
          </w:rPr>
          <w:t>(一)、供应链管理和合作伙伴关系概述</w:t>
        </w:r>
        <w:r>
          <w:tab/>
        </w:r>
        <w:r>
          <w:fldChar w:fldCharType="begin"/>
        </w:r>
        <w:r>
          <w:instrText xml:space="preserve"> PAGEREF _Toc11565 \h </w:instrText>
        </w:r>
        <w:r>
          <w:fldChar w:fldCharType="separate"/>
        </w:r>
        <w:r>
          <w:t>53</w:t>
        </w:r>
        <w:r>
          <w:fldChar w:fldCharType="end"/>
        </w:r>
      </w:hyperlink>
    </w:p>
    <w:p>
      <w:pPr>
        <w:pStyle w:val="TOC2"/>
        <w:tabs>
          <w:tab w:val="right" w:leader="dot" w:pos="8306"/>
        </w:tabs>
      </w:pPr>
      <w:hyperlink w:anchor="_Toc11231" w:history="1">
        <w:r>
          <w:rPr>
            <w:rFonts w:ascii="仿宋" w:eastAsia="仿宋" w:hAnsi="仿宋" w:cs="仿宋" w:hint="eastAsia"/>
            <w:lang w:eastAsia="zh-CN"/>
          </w:rPr>
          <w:t>(二)、供应商选择和评估标准</w:t>
        </w:r>
        <w:r>
          <w:tab/>
        </w:r>
        <w:r>
          <w:fldChar w:fldCharType="begin"/>
        </w:r>
        <w:r>
          <w:instrText xml:space="preserve"> PAGEREF _Toc11231 \h </w:instrText>
        </w:r>
        <w:r>
          <w:fldChar w:fldCharType="separate"/>
        </w:r>
        <w:r>
          <w:t>54</w:t>
        </w:r>
        <w:r>
          <w:fldChar w:fldCharType="end"/>
        </w:r>
      </w:hyperlink>
    </w:p>
    <w:p>
      <w:pPr>
        <w:pStyle w:val="TOC2"/>
        <w:tabs>
          <w:tab w:val="right" w:leader="dot" w:pos="8306"/>
        </w:tabs>
      </w:pPr>
      <w:hyperlink w:anchor="_Toc15064" w:history="1">
        <w:r>
          <w:rPr>
            <w:rFonts w:ascii="仿宋" w:eastAsia="仿宋" w:hAnsi="仿宋" w:cs="仿宋" w:hint="eastAsia"/>
            <w:lang w:eastAsia="zh-CN"/>
          </w:rPr>
          <w:t>(三)、物流和运输方案</w:t>
        </w:r>
        <w:r>
          <w:tab/>
        </w:r>
        <w:r>
          <w:fldChar w:fldCharType="begin"/>
        </w:r>
        <w:r>
          <w:instrText xml:space="preserve"> PAGEREF _Toc15064 \h </w:instrText>
        </w:r>
        <w:r>
          <w:fldChar w:fldCharType="separate"/>
        </w:r>
        <w:r>
          <w:t>55</w:t>
        </w:r>
        <w:r>
          <w:fldChar w:fldCharType="end"/>
        </w:r>
      </w:hyperlink>
    </w:p>
    <w:p>
      <w:pPr>
        <w:pStyle w:val="TOC1"/>
        <w:tabs>
          <w:tab w:val="right" w:leader="dot" w:pos="8306"/>
        </w:tabs>
      </w:pPr>
      <w:hyperlink w:anchor="_Toc28788" w:history="1">
        <w:r>
          <w:rPr>
            <w:rFonts w:ascii="仿宋" w:eastAsia="仿宋" w:hAnsi="仿宋" w:cs="仿宋" w:hint="eastAsia"/>
            <w:lang w:eastAsia="zh-CN"/>
          </w:rPr>
          <w:t>十六、公司章程和规章制度</w:t>
        </w:r>
        <w:r>
          <w:tab/>
        </w:r>
        <w:r>
          <w:fldChar w:fldCharType="begin"/>
        </w:r>
        <w:r>
          <w:instrText xml:space="preserve"> PAGEREF _Toc28788 \h </w:instrText>
        </w:r>
        <w:r>
          <w:fldChar w:fldCharType="separate"/>
        </w:r>
        <w:r>
          <w:t>56</w:t>
        </w:r>
        <w:r>
          <w:fldChar w:fldCharType="end"/>
        </w:r>
      </w:hyperlink>
    </w:p>
    <w:p>
      <w:pPr>
        <w:pStyle w:val="TOC2"/>
        <w:tabs>
          <w:tab w:val="right" w:leader="dot" w:pos="8306"/>
        </w:tabs>
      </w:pPr>
      <w:hyperlink w:anchor="_Toc23800" w:history="1">
        <w:r>
          <w:rPr>
            <w:rFonts w:ascii="仿宋" w:eastAsia="仿宋" w:hAnsi="仿宋" w:cs="仿宋" w:hint="eastAsia"/>
            <w:lang w:eastAsia="zh-CN"/>
          </w:rPr>
          <w:t>(一)、公司章程的主要内容和规定</w:t>
        </w:r>
        <w:r>
          <w:tab/>
        </w:r>
        <w:r>
          <w:fldChar w:fldCharType="begin"/>
        </w:r>
        <w:r>
          <w:instrText xml:space="preserve"> PAGEREF _Toc23800 \h </w:instrText>
        </w:r>
        <w:r>
          <w:fldChar w:fldCharType="separate"/>
        </w:r>
        <w:r>
          <w:t>56</w:t>
        </w:r>
        <w:r>
          <w:fldChar w:fldCharType="end"/>
        </w:r>
      </w:hyperlink>
    </w:p>
    <w:p>
      <w:pPr>
        <w:pStyle w:val="TOC2"/>
        <w:tabs>
          <w:tab w:val="right" w:leader="dot" w:pos="8306"/>
        </w:tabs>
      </w:pPr>
      <w:hyperlink w:anchor="_Toc4247" w:history="1">
        <w:r>
          <w:rPr>
            <w:rFonts w:ascii="仿宋" w:eastAsia="仿宋" w:hAnsi="仿宋" w:cs="仿宋" w:hint="eastAsia"/>
            <w:lang w:eastAsia="zh-CN"/>
          </w:rPr>
          <w:t>(二)、公司内部规章制度的主要内容和规定</w:t>
        </w:r>
        <w:r>
          <w:tab/>
        </w:r>
        <w:r>
          <w:fldChar w:fldCharType="begin"/>
        </w:r>
        <w:r>
          <w:instrText xml:space="preserve"> PAGEREF _Toc4247 \h </w:instrText>
        </w:r>
        <w:r>
          <w:fldChar w:fldCharType="separate"/>
        </w:r>
        <w:r>
          <w:t>58</w:t>
        </w:r>
        <w:r>
          <w:fldChar w:fldCharType="end"/>
        </w:r>
      </w:hyperlink>
    </w:p>
    <w:p>
      <w:pPr>
        <w:pStyle w:val="TOC2"/>
        <w:tabs>
          <w:tab w:val="right" w:leader="dot" w:pos="8306"/>
        </w:tabs>
      </w:pPr>
      <w:hyperlink w:anchor="_Toc26276" w:history="1">
        <w:r>
          <w:rPr>
            <w:rFonts w:ascii="仿宋" w:eastAsia="仿宋" w:hAnsi="仿宋" w:cs="仿宋" w:hint="eastAsia"/>
            <w:lang w:eastAsia="zh-CN"/>
          </w:rPr>
          <w:t>(三)、公司治理结构的优化和完善</w:t>
        </w:r>
        <w:r>
          <w:tab/>
        </w:r>
        <w:r>
          <w:fldChar w:fldCharType="begin"/>
        </w:r>
        <w:r>
          <w:instrText xml:space="preserve"> PAGEREF _Toc26276 \h </w:instrText>
        </w:r>
        <w:r>
          <w:fldChar w:fldCharType="separate"/>
        </w:r>
        <w:r>
          <w:t>59</w:t>
        </w:r>
        <w:r>
          <w:fldChar w:fldCharType="end"/>
        </w:r>
      </w:hyperlink>
    </w:p>
    <w:p>
      <w:pPr>
        <w:sectPr>
          <w:headerReference w:type="default" r:id="rId9"/>
          <w:footerReference w:type="default" r:id="rId10"/>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6"/>
      <w:r>
        <w:rPr>
          <w:rFonts w:ascii="仿宋" w:eastAsia="仿宋" w:hAnsi="仿宋" w:cs="仿宋" w:hint="eastAsia"/>
          <w:lang w:eastAsia="zh-CN"/>
        </w:rPr>
        <w:t>绪论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pPr>
        <w:pStyle w:val="Heading1"/>
        <w:ind w:firstLine="560" w:firstLineChars="200"/>
        <w:rPr>
          <w:rFonts w:ascii="仿宋" w:eastAsia="仿宋" w:hAnsi="仿宋" w:cs="仿宋" w:hint="eastAsia"/>
          <w:sz w:val="28"/>
          <w:lang w:eastAsia="zh-CN"/>
        </w:rPr>
      </w:pPr>
      <w:bookmarkStart w:id="2" w:name="_Toc3621"/>
      <w:r>
        <w:rPr>
          <w:rFonts w:ascii="仿宋" w:eastAsia="仿宋" w:hAnsi="仿宋" w:cs="仿宋" w:hint="eastAsia"/>
          <w:sz w:val="28"/>
          <w:lang w:eastAsia="zh-CN"/>
        </w:rPr>
        <w:t>一、融资方案和资金使用计划</w:t>
      </w:r>
      <w:bookmarkEnd w:id="2"/>
    </w:p>
    <w:p>
      <w:pPr>
        <w:pStyle w:val="Heading2"/>
        <w:rPr>
          <w:rFonts w:ascii="仿宋" w:eastAsia="仿宋" w:hAnsi="仿宋" w:cs="仿宋" w:hint="eastAsia"/>
          <w:lang w:eastAsia="zh-CN"/>
        </w:rPr>
      </w:pPr>
      <w:bookmarkStart w:id="3" w:name="_Toc11640"/>
      <w:r>
        <w:rPr>
          <w:rFonts w:ascii="仿宋" w:eastAsia="仿宋" w:hAnsi="仿宋" w:cs="仿宋" w:hint="eastAsia"/>
          <w:lang w:eastAsia="zh-CN"/>
        </w:rPr>
        <w:t>(一)、核辐射产品项目融资方式和资金来源选择</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融资方式选择：根据核辐射产品项目的规模、发展阶段和资金需求，选择适合的融资方式。融资方式可以包括股权融资、债权融资、风险投资、众筹等。通过评估各种融资方式的优势和风险，选择最适合核辐射产品项目的融资方式，以确保核辐射产品项目能够顺利进行并实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来源选择：确定核辐射产品项目的资金来源，包括内部资金和外部资金。内部资金可以来自创始团队的个人投资或公司内部的利润积累，外部资金可以来自银行贷款、风险投资、合作伙伴投资等。通过评估各种资金来源的可行性和可靠性，选择最适合核辐射产品项目的资金来源，以满足核辐射产品项目的资金需求。</w:t>
      </w:r>
    </w:p>
    <w:p>
      <w:pPr>
        <w:ind w:firstLine="560" w:firstLineChars="200"/>
        <w:rPr>
          <w:rFonts w:ascii="仿宋" w:eastAsia="仿宋" w:hAnsi="仿宋" w:cs="仿宋" w:hint="eastAsia"/>
          <w:sz w:val="28"/>
        </w:rPr>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和回报预期：评估核辐射产品项目的风险和回报预期，以确定融资方式和资金来源的可行性。风险评估可以包括市场风险、技术风险、竞争风险等方面的内容，回报预期可以包括投资回报率、股东权益增值等方面的内容。通过综合考虑风险和回报预期，选择能够平衡风险和回报的融资方式和资金来源，以确保核辐射产品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计划和资金管理：制定核辐射产品项目的融资计划和资金管理方案，确保融资资金的合理运用和有效管理。融资计划可以包括资金筹集的时间表、融资金额的分配和使用等方面的内容，资金管理方案可以包括资金流动管理、预算控制、风险管理等方面的内容。通过有效的融资计划和资金管理，可以确保核辐射产品项目的资金使用效率和风险控制，提高核辐射产品项目的可行性和成功实施。</w:t>
      </w:r>
    </w:p>
    <w:p>
      <w:pPr>
        <w:pStyle w:val="Heading2"/>
        <w:ind w:firstLine="560" w:firstLineChars="200"/>
        <w:rPr>
          <w:rFonts w:ascii="仿宋" w:eastAsia="仿宋" w:hAnsi="仿宋" w:cs="仿宋" w:hint="eastAsia"/>
          <w:sz w:val="28"/>
          <w:lang w:eastAsia="zh-CN"/>
        </w:rPr>
      </w:pPr>
      <w:bookmarkStart w:id="4" w:name="_Toc21915"/>
      <w:r>
        <w:rPr>
          <w:rFonts w:ascii="仿宋" w:eastAsia="仿宋" w:hAnsi="仿宋" w:cs="仿宋" w:hint="eastAsia"/>
          <w:sz w:val="28"/>
          <w:lang w:eastAsia="zh-CN"/>
        </w:rPr>
        <w:t>(二)、资金使用计划和管理措施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资金使用计划：制定详细的资金使用计划，明确资金的分配和使用情况。资金使用计划应包括各项费用的预算、资金使用的时间表、资金流动的路径等。通过合理规划资金使用计划，可以确保资金的有效利用，避免浪费和滥用。</w:t>
      </w:r>
    </w:p>
    <w:p>
      <w:pPr>
        <w:ind w:firstLine="560" w:firstLineChars="200"/>
        <w:rPr>
          <w:rFonts w:ascii="仿宋" w:eastAsia="仿宋" w:hAnsi="仿宋" w:cs="仿宋" w:hint="eastAsia"/>
          <w:sz w:val="28"/>
        </w:rPr>
      </w:pPr>
      <w:r>
        <w:rPr>
          <w:rFonts w:ascii="仿宋" w:eastAsia="仿宋" w:hAnsi="仿宋" w:cs="仿宋" w:hint="eastAsia"/>
          <w:sz w:val="28"/>
          <w:lang w:eastAsia="zh-CN"/>
        </w:rPr>
        <w:t>预算控制：建立预算控制机制，监控和控制资金的支出。预算控制可以包括设定预算限额、制定审批流程、建立预算执行监督机构等。通过严格的预算控制，可以确保资金使用在合理范围内，避免超支和资金浪费。</w:t>
      </w:r>
    </w:p>
    <w:p>
      <w:pPr>
        <w:ind w:firstLine="560" w:firstLineChars="200"/>
        <w:rPr>
          <w:rFonts w:ascii="仿宋" w:eastAsia="仿宋" w:hAnsi="仿宋" w:cs="仿宋" w:hint="eastAsia"/>
          <w:sz w:val="28"/>
        </w:rPr>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管理：建立有效的资金流动管理措施，确保资金的流动和使用符合核辐射产品项目的需要。资金流动管理可以包括资金调度、资金结算、资金监控等方面的内容。通过合理的资金流动管理，可以确保核辐射产品项目各项活动的顺利进行，避免资金短缺和资金流动不畅。</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制定风险管理措施，评估和控制资金使用过程中的风险。风险管理可以包括制定风险评估方法、建立风险预警机制、制定风险应对策略等。通过有效的风险管理，可以及时发现和应对资金使用过程中的风险，保障核辐射产品项目的财务稳定性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报告和审计：建立完善的财务报告和审计制度，确保资金使用的透明度和合规性。财务报告可以包括资金使用情况的记录和汇总，审计可以包括内部审计和外部审计等。通过财务报告和审计，可以监督和评估资金使用的合规性和效果，提高核辐射产品项目的财务管理水平和透明度。</w:t>
      </w:r>
    </w:p>
    <w:p>
      <w:pPr>
        <w:pStyle w:val="Heading2"/>
        <w:ind w:firstLine="560" w:firstLineChars="200"/>
        <w:rPr>
          <w:rFonts w:ascii="仿宋" w:eastAsia="仿宋" w:hAnsi="仿宋" w:cs="仿宋" w:hint="eastAsia"/>
          <w:sz w:val="28"/>
          <w:lang w:eastAsia="zh-CN"/>
        </w:rPr>
      </w:pPr>
      <w:bookmarkStart w:id="5" w:name="_Toc23114"/>
      <w:r>
        <w:rPr>
          <w:rFonts w:ascii="仿宋" w:eastAsia="仿宋" w:hAnsi="仿宋" w:cs="仿宋" w:hint="eastAsia"/>
          <w:sz w:val="28"/>
          <w:lang w:eastAsia="zh-CN"/>
        </w:rPr>
        <w:t>(三)、财务风险预警和应对方案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财务风险预警方面，我们需要对核辐射产品项目的财务情况进行全面的分析和评估，包括收入、支出、投资、借贷、资产负债等方面的情况。通过建立财务指标体系，对这些指标进行监测和跟踪，及时发现和预警潜在的风险，并采取相应的措施加以应对。</w:t>
      </w:r>
    </w:p>
    <w:p>
      <w:pPr>
        <w:ind w:firstLine="560" w:firstLineChars="200"/>
        <w:rPr>
          <w:rFonts w:ascii="仿宋" w:eastAsia="仿宋" w:hAnsi="仿宋" w:cs="仿宋" w:hint="eastAsia"/>
          <w:sz w:val="28"/>
        </w:rPr>
        <w:sectPr>
          <w:headerReference w:type="default" r:id="rId15"/>
          <w:footerReference w:type="default" r:id="rId16"/>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应对方案方面，我们需要制定具体的措施和计划，以应对可能出现的财务风险。具体措施包括加强资金管理、优化财务结构、控制成本、提高收入等方面。同时，我们还需要建立应急预案，以应对突发事件对核辐射产品项目造成的财务影响。</w:t>
      </w:r>
    </w:p>
    <w:p>
      <w:pPr>
        <w:pStyle w:val="Heading1"/>
        <w:ind w:firstLine="560" w:firstLineChars="200"/>
        <w:rPr>
          <w:rFonts w:ascii="仿宋" w:eastAsia="仿宋" w:hAnsi="仿宋" w:cs="仿宋" w:hint="eastAsia"/>
          <w:sz w:val="28"/>
          <w:lang w:eastAsia="zh-CN"/>
        </w:rPr>
      </w:pPr>
      <w:bookmarkStart w:id="6" w:name="_Toc26275"/>
      <w:r>
        <w:rPr>
          <w:rFonts w:ascii="仿宋" w:eastAsia="仿宋" w:hAnsi="仿宋" w:cs="仿宋" w:hint="eastAsia"/>
          <w:sz w:val="28"/>
          <w:lang w:eastAsia="zh-CN"/>
        </w:rPr>
        <w:t>二、核辐射产品项目主要建(构)筑物建设工程</w:t>
      </w:r>
      <w:bookmarkEnd w:id="6"/>
    </w:p>
    <w:p>
      <w:pPr>
        <w:pStyle w:val="Heading2"/>
        <w:rPr>
          <w:rFonts w:ascii="仿宋" w:eastAsia="仿宋" w:hAnsi="仿宋" w:cs="仿宋" w:hint="eastAsia"/>
          <w:lang w:eastAsia="zh-CN"/>
        </w:rPr>
      </w:pPr>
      <w:bookmarkStart w:id="7" w:name="_Toc32087"/>
      <w:r>
        <w:rPr>
          <w:rFonts w:ascii="仿宋" w:eastAsia="仿宋" w:hAnsi="仿宋" w:cs="仿宋" w:hint="eastAsia"/>
          <w:lang w:eastAsia="zh-CN"/>
        </w:rPr>
        <w:t>(一)、抗震设防</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考虑到核辐射产品项目的稳定性和安全性，我们深入研究了选址地区的地震情况。经过综合分析，我们得知该地区的基本地震烈度大致为XXX度，这是一个重要的参考指标。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核辐射产品项目在地震等自然灾害面前能够保持稳固，我们紧密遵循了现行的《建筑抗震设计规范》（GBJ11-89）的规定。根据当地地震烈度情况和核辐射产品项目特性，我们决定执行X度的抗震设防标准，这是一个综合考虑了安全和稳定性的决策。我们将充分融入地方实际，以确保核辐射产品项目在地震风险环境下能够安全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抗震设防标准的制定是为了应对地震风险，保障核辐射产品项目在各种自然灾害中的可持续性。通过遵循最新的规范和合理的设计，我们将确保核辐射产品项目的稳定性和安全性，为投资方和利益相关者提供信心。</w:t>
      </w:r>
    </w:p>
    <w:p>
      <w:pPr>
        <w:pStyle w:val="Heading2"/>
        <w:ind w:firstLine="560" w:firstLineChars="200"/>
        <w:rPr>
          <w:rFonts w:ascii="仿宋" w:eastAsia="仿宋" w:hAnsi="仿宋" w:cs="仿宋" w:hint="eastAsia"/>
          <w:sz w:val="28"/>
          <w:lang w:eastAsia="zh-CN"/>
        </w:rPr>
      </w:pPr>
      <w:bookmarkStart w:id="8" w:name="_Toc9522"/>
      <w:r>
        <w:rPr>
          <w:rFonts w:ascii="仿宋" w:eastAsia="仿宋" w:hAnsi="仿宋" w:cs="仿宋" w:hint="eastAsia"/>
          <w:sz w:val="28"/>
          <w:lang w:eastAsia="zh-CN"/>
        </w:rPr>
        <w:t>(二)、建筑结构形势及基础方案</w:t>
      </w:r>
      <w:bookmarkEnd w:id="8"/>
    </w:p>
    <w:p>
      <w:pPr>
        <w:ind w:firstLine="560" w:firstLineChars="200"/>
        <w:rPr>
          <w:rFonts w:ascii="仿宋" w:eastAsia="仿宋" w:hAnsi="仿宋" w:cs="仿宋" w:hint="eastAsia"/>
          <w:sz w:val="28"/>
        </w:rPr>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厂房在满足工艺使用要求，满足防火、通风、采光要求的前提下，力求做到布置紧凑、节省用地。车间立面造型简洁明快，体现现代化企业的建筑特色。屋面防水、保温尽可能采用质量较高、性能可靠的新型建筑材料。核辐射产品项目中主要生产车间及仓库均为钢结构，建筑为砖混结构。考虑(建设地)地震带的分布，工程设计中将加强建筑物抗震结构措施，以增强建筑物的抗震能力。</w:t>
      </w:r>
    </w:p>
    <w:p>
      <w:pPr>
        <w:pStyle w:val="Heading2"/>
        <w:ind w:firstLine="560" w:firstLineChars="200"/>
        <w:rPr>
          <w:rFonts w:ascii="仿宋" w:eastAsia="仿宋" w:hAnsi="仿宋" w:cs="仿宋" w:hint="eastAsia"/>
          <w:sz w:val="28"/>
          <w:lang w:eastAsia="zh-CN"/>
        </w:rPr>
      </w:pPr>
      <w:bookmarkStart w:id="9" w:name="_Toc19502"/>
      <w:r>
        <w:rPr>
          <w:rFonts w:ascii="仿宋" w:eastAsia="仿宋" w:hAnsi="仿宋" w:cs="仿宋" w:hint="eastAsia"/>
          <w:sz w:val="28"/>
          <w:lang w:eastAsia="zh-CN"/>
        </w:rPr>
        <w:t>(三)、主要建(构)筑物建设工程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核辐射产品项目主要土建工程包括：生产工程、辅助生产工程、公用工程、 总图工程、服务性工程(办公及生活)和其他工程六部分组成，土建工程总量为XXXX平方米，预计土建工程投资为XXXX万元。</w:t>
      </w:r>
    </w:p>
    <w:p>
      <w:pPr>
        <w:pStyle w:val="Heading1"/>
        <w:ind w:firstLine="560" w:firstLineChars="200"/>
        <w:rPr>
          <w:rFonts w:ascii="仿宋" w:eastAsia="仿宋" w:hAnsi="仿宋" w:cs="仿宋" w:hint="eastAsia"/>
          <w:sz w:val="28"/>
          <w:lang w:eastAsia="zh-CN"/>
        </w:rPr>
      </w:pPr>
      <w:bookmarkStart w:id="10" w:name="_Toc5184"/>
      <w:r>
        <w:rPr>
          <w:rFonts w:ascii="仿宋" w:eastAsia="仿宋" w:hAnsi="仿宋" w:cs="仿宋" w:hint="eastAsia"/>
          <w:sz w:val="28"/>
          <w:lang w:eastAsia="zh-CN"/>
        </w:rPr>
        <w:t>三、品牌建设和管理</w:t>
      </w:r>
      <w:bookmarkEnd w:id="10"/>
    </w:p>
    <w:p>
      <w:pPr>
        <w:pStyle w:val="Heading2"/>
        <w:rPr>
          <w:rFonts w:ascii="仿宋" w:eastAsia="仿宋" w:hAnsi="仿宋" w:cs="仿宋" w:hint="eastAsia"/>
          <w:lang w:eastAsia="zh-CN"/>
        </w:rPr>
      </w:pPr>
      <w:bookmarkStart w:id="11" w:name="_Toc31468"/>
      <w:r>
        <w:rPr>
          <w:rFonts w:ascii="仿宋" w:eastAsia="仿宋" w:hAnsi="仿宋" w:cs="仿宋" w:hint="eastAsia"/>
          <w:lang w:eastAsia="zh-CN"/>
        </w:rPr>
        <w:t>(一)、核辐射产品项目品牌定位和形象设计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形象设计方面，我们建议注重核辐射产品项目的艺术价值和文化内涵，同时要体现核辐射产品项目的创新性和现代感。形象设计应该与品牌定位相一致，符合目标受众的需求和喜好。在形象设计的过程中，我们建议加强与艺术设计领域的合作和交流，吸收优秀的艺术设计资源和创意灵感，提升核辐射产品项目的形象设计水平和艺术价值。</w:t>
      </w:r>
    </w:p>
    <w:p>
      <w:pPr>
        <w:ind w:firstLine="560" w:firstLineChars="200"/>
        <w:rPr>
          <w:rFonts w:ascii="仿宋" w:eastAsia="仿宋" w:hAnsi="仿宋" w:cs="仿宋" w:hint="eastAsia"/>
          <w:sz w:val="28"/>
        </w:rPr>
        <w:sectPr>
          <w:headerReference w:type="default" r:id="rId19"/>
          <w:footerReference w:type="default" r:id="rId20"/>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品牌定位和形象设计需要结合起来，才能实现核辐射产品项目的成功。我们建议将核辐射产品项目的文化内涵和艺术价值融入到品牌定位和形象设计中，打造具有独特性和艺术感的核辐射产品项目形象。同时，我们建议通过市场宣传和推广等形式，加强核辐射产品项目的品牌宣传和形象推广，提升核辐射产品项目的知名度和美誉度。</w:t>
      </w:r>
    </w:p>
    <w:p>
      <w:pPr>
        <w:pStyle w:val="Heading2"/>
        <w:ind w:firstLine="560" w:firstLineChars="200"/>
        <w:rPr>
          <w:rFonts w:ascii="仿宋" w:eastAsia="仿宋" w:hAnsi="仿宋" w:cs="仿宋" w:hint="eastAsia"/>
          <w:sz w:val="28"/>
          <w:lang w:eastAsia="zh-CN"/>
        </w:rPr>
      </w:pPr>
      <w:bookmarkStart w:id="12" w:name="_Toc26738"/>
      <w:r>
        <w:rPr>
          <w:rFonts w:ascii="仿宋" w:eastAsia="仿宋" w:hAnsi="仿宋" w:cs="仿宋" w:hint="eastAsia"/>
          <w:sz w:val="28"/>
          <w:lang w:eastAsia="zh-CN"/>
        </w:rPr>
        <w:t>(二)、品牌传播和推广策略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品牌传播的内容方面，我们建议注重内容的创新和多样化，制作有吸引力的视频、图片、文字等内容，通过有趣的故事和互动性强的形式，吸引目标受众的关注和参与。同时，我们建议加强与媒体的合作和交流，扩大核辐射产品项目的曝光度和影响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品牌传播的方式方面，我们建议注重社交化和口碑营销，通过社交媒体、微信公众号等平台，加强与目标受众的互动和交流，建立品牌与目标受众之间的情感联系和信任关系。同时，我们建议加强与品牌代言人和意见领袖的合作和交流，通过他们的影响力和口碑，推动核辐射产品项目的品牌传播和推广。</w:t>
      </w:r>
    </w:p>
    <w:p>
      <w:pPr>
        <w:pStyle w:val="Heading2"/>
        <w:ind w:firstLine="560" w:firstLineChars="200"/>
        <w:rPr>
          <w:rFonts w:ascii="仿宋" w:eastAsia="仿宋" w:hAnsi="仿宋" w:cs="仿宋" w:hint="eastAsia"/>
          <w:sz w:val="28"/>
          <w:lang w:eastAsia="zh-CN"/>
        </w:rPr>
      </w:pPr>
      <w:bookmarkStart w:id="13" w:name="_Toc24753"/>
      <w:r>
        <w:rPr>
          <w:rFonts w:ascii="仿宋" w:eastAsia="仿宋" w:hAnsi="仿宋" w:cs="仿宋" w:hint="eastAsia"/>
          <w:sz w:val="28"/>
          <w:lang w:eastAsia="zh-CN"/>
        </w:rPr>
        <w:t>(三)、品牌保护和危机管理</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加强知识产权的保护，包括商标、专利、版权等方面的保护。同时，注重品牌形象的塑造和维护，制定相应的品牌形象管理制度，加强对品牌形象的监管和维护。建立长期稳定的合作关系，共同维护核辐射产品项目的品牌形象和声誉。</w:t>
      </w:r>
    </w:p>
    <w:p>
      <w:pPr>
        <w:ind w:firstLine="560" w:firstLineChars="200"/>
        <w:rPr>
          <w:rFonts w:ascii="仿宋" w:eastAsia="仿宋" w:hAnsi="仿宋" w:cs="仿宋" w:hint="eastAsia"/>
          <w:sz w:val="28"/>
        </w:rPr>
        <w:sectPr>
          <w:headerReference w:type="default" r:id="rId21"/>
          <w:footerReference w:type="default" r:id="rId22"/>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危机管理方面，我们建议制定完善的应急预案和危机公关方案，加强对危机事件的预测和预警，及时采取相应的措施和应对方案，有效地控制危机事件的影响和损失。加强与媒体和公众的沟通和交流，及时发布危机事件的处理情况和进展，建立公众信任和支持，减轻危机事件对核辐射产品项目的负面影响。</w:t>
      </w:r>
    </w:p>
    <w:p>
      <w:pPr>
        <w:pStyle w:val="Heading1"/>
        <w:ind w:firstLine="560" w:firstLineChars="200"/>
        <w:rPr>
          <w:rFonts w:ascii="仿宋" w:eastAsia="仿宋" w:hAnsi="仿宋" w:cs="仿宋" w:hint="eastAsia"/>
          <w:sz w:val="28"/>
          <w:lang w:eastAsia="zh-CN"/>
        </w:rPr>
      </w:pPr>
      <w:bookmarkStart w:id="14" w:name="_Toc1331"/>
      <w:r>
        <w:rPr>
          <w:rFonts w:ascii="仿宋" w:eastAsia="仿宋" w:hAnsi="仿宋" w:cs="仿宋" w:hint="eastAsia"/>
          <w:sz w:val="28"/>
          <w:lang w:eastAsia="zh-CN"/>
        </w:rPr>
        <w:t>四、文化内涵和艺术价值</w:t>
      </w:r>
      <w:bookmarkEnd w:id="14"/>
    </w:p>
    <w:p>
      <w:pPr>
        <w:pStyle w:val="Heading2"/>
        <w:rPr>
          <w:rFonts w:ascii="仿宋" w:eastAsia="仿宋" w:hAnsi="仿宋" w:cs="仿宋" w:hint="eastAsia"/>
          <w:lang w:eastAsia="zh-CN"/>
        </w:rPr>
      </w:pPr>
      <w:bookmarkStart w:id="15" w:name="_Toc16605"/>
      <w:r>
        <w:rPr>
          <w:rFonts w:ascii="仿宋" w:eastAsia="仿宋" w:hAnsi="仿宋" w:cs="仿宋" w:hint="eastAsia"/>
          <w:lang w:eastAsia="zh-CN"/>
        </w:rPr>
        <w:t>(一)、核辐射产品项目与文化内涵的结合方式</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将核辐射产品项目与文化内涵结合起来，既可以丰富核辐射产品项目的内涵，又可以促进文化传承和发展。我们考虑了核辐射产品项目与文化内涵的关系，包括核辐射产品项目的主题、文化背景和文化价值等方面。我们还考虑了文化内涵与核辐射产品项目的市场竞争力之间的关系，以确保核辐射产品项目在文化内涵的框架内合法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产品项目与文化内涵的结合方式总结中，我们提出了相应的结合方案。我们建议采取多种结合方式，包括文化创意设计、文化主题营销、文化活动策划和文化资源整合等方面。我们还建议加强与文化领域的合作和交流，以吸收优秀的文化资源和传统文化元素，提升核辐射产品项目的文化内涵和文化价值。同时，我们强调了文化内涵与市场需求之间的平衡，建议在核辐射产品项目的设计和开发过程中，充分考虑市场需求和文化内涵，以确保核辐射产品项目在市场上的竞争力和可持续发展。</w:t>
      </w:r>
    </w:p>
    <w:p>
      <w:pPr>
        <w:pStyle w:val="Heading2"/>
        <w:ind w:firstLine="560" w:firstLineChars="200"/>
        <w:rPr>
          <w:rFonts w:ascii="仿宋" w:eastAsia="仿宋" w:hAnsi="仿宋" w:cs="仿宋" w:hint="eastAsia"/>
          <w:sz w:val="28"/>
          <w:lang w:eastAsia="zh-CN"/>
        </w:rPr>
      </w:pPr>
      <w:bookmarkStart w:id="16" w:name="_Toc24444"/>
      <w:r>
        <w:rPr>
          <w:rFonts w:ascii="仿宋" w:eastAsia="仿宋" w:hAnsi="仿宋" w:cs="仿宋" w:hint="eastAsia"/>
          <w:sz w:val="28"/>
          <w:lang w:eastAsia="zh-CN"/>
        </w:rPr>
        <w:t>(二)、核辐射产品项目产品的艺术价值分析</w:t>
      </w:r>
      <w:bookmarkEnd w:id="16"/>
    </w:p>
    <w:p>
      <w:pPr>
        <w:ind w:firstLine="560" w:firstLineChars="200"/>
        <w:rPr>
          <w:rFonts w:ascii="仿宋" w:eastAsia="仿宋" w:hAnsi="仿宋" w:cs="仿宋" w:hint="eastAsia"/>
          <w:sz w:val="28"/>
        </w:rPr>
        <w:sectPr>
          <w:headerReference w:type="default" r:id="rId23"/>
          <w:footerReference w:type="default" r:id="rId24"/>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艺术类项目，核辐射产品项目的产品应该具有一定的艺术价值，以吸引目标受众并提升核辐射产品项目的市场竞争力。我们考虑了核辐射产品项目产品的艺术特征和艺术价值，包括创意性、审美价值和文化内涵等方面。我们还考虑了艺术价值与核辐射产品项目的商业价值之间的关系，以确保核辐射产品项目产品在艺术价值的框架内合法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辐射产品项目产品的艺术价值分析总结中，我们提出了相应的建议和措施。我们建议加强对核辐射产品项目产品的艺术设计和创意性，以提升产品的艺术价值和审美价值。我们还建议加强与艺术领域的合作和交流，以吸收优秀的艺术资源和创意灵感，提升核辐射产品项目产品的艺术内涵和艺术价值。同时，我们强调了艺术价值与商业价值的平衡，建议在核辐射产品项目产品的设计和开发过程中，充分考虑商业价值和市场需求，以确保核辐射产品项目产品在市场上的竞争力和可持续发展。</w:t>
      </w:r>
    </w:p>
    <w:p>
      <w:pPr>
        <w:pStyle w:val="Heading2"/>
        <w:ind w:firstLine="560" w:firstLineChars="200"/>
        <w:rPr>
          <w:rFonts w:ascii="仿宋" w:eastAsia="仿宋" w:hAnsi="仿宋" w:cs="仿宋" w:hint="eastAsia"/>
          <w:sz w:val="28"/>
          <w:lang w:eastAsia="zh-CN"/>
        </w:rPr>
      </w:pPr>
      <w:bookmarkStart w:id="17" w:name="_Toc26430"/>
      <w:r>
        <w:rPr>
          <w:rFonts w:ascii="仿宋" w:eastAsia="仿宋" w:hAnsi="仿宋" w:cs="仿宋" w:hint="eastAsia"/>
          <w:sz w:val="28"/>
          <w:lang w:eastAsia="zh-CN"/>
        </w:rPr>
        <w:t>(三)、文化传承和艺术创新的策略探讨</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实现核辐射产品项目的成功，我们认为需要同时注重文化传承和艺术创新。在文化传承方面，我们建议加强对传统文化的研究和挖掘，发掘传统文化中蕴含的艺术元素，并将其融入到核辐射产品项目的设计和开发中。这样可以保证核辐射产品项目在艺术创新的基础上，不失传统文化的内涵和价值。同时，我们建议加强对传统文化的保护和传承，以确保核辐射产品项目在文化传承方面具有可持续性和长远发展的潜力。</w:t>
      </w:r>
    </w:p>
    <w:p>
      <w:pPr>
        <w:ind w:firstLine="560" w:firstLineChars="200"/>
        <w:rPr>
          <w:rFonts w:ascii="仿宋" w:eastAsia="仿宋" w:hAnsi="仿宋" w:cs="仿宋" w:hint="eastAsia"/>
          <w:sz w:val="28"/>
        </w:rPr>
        <w:sectPr>
          <w:headerReference w:type="default" r:id="rId25"/>
          <w:footerReference w:type="default" r:id="rId26"/>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创新方面，我们建议加强对艺术创意的研究和创新，提升核辐射产品项目的艺术价值和创新性。我们认为，艺术创新是核辐射产品项目成功的关键之一，因此需要不断地进行尝试和探索，以实现核辐射产品项目的艺术创新和发展。同时，我们建议加强与艺术领域的合作和交流，吸收优秀的艺术资源和创意灵感，促进核辐射产品项目的艺术创新和发展。</w:t>
      </w:r>
    </w:p>
    <w:p>
      <w:pPr>
        <w:pStyle w:val="Heading1"/>
        <w:ind w:firstLine="560" w:firstLineChars="200"/>
        <w:rPr>
          <w:rFonts w:ascii="仿宋" w:eastAsia="仿宋" w:hAnsi="仿宋" w:cs="仿宋" w:hint="eastAsia"/>
          <w:sz w:val="28"/>
          <w:lang w:eastAsia="zh-CN"/>
        </w:rPr>
      </w:pPr>
      <w:bookmarkStart w:id="18" w:name="_Toc23501"/>
      <w:r>
        <w:rPr>
          <w:rFonts w:ascii="仿宋" w:eastAsia="仿宋" w:hAnsi="仿宋" w:cs="仿宋" w:hint="eastAsia"/>
          <w:sz w:val="28"/>
          <w:lang w:eastAsia="zh-CN"/>
        </w:rPr>
        <w:t>五、核辐射产品行业未来技术发展趋势</w:t>
      </w:r>
      <w:bookmarkEnd w:id="18"/>
    </w:p>
    <w:p>
      <w:pPr>
        <w:pStyle w:val="Heading1"/>
        <w:rPr>
          <w:rFonts w:ascii="仿宋" w:eastAsia="仿宋" w:hAnsi="仿宋" w:cs="仿宋" w:hint="eastAsia"/>
          <w:lang w:eastAsia="zh-CN"/>
        </w:rPr>
      </w:pPr>
      <w:bookmarkStart w:id="19" w:name="_Toc30347"/>
      <w:r>
        <w:rPr>
          <w:rFonts w:ascii="仿宋" w:eastAsia="仿宋" w:hAnsi="仿宋" w:cs="仿宋" w:hint="eastAsia"/>
          <w:lang w:eastAsia="zh-CN"/>
        </w:rPr>
        <w:t>六、消防安全</w:t>
      </w:r>
      <w:bookmarkEnd w:id="19"/>
    </w:p>
    <w:p>
      <w:pPr>
        <w:pStyle w:val="Heading2"/>
        <w:rPr>
          <w:rFonts w:ascii="仿宋" w:eastAsia="仿宋" w:hAnsi="仿宋" w:cs="仿宋" w:hint="eastAsia"/>
          <w:lang w:eastAsia="zh-CN"/>
        </w:rPr>
      </w:pPr>
      <w:bookmarkStart w:id="20" w:name="_Toc10554"/>
      <w:r>
        <w:rPr>
          <w:rFonts w:ascii="仿宋" w:eastAsia="仿宋" w:hAnsi="仿宋" w:cs="仿宋" w:hint="eastAsia"/>
          <w:lang w:eastAsia="zh-CN"/>
        </w:rPr>
        <w:t>(一)、核辐射产品项目消防设计依据及原则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消防设计依据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消防设计的基础是一系列相关法规、规范以及标准，这些包括但不限于《建筑设计防火规范》、《高层民用建筑设计防火规范》和《建筑内部装修设计防火规范》。这些法规、规范和标准提供了详细的指导，确保消防设计在各个方面都能够合乎要求。通过这些规定，确保建筑在火灾发生时能够高效地进行人员疏散、火灾扑救和灭火救援，从而最大程度地保障人们的生命安全和财产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消防设计原则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消防设计应该秉持一系列原则，以确保建筑在火灾情况下的应对能力。这些原则包括：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人员生命安全优先：消防设计的首要目标是保障人员的生命安全。无论何时，建筑都应该为人员提供适当的疏散途径和安全设施，以确保他们在火灾发生时能够快速安全地离开。</w:t>
      </w:r>
    </w:p>
    <w:p>
      <w:pPr>
        <w:ind w:firstLine="560" w:firstLineChars="200"/>
        <w:rPr>
          <w:rFonts w:ascii="仿宋" w:eastAsia="仿宋" w:hAnsi="仿宋" w:cs="仿宋" w:hint="eastAsia"/>
          <w:sz w:val="28"/>
        </w:rPr>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财产损失最小化：除了关注人员安全，消防设计也应该致力于降低火灾对财产造成的损失。这可以通过采用耐火材料、合理划分建筑内部空间、设置火灾隔离区等手段来实现。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便于扑救和恢复使用：消防设计还应该考虑消防队员的扑救行动，以及火灾后建筑的恢复使用。为消防人员提供足够的通道和资源，以便他们能够迅速、有效地进行火灾扑救。同时，设计也应该便于火灾后建筑的修复和重新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预防为主：消防设计强调预防为主，意味着在建筑规划和设计阶段，就应该考虑防火措施。根据建筑的特性和用途，采取相应的防火手段，如设置防火分区、配置自动消防系统等。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疏散和逃生通道：消防设计必须确保建筑内部设置了合适的疏散通道和逃生设施。这包括设立明确的疏散标志、紧急照明系统和疏散楼梯等，以便人员在火灾发生时能够快速有序地离开危险区域。</w:t>
      </w:r>
    </w:p>
    <w:p>
      <w:pPr>
        <w:pStyle w:val="Heading2"/>
        <w:ind w:firstLine="560" w:firstLineChars="200"/>
        <w:rPr>
          <w:rFonts w:ascii="仿宋" w:eastAsia="仿宋" w:hAnsi="仿宋" w:cs="仿宋" w:hint="eastAsia"/>
          <w:sz w:val="28"/>
          <w:lang w:eastAsia="zh-CN"/>
        </w:rPr>
      </w:pPr>
      <w:bookmarkStart w:id="21" w:name="_Toc999"/>
      <w:r>
        <w:rPr>
          <w:rFonts w:ascii="仿宋" w:eastAsia="仿宋" w:hAnsi="仿宋" w:cs="仿宋" w:hint="eastAsia"/>
          <w:sz w:val="28"/>
          <w:lang w:eastAsia="zh-CN"/>
        </w:rPr>
        <w:t>(二)、核辐射产品项目火灾危险性分析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核辐射产品项目火灾危险性综述：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对核辐射产品项目的火灾危险性进行全面分析和评估是一项必要的工作。在这个过程中，我们会考虑诸多因素，包括建筑的结构、所使用的材料、电气设备的配置等等。通过综合考虑这些因素，我们能够准确地确定核辐射产品项目可能面临的火灾风险区域以及其严重程度。这为我们采取相应的防火措施和应急预案提供了有力支持，以降低火灾风险，保护人员和财产的安全。</w:t>
      </w:r>
    </w:p>
    <w:p>
      <w:pPr>
        <w:ind w:firstLine="560" w:firstLineChars="200"/>
        <w:rPr>
          <w:rFonts w:ascii="仿宋" w:eastAsia="仿宋" w:hAnsi="仿宋" w:cs="仿宋" w:hint="eastAsia"/>
          <w:sz w:val="28"/>
        </w:rPr>
        <w:sectPr>
          <w:headerReference w:type="default" r:id="rId29"/>
          <w:footerReference w:type="default" r:id="rId30"/>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核辐射产品项目电气：</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电气系统在核辐射产品项目中扮演着至关重要的角色，包括发电、能源分配和电气设备。为确保这些系统的安全性和可靠性，我们将严格遵循相关的电气法规和标准。这涵盖了正确的设备安装、合适的线缆选择，以及设立适当的电路保护机制。我们的目标是确保电气系统能够正常运行，避免电气故障可能导致的火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核辐射产品项目排水、采暖与通风：</w:t>
      </w:r>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中的排水、采暖和通风系统对建筑物的舒适性和安全性至关重要。排水系统需要能够有效处理废水，确保不会引发火灾和环境问题。采暖系统需要稳定运行，为建筑物提供舒适的温度，同时确保系统的安全性。通风系统需要保证室内空气流通，减少火灾发生的可能性。我们将遵循建筑法规和标准，确保这些系统在设计和运行中的安全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核辐射产品项目主要火灾风险规避措施：</w:t>
      </w:r>
    </w:p>
    <w:p>
      <w:pPr>
        <w:ind w:firstLine="560" w:firstLineChars="200"/>
        <w:rPr>
          <w:rFonts w:ascii="仿宋" w:eastAsia="仿宋" w:hAnsi="仿宋" w:cs="仿宋" w:hint="eastAsia"/>
          <w:sz w:val="28"/>
        </w:rPr>
        <w:sectPr>
          <w:headerReference w:type="default" r:id="rId31"/>
          <w:footerReference w:type="default" r:id="rId32"/>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在核辐射产品项目的各个阶段采取一系列措施来规避主要的火灾风险。首先，从建筑的规划和施工开始，我们将遵循相关法规和标准，确保建筑结构和电气系统的合规性。其次，废水处理将遵循环保法规，避免废水排放可能引发的安全隐患。此外，在核辐射产品项目的运营阶段，我们将定期进行消防安全检查和员工培训，提高员工的安全意识和应急处理能力，以便在火灾发生时能够迅速响应。综合考虑，我们的目标是通过一系列火灾风险规避措施，确保核辐射产品项目在各个环节都能够安全运行，最大限度地降低火灾风险对人员和财产造成的威胁。</w:t>
      </w:r>
    </w:p>
    <w:p>
      <w:pPr>
        <w:pStyle w:val="Heading1"/>
        <w:ind w:firstLine="560" w:firstLineChars="200"/>
        <w:rPr>
          <w:rFonts w:ascii="仿宋" w:eastAsia="仿宋" w:hAnsi="仿宋" w:cs="仿宋" w:hint="eastAsia"/>
          <w:sz w:val="28"/>
          <w:lang w:eastAsia="zh-CN"/>
        </w:rPr>
      </w:pPr>
      <w:bookmarkStart w:id="22" w:name="_Toc26984"/>
      <w:r>
        <w:rPr>
          <w:rFonts w:ascii="仿宋" w:eastAsia="仿宋" w:hAnsi="仿宋" w:cs="仿宋" w:hint="eastAsia"/>
          <w:sz w:val="28"/>
          <w:lang w:eastAsia="zh-CN"/>
        </w:rPr>
        <w:t>七、工程设计方案</w:t>
      </w:r>
      <w:bookmarkEnd w:id="22"/>
    </w:p>
    <w:p>
      <w:pPr>
        <w:pStyle w:val="Heading2"/>
        <w:rPr>
          <w:rFonts w:ascii="仿宋" w:eastAsia="仿宋" w:hAnsi="仿宋" w:cs="仿宋" w:hint="eastAsia"/>
          <w:lang w:eastAsia="zh-CN"/>
        </w:rPr>
      </w:pPr>
      <w:bookmarkStart w:id="23" w:name="_Toc12091"/>
      <w:r>
        <w:rPr>
          <w:rFonts w:ascii="仿宋" w:eastAsia="仿宋" w:hAnsi="仿宋" w:cs="仿宋" w:hint="eastAsia"/>
          <w:lang w:eastAsia="zh-CN"/>
        </w:rPr>
        <w:t>(一)、总图布置</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核辐射产品项目总体规划目标：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强调制定总体规划的目标和意义，如合理利用资源、提高效率、满足需求、实现可持续发展等。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提醒核辐射产品项目团队将核辐射产品项目总体规划与核辐射产品项目的目标和战略一致，确保规划的有效性和可行性。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地理位置和环境特点：</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描述核辐射产品项目所处的地理位置和环境特点，包括气候条件、地形地貌、自然资源等。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强调充分了解核辐射产品项目所在地的特点和限制，为总体规划提供科学依据。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用地布局和功能划分：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提出合理的用地布局和功能划分方案，确保各个功能区域的相互协调和便利性。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强调考虑核辐射产品项目的规模、功能需求、交通便捷性、环境保护等因素，进行用地布局和功能划分。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基础设施规划：</w:t>
      </w:r>
    </w:p>
    <w:p>
      <w:pPr>
        <w:ind w:firstLine="560" w:firstLineChars="200"/>
        <w:rPr>
          <w:rFonts w:ascii="仿宋" w:eastAsia="仿宋" w:hAnsi="仿宋" w:cs="仿宋" w:hint="eastAsia"/>
          <w:sz w:val="28"/>
        </w:rPr>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强调规划和布置核辐射产品项目所需的基础设施，如道路、供水、供电、通信等。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提出基础设施规划的原则和要求，确保基础设施的可靠性、安全性和可持续性。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空间布局和建筑设计：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描述核辐射产品项目的空间布局和建筑设计方案，包括建筑风格、建筑高度、景观设计等。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强调考虑核辐射产品项目的功能需求、美观性、可持续性等因素，进行空间布局和建筑设计。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交通规划和交通组织：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提出核辐射产品项目的交通规划和交通组织方案，包括道路布置、交通流量分析、停车规划等。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强调考虑交通的便捷性、安全性和环保性，制定科学合理的交通规划和交通组织方案。</w:t>
      </w:r>
    </w:p>
    <w:p>
      <w:pPr>
        <w:pStyle w:val="Heading2"/>
        <w:ind w:firstLine="560" w:firstLineChars="200"/>
        <w:rPr>
          <w:rFonts w:ascii="仿宋" w:eastAsia="仿宋" w:hAnsi="仿宋" w:cs="仿宋" w:hint="eastAsia"/>
          <w:sz w:val="28"/>
          <w:lang w:eastAsia="zh-CN"/>
        </w:rPr>
      </w:pPr>
      <w:bookmarkStart w:id="24" w:name="_Toc13810"/>
      <w:r>
        <w:rPr>
          <w:rFonts w:ascii="仿宋" w:eastAsia="仿宋" w:hAnsi="仿宋" w:cs="仿宋" w:hint="eastAsia"/>
          <w:sz w:val="28"/>
          <w:lang w:eastAsia="zh-CN"/>
        </w:rPr>
        <w:t>(二)、建筑设计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核辐射产品项目设计目标和原则：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描述建筑设计的目标和原则，如满足功能需求、体现美学价值、提高空间利用效率等。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强调将设计与核辐射产品项目的整体规划和定位相一致，确保设计方案的可行性和有效性。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建筑类型和功能需求：</w:t>
      </w:r>
    </w:p>
    <w:p>
      <w:pPr>
        <w:ind w:firstLine="560" w:firstLineChars="200"/>
        <w:rPr>
          <w:rFonts w:ascii="仿宋" w:eastAsia="仿宋" w:hAnsi="仿宋" w:cs="仿宋" w:hint="eastAsia"/>
          <w:sz w:val="28"/>
        </w:rPr>
        <w:sectPr>
          <w:headerReference w:type="default" r:id="rId35"/>
          <w:footerReference w:type="default" r:id="rId36"/>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根据核辐射产品项目的特点和需求，确定适合的建筑类型和功能需求，如办公楼、商业综合体、住宅区等。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强调充分了解核辐射产品项目的功能需求和使用者的需求，为建筑设计提供科学依据。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空间布局和平面设计：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提出建筑的空间布局和平面设计方案，包括功能区划、房间布置、走廊通道等。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强调考虑空间的流动性、通风采光、舒适性等因素，制定合理的空间布局和平面设计。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结构设计和材料选择：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描述建筑的结构设计方案，包括结构类型、荷载分析、抗震设计等。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提出合适的材料选择，考虑材料的可行性、可持续性和经济性。</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建筑外观和立面设计：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强调建筑的外观和立面设计，包括建筑形态、外墙材料、色彩搭配等。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提出建筑外观和立面设计的原则和要求，确保建筑的美观性和与环境的协调性。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设备与设施规划：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提出建筑设备与设施的规划方案，包括电力供应、通风空调、给排水等。</w:t>
      </w:r>
    </w:p>
    <w:p>
      <w:pPr>
        <w:ind w:firstLine="560" w:firstLineChars="200"/>
        <w:rPr>
          <w:rFonts w:ascii="仿宋" w:eastAsia="仿宋" w:hAnsi="仿宋" w:cs="仿宋" w:hint="eastAsia"/>
          <w:sz w:val="28"/>
        </w:rPr>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强调考虑设备与设施的功能需求、能源效率和环境友好性，制定科学合理的规划方案。</w:t>
      </w:r>
    </w:p>
    <w:p>
      <w:pPr>
        <w:pStyle w:val="Heading2"/>
        <w:ind w:firstLine="560" w:firstLineChars="200"/>
        <w:rPr>
          <w:rFonts w:ascii="仿宋" w:eastAsia="仿宋" w:hAnsi="仿宋" w:cs="仿宋" w:hint="eastAsia"/>
          <w:sz w:val="28"/>
          <w:lang w:eastAsia="zh-CN"/>
        </w:rPr>
      </w:pPr>
      <w:bookmarkStart w:id="25" w:name="_Toc10154"/>
      <w:r>
        <w:rPr>
          <w:rFonts w:ascii="仿宋" w:eastAsia="仿宋" w:hAnsi="仿宋" w:cs="仿宋" w:hint="eastAsia"/>
          <w:sz w:val="28"/>
          <w:lang w:eastAsia="zh-CN"/>
        </w:rPr>
        <w:t>(三)、结构设计</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核辐射产品项目设计目标和原则：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描述结构设计的目标和原则，如确保建筑物的安全性、承载能力和抗震性等。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强调将设计与核辐射产品项目的整体规划和建筑设计相一致，确保结构设计方案的可行性和有效性。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结构类型和荷载分析：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根据核辐射产品项目的特点和要求，确定适合的结构类型，如钢结构、混凝土结构、钢混凝土结构等。</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进行荷载分析，考虑建筑物所承受的静态荷载和动态荷载，确保结构设计的合理性和安全性。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结构布局和配置：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提出建筑物的结构布局和配置方案，包括柱网、梁板系统、框架结构等。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强调考虑结构的稳定性、刚度和变形控制，制定合理的结构布局和配置方案。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抗震设计和防灾措施：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描述建筑物的抗震设计方案，包括地震作用分析、抗震设防烈度等级的确定等。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提出相应的防灾措施，如加固措施、减震措施、隔震措施等，确保建筑物在地震等自然灾害中的安全性。</w:t>
      </w:r>
    </w:p>
    <w:p>
      <w:pPr>
        <w:ind w:firstLine="560" w:firstLineChars="200"/>
        <w:rPr>
          <w:rFonts w:ascii="仿宋" w:eastAsia="仿宋" w:hAnsi="仿宋" w:cs="仿宋" w:hint="eastAsia"/>
          <w:sz w:val="28"/>
        </w:rPr>
        <w:sectPr>
          <w:headerReference w:type="default" r:id="rId39"/>
          <w:footerReference w:type="default" r:id="rId40"/>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材料选择和构造技术：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强调合适的材料选择，如钢材、混凝土、预应力混凝土等，考虑材料的强度、耐久性和可持续性。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描述适用的构造技术，如预制构件、现浇构件、施工工艺等，确保结构的施工质量和效率。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结构计算和验算：</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进行结构计算和验算，包括静力计算、动力计算、构件受力状态的分析等。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强调结构的安全性和合理性，确保结构设计符合相关的设计规范和标准。</w:t>
      </w:r>
    </w:p>
    <w:p>
      <w:pPr>
        <w:pStyle w:val="Heading2"/>
        <w:ind w:firstLine="560" w:firstLineChars="200"/>
        <w:rPr>
          <w:rFonts w:ascii="仿宋" w:eastAsia="仿宋" w:hAnsi="仿宋" w:cs="仿宋" w:hint="eastAsia"/>
          <w:sz w:val="28"/>
          <w:lang w:eastAsia="zh-CN"/>
        </w:rPr>
      </w:pPr>
      <w:bookmarkStart w:id="26" w:name="_Toc21914"/>
      <w:r>
        <w:rPr>
          <w:rFonts w:ascii="仿宋" w:eastAsia="仿宋" w:hAnsi="仿宋" w:cs="仿宋" w:hint="eastAsia"/>
          <w:sz w:val="28"/>
          <w:lang w:eastAsia="zh-CN"/>
        </w:rPr>
        <w:t>(四)、给排水设计</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核辐射产品项目设计目标和原则：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描述给排水设计的目标和原则，如满足建筑物内部用水需求、保证供水和排水的安全性和可靠性等。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强调将设计与核辐射产品项目的整体规划和建筑设计相一致，确保给排水设计方案的可行性和有效性。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用水需求和供水设计：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分析建筑物的用水需求，包括冷水、热水、消防水等方面。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提出合理的供水设计方案，考虑供水管网的布置、水源选择、水质要求等。</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排水系统设计：</w:t>
      </w:r>
    </w:p>
    <w:p>
      <w:pPr>
        <w:ind w:firstLine="560" w:firstLineChars="200"/>
        <w:rPr>
          <w:rFonts w:ascii="仿宋" w:eastAsia="仿宋" w:hAnsi="仿宋" w:cs="仿宋" w:hint="eastAsia"/>
          <w:sz w:val="28"/>
        </w:rPr>
        <w:sectPr>
          <w:headerReference w:type="default" r:id="rId41"/>
          <w:footerReference w:type="default" r:id="rId42"/>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描述建筑物的排水系统设计方案，包括污水排放、雨水排放等。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强调考虑排水管网的布置、排水设备的选择、排放标准等，确保排水系统的顺畅和环保性。</w:t>
      </w:r>
    </w:p>
    <w:p>
      <w:pPr>
        <w:ind w:firstLine="560" w:firstLineChars="200"/>
        <w:rPr>
          <w:rFonts w:ascii="仿宋" w:eastAsia="仿宋" w:hAnsi="仿宋" w:cs="仿宋" w:hint="eastAsia"/>
          <w:sz w:val="28"/>
        </w:rPr>
      </w:pPr>
      <w:r>
        <w:rPr>
          <w:rFonts w:ascii="仿宋" w:eastAsia="仿宋" w:hAnsi="仿宋" w:cs="仿宋" w:hint="eastAsia"/>
          <w:sz w:val="28"/>
          <w:lang w:eastAsia="zh-CN"/>
        </w:rPr>
        <w:t>排水设备和管道材料选择：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提出合适的排水设备选择，如下水道、污水泵站、雨水收集设施等。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考虑管道材料的选择，如PVC管、铸铁管、不锈钢管等，确保设备和管道的可靠性和耐久性。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防水设计和防污染措施：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强调建筑物的防水设计，包括地下室防水、卫生间防水等。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提出相应的防污染措施，如污水处理、雨水回收利用等，确保给排水系统的环保性和可持续性。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设备选型和施工管理：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描述给排水设备的选型和配置，考虑设备的性能、能耗和维护要求。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强调施工管理，包括施工进度控制、质量监督和安全管理，确保给排水系统的建设质量和效率。</w:t>
      </w:r>
    </w:p>
    <w:p>
      <w:pPr>
        <w:pStyle w:val="Heading2"/>
        <w:ind w:firstLine="560" w:firstLineChars="200"/>
        <w:rPr>
          <w:rFonts w:ascii="仿宋" w:eastAsia="仿宋" w:hAnsi="仿宋" w:cs="仿宋" w:hint="eastAsia"/>
          <w:sz w:val="28"/>
          <w:lang w:eastAsia="zh-CN"/>
        </w:rPr>
      </w:pPr>
      <w:bookmarkStart w:id="27" w:name="_Toc17524"/>
      <w:r>
        <w:rPr>
          <w:rFonts w:ascii="仿宋" w:eastAsia="仿宋" w:hAnsi="仿宋" w:cs="仿宋" w:hint="eastAsia"/>
          <w:sz w:val="28"/>
          <w:lang w:eastAsia="zh-CN"/>
        </w:rPr>
        <w:t>(五)、电气设计</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核辐射产品项目设计目标和原则：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描述电气设计的目标和原则，如确保建筑物的电力供应和用电安全、提高能源利用效率等。</w:t>
      </w:r>
    </w:p>
    <w:p>
      <w:pPr>
        <w:ind w:firstLine="560" w:firstLineChars="200"/>
        <w:rPr>
          <w:rFonts w:ascii="仿宋" w:eastAsia="仿宋" w:hAnsi="仿宋" w:cs="仿宋" w:hint="eastAsia"/>
          <w:sz w:val="28"/>
        </w:rPr>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强调将设计与核辐射产品项目的整体规划和建筑设计相一致，确保电气设计方案的可行性和有效性。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电力需求和供电设计：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分析建筑物的电力需求，包括照明、动力、通信、安防等方面。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提出合理的供电设计方案，考虑供电系统的布置、用电负荷计算、电源选择等。</w:t>
      </w:r>
    </w:p>
    <w:p>
      <w:pPr>
        <w:ind w:firstLine="560" w:firstLineChars="200"/>
        <w:rPr>
          <w:rFonts w:ascii="仿宋" w:eastAsia="仿宋" w:hAnsi="仿宋" w:cs="仿宋" w:hint="eastAsia"/>
          <w:sz w:val="28"/>
        </w:rPr>
      </w:pPr>
      <w:r>
        <w:rPr>
          <w:rFonts w:ascii="仿宋" w:eastAsia="仿宋" w:hAnsi="仿宋" w:cs="仿宋" w:hint="eastAsia"/>
          <w:sz w:val="28"/>
          <w:lang w:eastAsia="zh-CN"/>
        </w:rPr>
        <w:t>照明设计：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描述建筑物的照明设计方案，包括室内照明和室外照明。</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强调考虑照明的舒适性、节能性和可调节性，选择合适的照明设备和控制系统。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提出合理的动力设计方案，包括电力设备、电缆线路和配电装置等。</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考虑电力设备的选型和配置，确保电力系统的可靠性和安全性。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通信和安防设计：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描述建筑物的通信和安防设计方案，包括通信设备、网络布线和安防系统等。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强调考虑通信和安防设备的功能和互联性，确保通信和安防系统的可靠性和安全性。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能源管理和智能化控制：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强调能源管理和智能化控制的重要性，包括能源监测、节能措施和自动化控制等。</w:t>
      </w:r>
    </w:p>
    <w:p>
      <w:pPr>
        <w:ind w:firstLine="560" w:firstLineChars="200"/>
        <w:rPr>
          <w:rFonts w:ascii="仿宋" w:eastAsia="仿宋" w:hAnsi="仿宋" w:cs="仿宋" w:hint="eastAsia"/>
          <w:sz w:val="28"/>
        </w:rPr>
        <w:sectPr>
          <w:headerReference w:type="default" r:id="rId45"/>
          <w:footerReference w:type="default" r:id="rId46"/>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提出相应的能源管理和智能化控制方案，提高能源利用效率和系统运行效率。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设备选型和施工管理：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描述电气设备的选型和配置，考虑设备的性能、能耗和维护要求。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强调施工管理，包括施工进度控制、质量监督和安全管理，确保电气系统的建设质量和效率。</w:t>
      </w:r>
    </w:p>
    <w:p>
      <w:pPr>
        <w:pStyle w:val="Heading2"/>
        <w:ind w:firstLine="560" w:firstLineChars="200"/>
        <w:rPr>
          <w:rFonts w:ascii="仿宋" w:eastAsia="仿宋" w:hAnsi="仿宋" w:cs="仿宋" w:hint="eastAsia"/>
          <w:sz w:val="28"/>
          <w:lang w:eastAsia="zh-CN"/>
        </w:rPr>
      </w:pPr>
      <w:bookmarkStart w:id="28" w:name="_Toc18459"/>
      <w:r>
        <w:rPr>
          <w:rFonts w:ascii="仿宋" w:eastAsia="仿宋" w:hAnsi="仿宋" w:cs="仿宋" w:hint="eastAsia"/>
          <w:sz w:val="28"/>
          <w:lang w:eastAsia="zh-CN"/>
        </w:rPr>
        <w:t>(六)、空调通风设计</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核辐射产品项目设计目标和原则：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描述空调通风设计的目标和原则，如提供舒适的室内环境、保证空气质量和节能减排等。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强调将设计与核辐射产品项目的整体规划和建筑设计相一致，确保空调通风设计方案的可行性和有效性。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分析建筑物的空调需求，包括供冷、供热、湿度控制等方面。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提出合理的空调设计方案，考虑空调系统的布置、制冷剂选择、设备选型等。</w:t>
      </w:r>
    </w:p>
    <w:p>
      <w:pPr>
        <w:ind w:firstLine="560" w:firstLineChars="200"/>
        <w:rPr>
          <w:rFonts w:ascii="仿宋" w:eastAsia="仿宋" w:hAnsi="仿宋" w:cs="仿宋" w:hint="eastAsia"/>
          <w:sz w:val="28"/>
        </w:rPr>
      </w:pPr>
      <w:r>
        <w:rPr>
          <w:rFonts w:ascii="仿宋" w:eastAsia="仿宋" w:hAnsi="仿宋" w:cs="仿宋" w:hint="eastAsia"/>
          <w:sz w:val="28"/>
          <w:lang w:eastAsia="zh-CN"/>
        </w:rPr>
        <w:t>通风设计：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描述建筑物的通风设计方案，包括室内空气流通、新风供应等。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强调考虑通风系统的布置、通风设备的选型、空气过滤和净化等，确保室内空气质量和舒适性。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风管系统设计：</w:t>
      </w:r>
    </w:p>
    <w:p>
      <w:pPr>
        <w:ind w:firstLine="560" w:firstLineChars="200"/>
        <w:rPr>
          <w:rFonts w:ascii="仿宋" w:eastAsia="仿宋" w:hAnsi="仿宋" w:cs="仿宋" w:hint="eastAsia"/>
          <w:sz w:val="28"/>
        </w:rPr>
        <w:sectPr>
          <w:headerReference w:type="default" r:id="rId47"/>
          <w:footerReference w:type="default" r:id="rId48"/>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提出合理的风管系统设计方案，包括风管布置、风管材料选择等。</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考虑风管系统的气流阻力、噪音控制和维护要求，确保风管系统的效率和可靠性。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控制系统设计：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描述建筑物的空调通风控制系统设计方案，包括温度控制、湿度控制、风速控制等。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强调考虑控制系统的智能化和自动化，提高系统的运行效率和能源利用效率。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节能与环保措施：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强调节能与环保的重要性，提出相应的节能措施和环保设计，如余热回收、能源监测等。</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考虑使用高效节能设备、推广可再生能源等，减少对环境的影响。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设备选型和施工管理：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描述空调通风设备的选型和配置，考虑设备的性能、能耗和维护要求。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强调施工管理，包括施工进度控制、质量监督和安全管理，确保空调通风系统的建设质量和效率。</w:t>
      </w:r>
    </w:p>
    <w:p>
      <w:pPr>
        <w:pStyle w:val="Heading2"/>
        <w:ind w:firstLine="560" w:firstLineChars="200"/>
        <w:rPr>
          <w:rFonts w:ascii="仿宋" w:eastAsia="仿宋" w:hAnsi="仿宋" w:cs="仿宋" w:hint="eastAsia"/>
          <w:sz w:val="28"/>
          <w:lang w:eastAsia="zh-CN"/>
        </w:rPr>
      </w:pPr>
      <w:bookmarkStart w:id="29" w:name="_Toc24051"/>
      <w:r>
        <w:rPr>
          <w:rFonts w:ascii="仿宋" w:eastAsia="仿宋" w:hAnsi="仿宋" w:cs="仿宋" w:hint="eastAsia"/>
          <w:sz w:val="28"/>
          <w:lang w:eastAsia="zh-CN"/>
        </w:rPr>
        <w:t>(七)、其他专业设计</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描述建筑物的结构设计方案，包括主体结构和次要结构。</w:t>
      </w:r>
    </w:p>
    <w:p>
      <w:pPr>
        <w:ind w:firstLine="560" w:firstLineChars="200"/>
        <w:rPr>
          <w:rFonts w:ascii="仿宋" w:eastAsia="仿宋" w:hAnsi="仿宋" w:cs="仿宋" w:hint="eastAsia"/>
          <w:sz w:val="28"/>
        </w:rPr>
        <w:sectPr>
          <w:headerReference w:type="default" r:id="rId49"/>
          <w:footerReference w:type="default" r:id="rId50"/>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强调结构设计的安全性和稳定性，考虑建筑物的荷载、地质条件和抗震要求。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给排水设计：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分析建筑物的给水和排水需求，包括供水系统和排水系统。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提出合理的给排水设计方案，考虑供水管道的布置、排水管道的坡度和排水设备的选型。</w:t>
      </w:r>
    </w:p>
    <w:p>
      <w:pPr>
        <w:ind w:firstLine="560" w:firstLineChars="200"/>
        <w:rPr>
          <w:rFonts w:ascii="仿宋" w:eastAsia="仿宋" w:hAnsi="仿宋" w:cs="仿宋" w:hint="eastAsia"/>
          <w:sz w:val="28"/>
        </w:rPr>
      </w:pPr>
      <w:r>
        <w:rPr>
          <w:rFonts w:ascii="仿宋" w:eastAsia="仿宋" w:hAnsi="仿宋" w:cs="仿宋" w:hint="eastAsia"/>
          <w:sz w:val="28"/>
          <w:lang w:eastAsia="zh-CN"/>
        </w:rPr>
        <w:t>暖通设计：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描述建筑物的暖通设计方案，包括供暖系统和通风系统。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强调考虑供暖设备的选型、供暖方式的选择和通风系统的设计，确保室内温度和空气质量的舒适性。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提出合理的景观设计方案，考虑建筑物周围的绿化、景观布置和景观设施的设计。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强调景观设计的美观性、生态性和可持续性，营造良好的环境氛围。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描述建筑物的室内设计方案，包括空间布局、装饰材料和家具摆放等。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强调室内设计的功能性和美观性，考虑使用者的需求和舒适感。</w:t>
      </w:r>
    </w:p>
    <w:p>
      <w:pPr>
        <w:ind w:firstLine="560" w:firstLineChars="200"/>
        <w:rPr>
          <w:rFonts w:ascii="仿宋" w:eastAsia="仿宋" w:hAnsi="仿宋" w:cs="仿宋" w:hint="eastAsia"/>
          <w:sz w:val="28"/>
        </w:rPr>
      </w:pPr>
      <w:r>
        <w:rPr>
          <w:rFonts w:ascii="仿宋" w:eastAsia="仿宋" w:hAnsi="仿宋" w:cs="仿宋" w:hint="eastAsia"/>
          <w:sz w:val="28"/>
          <w:lang w:eastAsia="zh-CN"/>
        </w:rPr>
        <w:t>消防设计：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提出合理的消防设计方案，包括火灾报警系统、灭火设备和疏散通道等。</w:t>
      </w:r>
    </w:p>
    <w:p>
      <w:pPr>
        <w:ind w:firstLine="560" w:firstLineChars="200"/>
        <w:rPr>
          <w:rFonts w:ascii="仿宋" w:eastAsia="仿宋" w:hAnsi="仿宋" w:cs="仿宋" w:hint="eastAsia"/>
          <w:sz w:val="28"/>
        </w:rPr>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考虑消防设备的选型和布置，确保建筑物的火灾安全性和人员疏散的顺畅性。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强调智能化设计的重要性，包括智能家居系统、自动化控制和信息化管理等。</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提出相应的智能化设计方案，提高建筑物的智能化程度和运行效率。</w:t>
      </w:r>
    </w:p>
    <w:p>
      <w:pPr>
        <w:pStyle w:val="Heading1"/>
        <w:ind w:firstLine="560" w:firstLineChars="200"/>
        <w:rPr>
          <w:rFonts w:ascii="仿宋" w:eastAsia="仿宋" w:hAnsi="仿宋" w:cs="仿宋" w:hint="eastAsia"/>
          <w:sz w:val="28"/>
          <w:lang w:eastAsia="zh-CN"/>
        </w:rPr>
      </w:pPr>
      <w:bookmarkStart w:id="30" w:name="_Toc17838"/>
      <w:r>
        <w:rPr>
          <w:rFonts w:ascii="仿宋" w:eastAsia="仿宋" w:hAnsi="仿宋" w:cs="仿宋" w:hint="eastAsia"/>
          <w:sz w:val="28"/>
          <w:lang w:eastAsia="zh-CN"/>
        </w:rPr>
        <w:t>八、跨行业合作与创新</w:t>
      </w:r>
      <w:bookmarkEnd w:id="30"/>
    </w:p>
    <w:p>
      <w:pPr>
        <w:pStyle w:val="Heading2"/>
        <w:rPr>
          <w:rFonts w:ascii="仿宋" w:eastAsia="仿宋" w:hAnsi="仿宋" w:cs="仿宋" w:hint="eastAsia"/>
          <w:lang w:eastAsia="zh-CN"/>
        </w:rPr>
      </w:pPr>
      <w:bookmarkStart w:id="31" w:name="_Toc12199"/>
      <w:r>
        <w:rPr>
          <w:rFonts w:ascii="仿宋" w:eastAsia="仿宋" w:hAnsi="仿宋" w:cs="仿宋" w:hint="eastAsia"/>
          <w:lang w:eastAsia="zh-CN"/>
        </w:rPr>
        <w:t>(一)、与其他行业合作的潜力</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互补资源和技术：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与其他行业合作可以实现资源和技术的互补。不同行业拥有不同的专业知识、技术和资源，通过合作可以共享这些资源，实现优势互补。例如，技术行业与制造行业的合作可以将先进的技术应用于制造过程，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共同创新和研发：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与其他行业合作可以促进共同创新和研发。不同行业的专业知识和经验可以相互借鉴，激发创新思维，推动新产品和服务的开发。通过合作，可以集聚各方的智慧和创造力，加速创新过程，提高研发效率和成果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市场拓展和渠道扩展：</w:t>
      </w:r>
    </w:p>
    <w:p>
      <w:pPr>
        <w:ind w:firstLine="560" w:firstLineChars="200"/>
        <w:rPr>
          <w:rFonts w:ascii="仿宋" w:eastAsia="仿宋" w:hAnsi="仿宋" w:cs="仿宋" w:hint="eastAsia"/>
          <w:sz w:val="28"/>
        </w:rPr>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其他行业合作可以帮助拓展市场和扩展销售渠道。合作伙伴可能拥有不同的客户群体和市场渠道，通过合作可以进入新的市场领域，扩大产品或服务的覆盖范围。这种合作可以带来更广阔的市场机会和增加销售额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行业间的协同效应：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行业间的合作可以带来协同效应。通过合作，不同行业的企业可以共同解决行业面临的挑战和问题，共享最佳实践和经验，提高整体效能。这种协同效应可以促进行业的发展和创新，提升整个产业链的竞争力。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跨界融合和创造新的商业模式：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与其他行业合作可以促成跨界融合，创造新的商业模式。不同行业的结合可以创造出独特的产品或服务，满足消费者不断变化的需求。通过跨界融合，可以打造全新的商业模式，开辟新的市场空间，获得竞争优势。</w:t>
      </w:r>
    </w:p>
    <w:p>
      <w:pPr>
        <w:pStyle w:val="Heading2"/>
        <w:ind w:firstLine="560" w:firstLineChars="200"/>
        <w:rPr>
          <w:rFonts w:ascii="仿宋" w:eastAsia="仿宋" w:hAnsi="仿宋" w:cs="仿宋" w:hint="eastAsia"/>
          <w:sz w:val="28"/>
          <w:lang w:eastAsia="zh-CN"/>
        </w:rPr>
      </w:pPr>
      <w:bookmarkStart w:id="32" w:name="_Toc30576"/>
      <w:r>
        <w:rPr>
          <w:rFonts w:ascii="仿宋" w:eastAsia="仿宋" w:hAnsi="仿宋" w:cs="仿宋" w:hint="eastAsia"/>
          <w:sz w:val="28"/>
          <w:lang w:eastAsia="zh-CN"/>
        </w:rPr>
        <w:t>(二)、交叉行业创新和合作策略</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跨界融合和创新思维：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交叉行业创新和合作可以促成跨界融合，将不同行业的专业知识和经验相互结合。这种跨界融合可以激发创新思维，打破传统行业壁垒，引入新的观念和方法。通过跨界融合，可以创造出独特的产品或服务，满足消费者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创造新的商业模式：</w:t>
      </w:r>
    </w:p>
    <w:p>
      <w:pPr>
        <w:ind w:firstLine="560" w:firstLineChars="200"/>
        <w:rPr>
          <w:rFonts w:ascii="仿宋" w:eastAsia="仿宋" w:hAnsi="仿宋" w:cs="仿宋" w:hint="eastAsia"/>
          <w:sz w:val="28"/>
        </w:rPr>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交叉行业创新和合作可以带来创造新的商业模式的机会。不同行业的结合可以打造全新的商业模式，开辟新的市场空间。通过创造新的商业模式，可以实现差异化竞争，提供独特的价值主张，获得市场竞争优势。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共享资源和合作伙伴：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交叉行业创新和合作可以实现资源的共享和合作伙伴的联合。不同行业拥有不同的资源和专业能力，通过合作可以共享这些资源，实现互利共赢。合作伙伴可以提供补充性的技术、市场渠道、品牌影响力等，为核辐射产品项目的成功实施提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市场拓展和用户群体扩大：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交叉行业创新和合作可以帮助拓展市场和扩大用户群体。不同行业的合作可以进入新的市场领域，吸引新的用户群体。通过合作，可以共同开发适应不同行业需求的产品或服务，满足更广泛的市场需求。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风险分散和创新生态系统建设：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交叉行业创新和合作可以分散风险，减少对单一行业的依赖。通过建立创新生态系统，吸引不同行业的企业和创新者参与合作，形成合作共赢的格局。这种生态系统可以促进创新的持续发展，形成良性循环。</w:t>
      </w:r>
    </w:p>
    <w:p>
      <w:pPr>
        <w:pStyle w:val="Heading2"/>
        <w:ind w:firstLine="560" w:firstLineChars="200"/>
        <w:rPr>
          <w:rFonts w:ascii="仿宋" w:eastAsia="仿宋" w:hAnsi="仿宋" w:cs="仿宋" w:hint="eastAsia"/>
          <w:sz w:val="28"/>
          <w:lang w:eastAsia="zh-CN"/>
        </w:rPr>
      </w:pPr>
      <w:bookmarkStart w:id="33" w:name="_Toc4963"/>
      <w:r>
        <w:rPr>
          <w:rFonts w:ascii="仿宋" w:eastAsia="仿宋" w:hAnsi="仿宋" w:cs="仿宋" w:hint="eastAsia"/>
          <w:sz w:val="28"/>
          <w:lang w:eastAsia="zh-CN"/>
        </w:rPr>
        <w:t>(三)、产业生态系统的参与和合作机会</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资源整合和共享：</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7" w:history="1">
        <w:r>
          <w:rPr>
            <w:rFonts w:ascii="SimSun" w:eastAsia="SimSun" w:hAnsi="SimSun" w:cs="SimSun"/>
            <w:b/>
            <w:bCs/>
            <w:color w:val="0000EE"/>
            <w:kern w:val="0"/>
            <w:sz w:val="30"/>
            <w:szCs w:val="30"/>
            <w:u w:val="single" w:color="0000EE"/>
          </w:rPr>
          <w:t>https://d.book118.com/828053117003006023</w:t>
        </w:r>
      </w:hyperlink>
    </w:p>
    <w:p>
      <w:pPr>
        <w:ind w:firstLine="560" w:firstLineChars="200"/>
        <w:rPr>
          <w:rFonts w:ascii="仿宋" w:eastAsia="仿宋" w:hAnsi="仿宋" w:cs="仿宋" w:hint="eastAsia"/>
          <w:sz w:val="28"/>
        </w:rPr>
      </w:pPr>
    </w:p>
    <w:sectPr>
      <w:headerReference w:type="default" r:id="rId58"/>
      <w:footerReference w:type="default" r:id="rId59"/>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核辐射产品可行性报告/专业报告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12F19"/>
    <w:rsid w:val="0BC12F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yperlink" Target="https://d.book118.com/828053117003006023" TargetMode="Externa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footer" Target="footer1.xml"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2023-12-15T19:51:00Z</dcterms:created>
  <dcterms:modified xsi:type="dcterms:W3CDTF">2023-12-15T19:51:26Z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