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煎膏剂项目建设总纲及方案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3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_Toc536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55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_Toc16655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4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_Toc27284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93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_Toc4593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71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_Toc27271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4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_Toc1394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65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_Toc21665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39" w:history="1">
        <w:r>
          <w:rPr>
            <w:rFonts w:ascii="仿宋" w:eastAsia="仿宋" w:hAnsi="仿宋" w:cs="仿宋" w:hint="eastAsia"/>
            <w:lang w:eastAsia="zh-CN"/>
          </w:rPr>
          <w:t>二、项目监理与质量保证</w:t>
        </w:r>
        <w:r>
          <w:tab/>
        </w:r>
        <w:r>
          <w:fldChar w:fldCharType="begin"/>
        </w:r>
        <w:r>
          <w:instrText xml:space="preserve"> PAGEREF _Toc7539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99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_Toc7499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52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_Toc22152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2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_Toc26992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42" w:history="1">
        <w:r>
          <w:rPr>
            <w:rFonts w:ascii="仿宋" w:eastAsia="仿宋" w:hAnsi="仿宋" w:cs="仿宋" w:hint="eastAsia"/>
            <w:lang w:eastAsia="zh-CN"/>
          </w:rPr>
          <w:t>三、资源开发及综合利用分析</w:t>
        </w:r>
        <w:r>
          <w:tab/>
        </w:r>
        <w:r>
          <w:fldChar w:fldCharType="begin"/>
        </w:r>
        <w:r>
          <w:instrText xml:space="preserve"> PAGEREF _Toc31242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54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_Toc7354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85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_Toc26085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0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_Toc10910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77" w:history="1">
        <w:r>
          <w:rPr>
            <w:rFonts w:ascii="仿宋" w:eastAsia="仿宋" w:hAnsi="仿宋" w:cs="仿宋" w:hint="eastAsia"/>
            <w:lang w:eastAsia="zh-CN"/>
          </w:rPr>
          <w:t>四、煎膏剂项目概论</w:t>
        </w:r>
        <w:r>
          <w:tab/>
        </w:r>
        <w:r>
          <w:fldChar w:fldCharType="begin"/>
        </w:r>
        <w:r>
          <w:instrText xml:space="preserve"> PAGEREF _Toc8177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71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_Toc18671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16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_Toc30916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73" w:history="1">
        <w:r>
          <w:rPr>
            <w:rFonts w:ascii="仿宋" w:eastAsia="仿宋" w:hAnsi="仿宋" w:cs="仿宋" w:hint="eastAsia"/>
            <w:lang w:eastAsia="zh-CN"/>
          </w:rPr>
          <w:t>五、背景、必要性分析</w:t>
        </w:r>
        <w:r>
          <w:tab/>
        </w:r>
        <w:r>
          <w:fldChar w:fldCharType="begin"/>
        </w:r>
        <w:r>
          <w:instrText xml:space="preserve"> PAGEREF _Toc22473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85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_Toc25185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18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_Toc12818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_Toc318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25" w:history="1">
        <w:r>
          <w:rPr>
            <w:rFonts w:ascii="仿宋" w:eastAsia="仿宋" w:hAnsi="仿宋" w:cs="仿宋" w:hint="eastAsia"/>
            <w:lang w:eastAsia="zh-CN"/>
          </w:rPr>
          <w:t>六、经济影响分析</w:t>
        </w:r>
        <w:r>
          <w:tab/>
        </w:r>
        <w:r>
          <w:fldChar w:fldCharType="begin"/>
        </w:r>
        <w:r>
          <w:instrText xml:space="preserve"> PAGEREF _Toc29425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83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_Toc29283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38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_Toc24538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64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_Toc22464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36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_Toc25636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6" w:history="1">
        <w:r>
          <w:rPr>
            <w:rFonts w:ascii="仿宋" w:eastAsia="仿宋" w:hAnsi="仿宋" w:cs="仿宋" w:hint="eastAsia"/>
            <w:lang w:eastAsia="zh-CN"/>
          </w:rPr>
          <w:t>七、项目进度计划</w:t>
        </w:r>
        <w:r>
          <w:tab/>
        </w:r>
        <w:r>
          <w:fldChar w:fldCharType="begin"/>
        </w:r>
        <w:r>
          <w:instrText xml:space="preserve"> PAGEREF _Toc996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_Toc12879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27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_Toc10427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_Toc90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95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_Toc18695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41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_Toc16341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93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_Toc27293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22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_Toc30622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71" w:history="1">
        <w:r>
          <w:rPr>
            <w:rFonts w:ascii="仿宋" w:eastAsia="仿宋" w:hAnsi="仿宋" w:cs="仿宋" w:hint="eastAsia"/>
            <w:lang w:eastAsia="zh-CN"/>
          </w:rPr>
          <w:t>八、安全与应急管理</w:t>
        </w:r>
        <w:r>
          <w:tab/>
        </w:r>
        <w:r>
          <w:fldChar w:fldCharType="begin"/>
        </w:r>
        <w:r>
          <w:instrText xml:space="preserve"> PAGEREF _Toc14271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06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_Toc21606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73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_Toc28673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70" w:history="1">
        <w:r>
          <w:rPr>
            <w:rFonts w:ascii="仿宋" w:eastAsia="仿宋" w:hAnsi="仿宋" w:cs="仿宋" w:hint="eastAsia"/>
            <w:lang w:eastAsia="zh-CN"/>
          </w:rPr>
          <w:t>九、技术创新与产业升级</w:t>
        </w:r>
        <w:r>
          <w:tab/>
        </w:r>
        <w:r>
          <w:fldChar w:fldCharType="begin"/>
        </w:r>
        <w:r>
          <w:instrText xml:space="preserve"> PAGEREF _Toc28270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68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_Toc19868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9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_Toc30239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170" w:history="1">
        <w:r>
          <w:rPr>
            <w:rFonts w:ascii="仿宋" w:eastAsia="仿宋" w:hAnsi="仿宋" w:cs="仿宋" w:hint="eastAsia"/>
            <w:lang w:eastAsia="zh-CN"/>
          </w:rPr>
          <w:t>十、项目实施与管理方案</w:t>
        </w:r>
        <w:r>
          <w:tab/>
        </w:r>
        <w:r>
          <w:fldChar w:fldCharType="begin"/>
        </w:r>
        <w:r>
          <w:instrText xml:space="preserve"> PAGEREF _Toc27170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21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_Toc18021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3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_Toc17893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62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_Toc4862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66" w:history="1">
        <w:r>
          <w:rPr>
            <w:rFonts w:ascii="仿宋" w:eastAsia="仿宋" w:hAnsi="仿宋" w:cs="仿宋" w:hint="eastAsia"/>
            <w:lang w:eastAsia="zh-CN"/>
          </w:rPr>
          <w:t>十一、土地利用与规划方案</w:t>
        </w:r>
        <w:r>
          <w:tab/>
        </w:r>
        <w:r>
          <w:fldChar w:fldCharType="begin"/>
        </w:r>
        <w:r>
          <w:instrText xml:space="preserve"> PAGEREF _Toc28566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63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_Toc23063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4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_Toc30184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38" w:history="1">
        <w:r>
          <w:rPr>
            <w:rFonts w:ascii="仿宋" w:eastAsia="仿宋" w:hAnsi="仿宋" w:cs="仿宋" w:hint="eastAsia"/>
            <w:lang w:eastAsia="zh-CN"/>
          </w:rPr>
          <w:t>十二、环境保护与治理方案</w:t>
        </w:r>
        <w:r>
          <w:tab/>
        </w:r>
        <w:r>
          <w:fldChar w:fldCharType="begin"/>
        </w:r>
        <w:r>
          <w:instrText xml:space="preserve"> PAGEREF _Toc15338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53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_Toc23353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49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_Toc12349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94" w:history="1">
        <w:r>
          <w:rPr>
            <w:rFonts w:ascii="仿宋" w:eastAsia="仿宋" w:hAnsi="仿宋" w:cs="仿宋" w:hint="eastAsia"/>
            <w:lang w:eastAsia="zh-CN"/>
          </w:rPr>
          <w:t>十三、质量管理与控制</w:t>
        </w:r>
        <w:r>
          <w:tab/>
        </w:r>
        <w:r>
          <w:fldChar w:fldCharType="begin"/>
        </w:r>
        <w:r>
          <w:instrText xml:space="preserve"> PAGEREF _Toc17294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39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_Toc4339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91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_Toc5991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54" w:history="1">
        <w:r>
          <w:rPr>
            <w:rFonts w:ascii="仿宋" w:eastAsia="仿宋" w:hAnsi="仿宋" w:cs="仿宋" w:hint="eastAsia"/>
            <w:lang w:eastAsia="zh-CN"/>
          </w:rPr>
          <w:t>十四、人力资源管理与开发</w:t>
        </w:r>
        <w:r>
          <w:tab/>
        </w:r>
        <w:r>
          <w:fldChar w:fldCharType="begin"/>
        </w:r>
        <w:r>
          <w:instrText xml:space="preserve"> PAGEREF _Toc27154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86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_Toc27186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6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_Toc17116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06" w:history="1">
        <w:r>
          <w:rPr>
            <w:rFonts w:ascii="仿宋" w:eastAsia="仿宋" w:hAnsi="仿宋" w:cs="仿宋" w:hint="eastAsia"/>
            <w:lang w:eastAsia="zh-CN"/>
          </w:rPr>
          <w:t>十五、项目施工方案</w:t>
        </w:r>
        <w:r>
          <w:tab/>
        </w:r>
        <w:r>
          <w:fldChar w:fldCharType="begin"/>
        </w:r>
        <w:r>
          <w:instrText xml:space="preserve"> PAGEREF _Toc10606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24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_Toc28924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5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_Toc435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26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_Toc19926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18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_Toc4418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95" w:history="1">
        <w:r>
          <w:rPr>
            <w:rFonts w:ascii="仿宋" w:eastAsia="仿宋" w:hAnsi="仿宋" w:cs="仿宋" w:hint="eastAsia"/>
            <w:lang w:eastAsia="zh-CN"/>
          </w:rPr>
          <w:t>十六、知识产权管理与保护</w:t>
        </w:r>
        <w:r>
          <w:tab/>
        </w:r>
        <w:r>
          <w:fldChar w:fldCharType="begin"/>
        </w:r>
        <w:r>
          <w:instrText xml:space="preserve"> PAGEREF _Toc10095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88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_Toc31688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79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_Toc20879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51" w:history="1">
        <w:r>
          <w:rPr>
            <w:rFonts w:ascii="仿宋" w:eastAsia="仿宋" w:hAnsi="仿宋" w:cs="仿宋" w:hint="eastAsia"/>
            <w:lang w:eastAsia="zh-CN"/>
          </w:rPr>
          <w:t>十七、设施与设备管理</w:t>
        </w:r>
        <w:r>
          <w:tab/>
        </w:r>
        <w:r>
          <w:fldChar w:fldCharType="begin"/>
        </w:r>
        <w:r>
          <w:instrText xml:space="preserve"> PAGEREF _Toc20851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62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_Toc8462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4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_Toc2964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59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_Toc10859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3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6655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284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煎膏剂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煎膏剂项目将进行详细的生态影响评估，确保不会对当地的动植物种群和自然栖息地造成负面影响。如果项目地点附近有重要的生物栖息地或生态敏感区，项目将重新考虑建设地点或采取相应的保护措施。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煎膏剂项目将积极采用可持续材料，如再生塑料和生物降解材料，以减少对环境的影响。项目还将推行废物减量和回收计划，例如通过再利用工业废料或建立回收系统。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煎膏剂项目还将参与当地的环保活动和计划，如资助当地的环境保护项目或与社区合作进行环保宣传活动。通过这些活动，项目不仅能够提高自身的环境表现，还能在当地社区中树立积极的环保形象。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593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煎膏剂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煎膏剂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煎膏剂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7271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煎膏剂项目将采用绿色屋顶和生态墙等环境友好型建筑设计，这些设计不仅有助于改善空气质量，还能为城市野生动植物提供栖息地。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煎膏剂项目将建立高效的废水处理系统，确保所有工业废水在排放前都经过适当处理，达到或超过环保标准。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煎膏剂项目将致力于使用清洁能源，如太阳能和风能，减少对化石燃料的依赖。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煎膏剂项目将举办环保教育研讨会，向员工和当地社区普及环保知识，提升对环境保护重要性的认识。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394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在煎膏剂项目启动前，将进行一系列深入的地质调查，包括钻探和土壤取样，以深入了解项目区域的地层结构和土壤组成。特别是对于土壤的承载能力和地下水位的深度进行详细评估。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煎膏剂项目将通过地下水位监测系统定期检测水位变化，以预测和预防由高地下水位可能引起的地基问题。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煎膏剂项目将进行详尽的水文和地形分析，以识别可能的洪水和泥石流风险区。基于这些分析，项目将设计防洪设施，如提高地基、构建防洪墙和排水沟。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煎膏剂项目还将考虑建设排水系统，以减少地表水对土壤稳定性的影响。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完成初始的地质风险评估后，煎膏剂项目将安装长期地质监测设备，如倾斜仪、裂缝计和地下水位计，以持续监测地质条件的变化。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1665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煎膏剂项目将通过这些措施来适应和尊重特殊环境条件，确保项目的可持续发展，同时减少对环境的负面影响。这不仅有助于保护自然和文化遗产，还能提升项目在社会责任方面的表现和形象。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7539"/>
      <w:r>
        <w:rPr>
          <w:rFonts w:ascii="仿宋" w:eastAsia="仿宋" w:hAnsi="仿宋" w:cs="仿宋" w:hint="eastAsia"/>
          <w:sz w:val="28"/>
          <w:lang w:eastAsia="zh-CN"/>
        </w:rPr>
        <w:t>二、项目监理与质量保证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7499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2152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26992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监理过程将按照监理计划的要求进行。这包括对施工现场的实地检查、对施工材料的质量把关、对施工过程的监测等。监理报告将定期提交，内容将涵盖项目整体进度、质量状况、安全情况等方面的详细信息。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https://d.book118.com/828111104107006033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煎膏剂项目建设总纲及方案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244280"/>
    <w:rsid w:val="1D24428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82811110410700603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2024-01-24T21:41:00Z</dcterms:created>
  <dcterms:modified xsi:type="dcterms:W3CDTF">2024-01-24T21:41:48Z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522E2ED5F90044ECB3B9D09439ECE249_11</vt:lpwstr>
  </property>
  <property fmtid="{D5CDD505-2E9C-101B-9397-08002B2CF9AE}" pid="3" name="KSOProductBuildVer">
    <vt:lpwstr>2052-12.1.0.16250</vt:lpwstr>
  </property>
</Properties>
</file>