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right="420"/>
        <w:jc w:val="center"/>
        <w:rPr>
          <w:rFonts w:ascii="宋体" w:hAnsi="Times New Roman" w:cs="Times New Roman"/>
          <w:szCs w:val="32"/>
        </w:rPr>
      </w:pPr>
    </w:p>
    <w:p>
      <w:pPr>
        <w:spacing w:line="360" w:lineRule="auto"/>
        <w:jc w:val="center"/>
        <w:rPr>
          <w:rFonts w:ascii="黑体" w:eastAsia="黑体" w:hAnsi="黑体" w:cs="黑体"/>
          <w:sz w:val="32"/>
          <w:szCs w:val="32"/>
        </w:rPr>
      </w:pPr>
      <w:bookmarkStart w:id="0" w:name="OLE_LINK1"/>
      <w:r>
        <w:rPr>
          <w:rFonts w:ascii="黑体" w:eastAsia="黑体" w:hAnsi="黑体" w:cs="黑体" w:hint="eastAsia"/>
          <w:sz w:val="32"/>
          <w:szCs w:val="32"/>
        </w:rPr>
        <w:t>中小企业管理会计问题及对策研究</w:t>
      </w:r>
    </w:p>
    <w:bookmarkEnd w:id="0"/>
    <w:p>
      <w:pPr>
        <w:spacing w:line="360" w:lineRule="auto"/>
        <w:jc w:val="center"/>
        <w:rPr>
          <w:rFonts w:ascii="黑体" w:eastAsia="黑体" w:hAnsi="黑体" w:cs="黑体"/>
          <w:sz w:val="28"/>
          <w:szCs w:val="28"/>
        </w:rPr>
      </w:pPr>
      <w:r>
        <w:rPr>
          <w:rFonts w:ascii="黑体" w:eastAsia="黑体" w:hAnsi="黑体" w:cs="黑体" w:hint="eastAsia"/>
          <w:sz w:val="28"/>
          <w:szCs w:val="28"/>
        </w:rPr>
        <w:t>——</w:t>
      </w:r>
      <w:bookmarkStart w:id="1" w:name="OLE_LINK2"/>
      <w:r>
        <w:rPr>
          <w:rFonts w:ascii="黑体" w:eastAsia="黑体" w:hAnsi="黑体" w:cs="黑体" w:hint="eastAsia"/>
          <w:sz w:val="28"/>
          <w:szCs w:val="28"/>
        </w:rPr>
        <w:t>以南京宝泰家电有限公司为例</w:t>
      </w:r>
    </w:p>
    <w:bookmarkEnd w:id="1"/>
    <w:p>
      <w:pPr>
        <w:spacing w:line="360" w:lineRule="auto"/>
        <w:ind w:right="420" w:firstLine="3780" w:firstLineChars="1800"/>
        <w:rPr>
          <w:rFonts w:ascii="宋体" w:hAnsi="宋体"/>
        </w:rPr>
      </w:pPr>
    </w:p>
    <w:p>
      <w:pPr>
        <w:spacing w:line="360" w:lineRule="auto"/>
        <w:rPr>
          <w:rFonts w:ascii="宋体" w:hAnsi="宋体" w:hint="default"/>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摘  要：</w:t>
      </w:r>
      <w:bookmarkStart w:id="2" w:name="OLE_LINK3"/>
      <w:r>
        <w:rPr>
          <w:rFonts w:ascii="宋体" w:hAnsi="宋体" w:hint="eastAsia"/>
          <w:color w:val="000000" w:themeColor="text1"/>
          <w:sz w:val="24"/>
          <w14:textFill>
            <w14:solidFill>
              <w14:schemeClr w14:val="tx1"/>
            </w14:solidFill>
          </w14:textFill>
        </w:rPr>
        <w:t>随着</w:t>
      </w:r>
      <w:r>
        <w:rPr>
          <w:rFonts w:ascii="宋体" w:hAnsi="宋体" w:hint="eastAsia"/>
          <w:color w:val="000000" w:themeColor="text1"/>
          <w:sz w:val="24"/>
          <w:lang w:val="en-US" w:eastAsia="zh-CN"/>
          <w14:textFill>
            <w14:solidFill>
              <w14:schemeClr w14:val="tx1"/>
            </w14:solidFill>
          </w14:textFill>
        </w:rPr>
        <w:t>现代企业的深入发展，管理会计开始引起了企业的重视，其</w:t>
      </w:r>
      <w:r>
        <w:rPr>
          <w:rFonts w:ascii="宋体" w:hAnsi="宋体" w:hint="eastAsia"/>
          <w:color w:val="000000" w:themeColor="text1"/>
          <w:sz w:val="24"/>
          <w14:textFill>
            <w14:solidFill>
              <w14:schemeClr w14:val="tx1"/>
            </w14:solidFill>
          </w14:textFill>
        </w:rPr>
        <w:t>不仅可以强化企业内部管理，还可以有效的增强企业经营收益。当前，随着经济体制改革的深化，国内的经济发展得到了进一步的提升，管理会计在企业当中的效应也逐渐的凸显，在推动企业发展的方面做出了较大的贡献。但是，从企业整体应用的角度来讲，管理会计的发展情况还不够理想，在中小企业中更是爆发出了一些比较严重的问题。因此，文章以中小企业管理会计问题及对策研究为主题，研究的过程中选取了南京宝泰家电有限公司为例，通过对南京宝泰家电有限公司管理会计</w:t>
      </w:r>
      <w:r>
        <w:rPr>
          <w:rFonts w:ascii="宋体" w:hAnsi="宋体" w:hint="eastAsia"/>
          <w:color w:val="000000" w:themeColor="text1"/>
          <w:sz w:val="24"/>
          <w:lang w:val="en-US" w:eastAsia="zh-CN"/>
          <w14:textFill>
            <w14:solidFill>
              <w14:schemeClr w14:val="tx1"/>
            </w14:solidFill>
          </w14:textFill>
        </w:rPr>
        <w:t>在应用过程中所存在的相关突出问题的分析，最后提出了一些针对性较强的可行对策。希望本文对于中小企业管理会计的应用可以起到一定的积极作用，对于相关的学术研究可以起到一定的参考价值。</w:t>
      </w:r>
    </w:p>
    <w:bookmarkEnd w:id="2"/>
    <w:p>
      <w:pPr>
        <w:spacing w:line="360" w:lineRule="auto"/>
        <w:rPr>
          <w:rFonts w:ascii="宋体" w:hAnsi="宋体"/>
          <w:color w:val="000000" w:themeColor="text1"/>
          <w:sz w:val="24"/>
          <w14:textFill>
            <w14:solidFill>
              <w14:schemeClr w14:val="tx1"/>
            </w14:solidFill>
          </w14:textFill>
        </w:rPr>
        <w:sectPr>
          <w:footerReference w:type="default" r:id="rId5"/>
          <w:footnotePr>
            <w:numFmt w:val="decimalEnclosedCircleChinese"/>
          </w:footnotePr>
          <w:pgSz w:w="11906" w:h="16838"/>
          <w:pgMar w:top="1440" w:right="1800" w:bottom="1440" w:left="1800" w:header="851" w:footer="992" w:gutter="0"/>
          <w:pgNumType w:fmt="upperRoman" w:start="1"/>
          <w:cols w:num="1" w:space="425"/>
          <w:docGrid w:type="lines" w:linePitch="312" w:charSpace="0"/>
        </w:sectPr>
      </w:pPr>
      <w:r>
        <w:rPr>
          <w:rFonts w:ascii="黑体" w:eastAsia="黑体" w:hAnsi="黑体" w:cs="黑体" w:hint="eastAsia"/>
          <w:color w:val="000000" w:themeColor="text1"/>
          <w:sz w:val="24"/>
          <w14:textFill>
            <w14:solidFill>
              <w14:schemeClr w14:val="tx1"/>
            </w14:solidFill>
          </w14:textFill>
        </w:rPr>
        <w:t>关键词：</w:t>
      </w:r>
      <w:r>
        <w:rPr>
          <w:rFonts w:ascii="宋体" w:hAnsi="宋体" w:hint="eastAsia"/>
          <w:color w:val="000000" w:themeColor="text1"/>
          <w:sz w:val="24"/>
          <w14:textFill>
            <w14:solidFill>
              <w14:schemeClr w14:val="tx1"/>
            </w14:solidFill>
          </w14:textFill>
        </w:rPr>
        <w:t>中小企业；管理会计；应用</w:t>
      </w:r>
    </w:p>
    <w:p>
      <w:pPr>
        <w:spacing w:line="360" w:lineRule="auto"/>
        <w:jc w:val="left"/>
        <w:rPr>
          <w:rFonts w:ascii="宋体" w:hAnsi="宋体"/>
          <w:color w:val="000000" w:themeColor="text1"/>
          <w:sz w:val="24"/>
          <w14:textFill>
            <w14:solidFill>
              <w14:schemeClr w14:val="tx1"/>
            </w14:solidFill>
          </w14:textFill>
        </w:rPr>
      </w:pPr>
    </w:p>
    <w:p>
      <w:pPr>
        <w:jc w:val="center"/>
        <w:rPr>
          <w:rFonts w:ascii="Times New Roman" w:eastAsia="黑体" w:hAnsi="Times New Roman" w:cs="Times New Roman"/>
          <w:color w:val="000000" w:themeColor="text1"/>
          <w:sz w:val="32"/>
          <w:szCs w:val="32"/>
          <w14:textFill>
            <w14:solidFill>
              <w14:schemeClr w14:val="tx1"/>
            </w14:solidFill>
          </w14:textFill>
        </w:rPr>
      </w:pPr>
      <w:r>
        <w:rPr>
          <w:rFonts w:ascii="Times New Roman" w:eastAsia="黑体" w:hAnsi="Times New Roman" w:cs="Times New Roman"/>
          <w:color w:val="000000" w:themeColor="text1"/>
          <w:sz w:val="32"/>
          <w:szCs w:val="32"/>
          <w14:textFill>
            <w14:solidFill>
              <w14:schemeClr w14:val="tx1"/>
            </w14:solidFill>
          </w14:textFill>
        </w:rPr>
        <w:t>Research on Management Accounting Problems and Countermeasures of Small and Medium-sized Enterprises</w:t>
      </w:r>
    </w:p>
    <w:p>
      <w:pPr>
        <w:ind w:firstLine="1680" w:firstLineChars="600"/>
        <w:jc w:val="center"/>
        <w:rPr>
          <w:rFonts w:ascii="Times New Roman" w:eastAsia="黑体" w:hAnsi="Times New Roman" w:cs="Times New Roman"/>
          <w:color w:val="000000" w:themeColor="text1"/>
          <w:sz w:val="28"/>
          <w:szCs w:val="28"/>
          <w14:textFill>
            <w14:solidFill>
              <w14:schemeClr w14:val="tx1"/>
            </w14:solidFill>
          </w14:textFill>
        </w:rPr>
      </w:pPr>
      <w:r>
        <w:rPr>
          <w:rFonts w:ascii="Times New Roman" w:eastAsia="黑体" w:hAnsi="Times New Roman" w:cs="Times New Roman"/>
          <w:color w:val="000000" w:themeColor="text1"/>
          <w:sz w:val="28"/>
          <w:szCs w:val="28"/>
          <w14:textFill>
            <w14:solidFill>
              <w14:schemeClr w14:val="tx1"/>
            </w14:solidFill>
          </w14:textFill>
        </w:rPr>
        <w:t>——Take Nanjing Baotai Home Appliances Co., Ltd. as an example</w:t>
      </w:r>
    </w:p>
    <w:p>
      <w:pPr>
        <w:jc w:val="left"/>
        <w:rPr>
          <w:rFonts w:ascii="黑体" w:eastAsia="黑体" w:hAnsi="黑体" w:cs="黑体"/>
          <w:color w:val="000000" w:themeColor="text1"/>
          <w:sz w:val="28"/>
          <w:szCs w:val="28"/>
          <w14:textFill>
            <w14:solidFill>
              <w14:schemeClr w14:val="tx1"/>
            </w14:solidFill>
          </w14:textFill>
        </w:rPr>
      </w:pPr>
    </w:p>
    <w:p>
      <w:pPr>
        <w:spacing w:line="360" w:lineRule="auto"/>
        <w:rPr>
          <w:rFonts w:ascii="宋体" w:hAnsi="宋体"/>
          <w:bCs/>
          <w:color w:val="000000" w:themeColor="text1"/>
          <w:sz w:val="24"/>
          <w14:textFill>
            <w14:solidFill>
              <w14:schemeClr w14:val="tx1"/>
            </w14:solidFill>
          </w14:textFill>
        </w:rPr>
      </w:pPr>
      <w:r>
        <w:rPr>
          <w:rFonts w:ascii="Times New Roman" w:eastAsia="黑体" w:hAnsi="Times New Roman" w:cs="Times New Roman"/>
          <w:b/>
          <w:color w:val="000000" w:themeColor="text1"/>
          <w:sz w:val="24"/>
          <w14:textFill>
            <w14:solidFill>
              <w14:schemeClr w14:val="tx1"/>
            </w14:solidFill>
          </w14:textFill>
        </w:rPr>
        <w:t>Abstract：</w:t>
      </w:r>
      <w:r>
        <w:rPr>
          <w:rFonts w:ascii="Times New Roman" w:hAnsi="Times New Roman" w:cs="Times New Roman"/>
          <w:bCs/>
          <w:color w:val="000000" w:themeColor="text1"/>
          <w:sz w:val="24"/>
          <w14:textFill>
            <w14:solidFill>
              <w14:schemeClr w14:val="tx1"/>
            </w14:solidFill>
          </w14:textFill>
        </w:rPr>
        <w:t>With the deepening of enterprise operation and development, the term management accounting has gradually sprouted and started to develop. Management accounting can not only strengthen the internal management of enterprises, but also effectively enhance the operating income of enterprises. At present, with the deepening of economic system reform, the domestic economic development has been further improved, and the effect of management accounting in enterprises has gradually become prominent, which has made great contributions to promoting the development of enterprises. However, from the point of view of the overall application of enterprises, the development of management accounting is</w:t>
      </w:r>
      <w:r>
        <w:rPr>
          <w:rFonts w:ascii="Times New Roman" w:eastAsia="华文彩云" w:hAnsi="Times New Roman" w:cs="Times New Roman"/>
          <w:bCs/>
          <w:color w:val="000000" w:themeColor="text1"/>
          <w:sz w:val="24"/>
          <w14:textFill>
            <w14:solidFill>
              <w14:schemeClr w14:val="tx1"/>
            </w14:solidFill>
          </w14:textFill>
        </w:rPr>
        <w:t xml:space="preserve"> not ideal, and some serious problems have erupted. Therefore, this paper takes the SMEs'management accounting problems and countermeasures research as the topic, and takes Nanjing Baotai Home Appliances Co., Ltd. as an example in the process of research. Through the analysis of the application situation and problems of Nanjing Baotai Home Appliances Co., Ltd., this paper puts forward some suggestions and Countermeasures for enterprises to apply management accounting. It is hoped that this study can provide reference and help for domestic SMEs in developing the application of management accounting.</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eastAsia="黑体" w:hAnsi="Times New Roman" w:cs="Times New Roman"/>
          <w:b/>
          <w:color w:val="000000" w:themeColor="text1"/>
          <w:sz w:val="24"/>
          <w14:textFill>
            <w14:solidFill>
              <w14:schemeClr w14:val="tx1"/>
            </w14:solidFill>
          </w14:textFill>
        </w:rPr>
        <w:t>Key words：</w:t>
      </w:r>
      <w:r>
        <w:rPr>
          <w:rFonts w:ascii="Times New Roman" w:hAnsi="Times New Roman" w:cs="Times New Roman"/>
          <w:bCs/>
          <w:color w:val="000000" w:themeColor="text1"/>
          <w:sz w:val="24"/>
          <w14:textFill>
            <w14:solidFill>
              <w14:schemeClr w14:val="tx1"/>
            </w14:solidFill>
          </w14:textFill>
        </w:rPr>
        <w:t>SMEs; Management Accounting;application</w:t>
      </w:r>
    </w:p>
    <w:p>
      <w:pPr>
        <w:jc w:val="center"/>
        <w:rPr>
          <w:rFonts w:ascii="黑体" w:eastAsia="黑体" w:hAnsi="Times New Roman" w:cs="Times New Roman"/>
          <w:color w:val="000000" w:themeColor="text1"/>
          <w:sz w:val="28"/>
          <w:szCs w:val="28"/>
          <w14:textFill>
            <w14:solidFill>
              <w14:schemeClr w14:val="tx1"/>
            </w14:solidFill>
          </w14:textFill>
        </w:rPr>
      </w:pPr>
    </w:p>
    <w:p>
      <w:pPr>
        <w:jc w:val="center"/>
        <w:rPr>
          <w:rFonts w:ascii="黑体" w:eastAsia="黑体" w:hAnsi="Times New Roman" w:cs="Times New Roman"/>
          <w:color w:val="000000" w:themeColor="text1"/>
          <w:sz w:val="28"/>
          <w:szCs w:val="28"/>
          <w14:textFill>
            <w14:solidFill>
              <w14:schemeClr w14:val="tx1"/>
            </w14:solidFill>
          </w14:textFill>
        </w:rPr>
      </w:pPr>
    </w:p>
    <w:p>
      <w:pPr>
        <w:jc w:val="center"/>
        <w:rPr>
          <w:rFonts w:ascii="黑体" w:eastAsia="黑体" w:hAnsi="Times New Roman" w:cs="Times New Roman"/>
          <w:color w:val="000000" w:themeColor="text1"/>
          <w:sz w:val="28"/>
          <w:szCs w:val="28"/>
          <w14:textFill>
            <w14:solidFill>
              <w14:schemeClr w14:val="tx1"/>
            </w14:solidFill>
          </w14:textFill>
        </w:rPr>
        <w:sectPr>
          <w:footerReference w:type="default" r:id="rId6"/>
          <w:footnotePr>
            <w:numFmt w:val="decimalEnclosedCircleChinese"/>
          </w:footnotePr>
          <w:pgSz w:w="11906" w:h="16838"/>
          <w:pgMar w:top="1440" w:right="1800" w:bottom="1440" w:left="1800" w:header="851" w:footer="992" w:gutter="0"/>
          <w:pgNumType w:fmt="upperRoman" w:start="1"/>
          <w:cols w:num="1" w:space="425"/>
          <w:docGrid w:type="lines" w:linePitch="312" w:charSpace="0"/>
        </w:sectPr>
      </w:pPr>
    </w:p>
    <w:p>
      <w:pPr>
        <w:jc w:val="center"/>
        <w:rPr>
          <w:rFonts w:ascii="黑体" w:eastAsia="黑体" w:hAnsi="Times New Roman" w:cs="Times New Roman"/>
          <w:color w:val="000000" w:themeColor="text1"/>
          <w:sz w:val="28"/>
          <w:szCs w:val="28"/>
          <w14:textFill>
            <w14:solidFill>
              <w14:schemeClr w14:val="tx1"/>
            </w14:solidFill>
          </w14:textFill>
        </w:rPr>
      </w:pPr>
    </w:p>
    <w:p>
      <w:pPr>
        <w:jc w:val="center"/>
        <w:rPr>
          <w:rFonts w:ascii="黑体" w:eastAsia="黑体" w:hAnsi="黑体" w:cs="黑体"/>
          <w:color w:val="000000" w:themeColor="text1"/>
          <w:sz w:val="32"/>
          <w:szCs w:val="32"/>
          <w14:textFill>
            <w14:solidFill>
              <w14:schemeClr w14:val="tx1"/>
            </w14:solidFill>
          </w14:textFill>
        </w:rPr>
      </w:pPr>
      <w:r>
        <w:rPr>
          <w:rFonts w:ascii="黑体" w:eastAsia="黑体" w:hAnsi="黑体" w:cs="黑体" w:hint="eastAsia"/>
          <w:color w:val="000000" w:themeColor="text1"/>
          <w:sz w:val="32"/>
          <w:szCs w:val="32"/>
          <w14:textFill>
            <w14:solidFill>
              <w14:schemeClr w14:val="tx1"/>
            </w14:solidFill>
          </w14:textFill>
        </w:rPr>
        <w:t>目  录</w:t>
      </w:r>
    </w:p>
    <w:p>
      <w:pPr>
        <w:rPr>
          <w:rFonts w:ascii="黑体" w:eastAsia="黑体" w:hAnsi="黑体" w:cs="黑体"/>
          <w:color w:val="000000" w:themeColor="text1"/>
          <w:sz w:val="32"/>
          <w:szCs w:val="32"/>
          <w14:textFill>
            <w14:solidFill>
              <w14:schemeClr w14:val="tx1"/>
            </w14:solidFill>
          </w14:textFill>
        </w:rPr>
      </w:pPr>
    </w:p>
    <w:p>
      <w:pPr>
        <w:pStyle w:val="TOC1"/>
        <w:tabs>
          <w:tab w:val="right" w:leader="dot" w:pos="8306"/>
        </w:tabs>
        <w:spacing w:line="360" w:lineRule="auto"/>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fldChar w:fldCharType="begin"/>
      </w:r>
      <w:r>
        <w:rPr>
          <w:rFonts w:ascii="宋体" w:hAnsi="宋体" w:hint="eastAsia"/>
          <w:color w:val="000000" w:themeColor="text1"/>
          <w:sz w:val="24"/>
          <w14:textFill>
            <w14:solidFill>
              <w14:schemeClr w14:val="tx1"/>
            </w14:solidFill>
          </w14:textFill>
        </w:rPr>
        <w:instrText xml:space="preserve">TOC \o "1-3" \h \u </w:instrText>
      </w:r>
      <w:r>
        <w:rPr>
          <w:rFonts w:ascii="宋体" w:hAnsi="宋体" w:hint="eastAsia"/>
          <w:color w:val="000000" w:themeColor="text1"/>
          <w:sz w:val="24"/>
          <w14:textFill>
            <w14:solidFill>
              <w14:schemeClr w14:val="tx1"/>
            </w14:solidFill>
          </w14:textFill>
        </w:rPr>
        <w:fldChar w:fldCharType="separate"/>
      </w:r>
      <w:hyperlink w:anchor="_Toc674" w:history="1">
        <w:r>
          <w:rPr>
            <w:rFonts w:ascii="黑体" w:eastAsia="黑体" w:hAnsi="黑体" w:cs="黑体" w:hint="eastAsia"/>
            <w:color w:val="000000" w:themeColor="text1"/>
            <w:sz w:val="28"/>
            <w:szCs w:val="28"/>
            <w14:textFill>
              <w14:solidFill>
                <w14:schemeClr w14:val="tx1"/>
              </w14:solidFill>
            </w14:textFill>
          </w:rPr>
          <w:t>引 言</w:t>
        </w:r>
        <w:r>
          <w:rPr>
            <w:rFonts w:ascii="宋体" w:hAnsi="宋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1</w:t>
        </w:r>
      </w:hyperlink>
    </w:p>
    <w:p>
      <w:pPr>
        <w:pStyle w:val="WPSOffice1"/>
        <w:tabs>
          <w:tab w:val="right" w:leader="dot" w:pos="8306"/>
        </w:tabs>
        <w:spacing w:line="360" w:lineRule="auto"/>
        <w:rPr>
          <w:rFonts w:ascii="黑体" w:eastAsia="黑体" w:hAnsi="黑体" w:cs="黑体"/>
          <w:color w:val="000000" w:themeColor="text1"/>
          <w:sz w:val="24"/>
          <w:szCs w:val="24"/>
          <w14:textFill>
            <w14:solidFill>
              <w14:schemeClr w14:val="tx1"/>
            </w14:solidFill>
          </w14:textFill>
        </w:rPr>
      </w:pPr>
      <w:hyperlink w:anchor="_Toc21715_WPSOffice_Level1" w:history="1">
        <w:r>
          <w:rPr>
            <w:rFonts w:ascii="黑体" w:eastAsia="黑体" w:hAnsi="黑体" w:cs="黑体" w:hint="eastAsia"/>
            <w:color w:val="000000" w:themeColor="text1"/>
            <w:sz w:val="24"/>
            <w:szCs w:val="24"/>
            <w14:textFill>
              <w14:solidFill>
                <w14:schemeClr w14:val="tx1"/>
              </w14:solidFill>
            </w14:textFill>
          </w:rPr>
          <w:t>（一）研究背景及目的</w:t>
        </w:r>
        <w:r>
          <w:rPr>
            <w:rFonts w:ascii="黑体" w:eastAsia="黑体" w:hAnsi="黑体" w:cs="黑体" w:hint="eastAsia"/>
            <w:color w:val="000000" w:themeColor="text1"/>
            <w:sz w:val="24"/>
            <w:szCs w:val="24"/>
            <w14:textFill>
              <w14:solidFill>
                <w14:schemeClr w14:val="tx1"/>
              </w14:solidFill>
            </w14:textFill>
          </w:rPr>
          <w:tab/>
        </w:r>
        <w:bookmarkStart w:id="3" w:name="_Toc21715_WPSOffice_Level1Page"/>
        <w:r>
          <w:rPr>
            <w:rFonts w:ascii="黑体" w:eastAsia="黑体" w:hAnsi="黑体" w:cs="黑体" w:hint="eastAsia"/>
            <w:color w:val="000000" w:themeColor="text1"/>
            <w:sz w:val="24"/>
            <w:szCs w:val="24"/>
            <w14:textFill>
              <w14:solidFill>
                <w14:schemeClr w14:val="tx1"/>
              </w14:solidFill>
            </w14:textFill>
          </w:rPr>
          <w:t>1</w:t>
        </w:r>
        <w:bookmarkEnd w:id="3"/>
      </w:hyperlink>
    </w:p>
    <w:p>
      <w:pPr>
        <w:pStyle w:val="WPSOffice1"/>
        <w:tabs>
          <w:tab w:val="right" w:leader="dot" w:pos="8306"/>
        </w:tabs>
        <w:spacing w:line="360" w:lineRule="auto"/>
        <w:rPr>
          <w:rFonts w:ascii="黑体" w:eastAsia="黑体" w:hAnsi="黑体" w:cs="黑体"/>
          <w:color w:val="000000" w:themeColor="text1"/>
          <w:sz w:val="24"/>
          <w:szCs w:val="24"/>
          <w14:textFill>
            <w14:solidFill>
              <w14:schemeClr w14:val="tx1"/>
            </w14:solidFill>
          </w14:textFill>
        </w:rPr>
      </w:pPr>
      <w:hyperlink w:anchor="_Toc751_WPSOffice_Level1" w:history="1">
        <w:r>
          <w:rPr>
            <w:rFonts w:ascii="黑体" w:eastAsia="黑体" w:hAnsi="黑体" w:cs="黑体" w:hint="eastAsia"/>
            <w:color w:val="000000" w:themeColor="text1"/>
            <w:sz w:val="24"/>
            <w:szCs w:val="24"/>
            <w14:textFill>
              <w14:solidFill>
                <w14:schemeClr w14:val="tx1"/>
              </w14:solidFill>
            </w14:textFill>
          </w:rPr>
          <w:t>（二）国内外研究现状</w:t>
        </w:r>
        <w:r>
          <w:rPr>
            <w:rFonts w:ascii="黑体" w:eastAsia="黑体" w:hAnsi="黑体" w:cs="黑体" w:hint="eastAsia"/>
            <w:color w:val="000000" w:themeColor="text1"/>
            <w:sz w:val="24"/>
            <w:szCs w:val="24"/>
            <w14:textFill>
              <w14:solidFill>
                <w14:schemeClr w14:val="tx1"/>
              </w14:solidFill>
            </w14:textFill>
          </w:rPr>
          <w:tab/>
        </w:r>
        <w:bookmarkStart w:id="4" w:name="_Toc751_WPSOffice_Level1Page"/>
        <w:r>
          <w:rPr>
            <w:rFonts w:ascii="黑体" w:eastAsia="黑体" w:hAnsi="黑体" w:cs="黑体" w:hint="eastAsia"/>
            <w:color w:val="000000" w:themeColor="text1"/>
            <w:sz w:val="24"/>
            <w:szCs w:val="24"/>
            <w14:textFill>
              <w14:solidFill>
                <w14:schemeClr w14:val="tx1"/>
              </w14:solidFill>
            </w14:textFill>
          </w:rPr>
          <w:t>2</w:t>
        </w:r>
        <w:bookmarkEnd w:id="4"/>
      </w:hyperlink>
    </w:p>
    <w:p>
      <w:pPr>
        <w:pStyle w:val="WPSOffice1"/>
        <w:tabs>
          <w:tab w:val="right" w:leader="dot" w:pos="8306"/>
        </w:tabs>
        <w:spacing w:line="360" w:lineRule="auto"/>
        <w:rPr>
          <w:color w:val="000000" w:themeColor="text1"/>
          <w14:textFill>
            <w14:solidFill>
              <w14:schemeClr w14:val="tx1"/>
            </w14:solidFill>
          </w14:textFill>
        </w:rPr>
      </w:pPr>
      <w:hyperlink w:anchor="_Toc30783_WPSOffice_Level1" w:history="1">
        <w:r>
          <w:rPr>
            <w:rFonts w:ascii="黑体" w:eastAsia="黑体" w:hAnsi="黑体" w:cs="黑体" w:hint="eastAsia"/>
            <w:color w:val="000000" w:themeColor="text1"/>
            <w:sz w:val="24"/>
            <w:szCs w:val="24"/>
            <w14:textFill>
              <w14:solidFill>
                <w14:schemeClr w14:val="tx1"/>
              </w14:solidFill>
            </w14:textFill>
          </w:rPr>
          <w:t>（三）研究方法和研究内容</w:t>
        </w:r>
        <w:r>
          <w:rPr>
            <w:rFonts w:ascii="黑体" w:eastAsia="黑体" w:hAnsi="黑体" w:cs="黑体" w:hint="eastAsia"/>
            <w:color w:val="000000" w:themeColor="text1"/>
            <w:sz w:val="24"/>
            <w:szCs w:val="24"/>
            <w14:textFill>
              <w14:solidFill>
                <w14:schemeClr w14:val="tx1"/>
              </w14:solidFill>
            </w14:textFill>
          </w:rPr>
          <w:tab/>
        </w:r>
        <w:bookmarkStart w:id="5" w:name="_Toc30783_WPSOffice_Level1Page"/>
        <w:r>
          <w:rPr>
            <w:rFonts w:ascii="黑体" w:eastAsia="黑体" w:hAnsi="黑体" w:cs="黑体" w:hint="eastAsia"/>
            <w:color w:val="000000" w:themeColor="text1"/>
            <w:sz w:val="24"/>
            <w:szCs w:val="24"/>
            <w14:textFill>
              <w14:solidFill>
                <w14:schemeClr w14:val="tx1"/>
              </w14:solidFill>
            </w14:textFill>
          </w:rPr>
          <w:t>3</w:t>
        </w:r>
        <w:bookmarkEnd w:id="5"/>
      </w:hyperlink>
    </w:p>
    <w:p>
      <w:pPr>
        <w:pStyle w:val="TOC1"/>
        <w:tabs>
          <w:tab w:val="right" w:leader="dot" w:pos="8306"/>
        </w:tabs>
        <w:spacing w:line="360" w:lineRule="auto"/>
        <w:rPr>
          <w:rFonts w:ascii="黑体" w:eastAsia="黑体" w:hAnsi="黑体" w:cs="黑体"/>
          <w:color w:val="000000" w:themeColor="text1"/>
          <w14:textFill>
            <w14:solidFill>
              <w14:schemeClr w14:val="tx1"/>
            </w14:solidFill>
          </w14:textFill>
        </w:rPr>
      </w:pPr>
      <w:hyperlink w:anchor="_Toc21587" w:history="1">
        <w:r>
          <w:rPr>
            <w:rFonts w:ascii="黑体" w:eastAsia="黑体" w:hAnsi="黑体" w:cs="黑体" w:hint="eastAsia"/>
            <w:color w:val="000000" w:themeColor="text1"/>
            <w:kern w:val="0"/>
            <w:sz w:val="28"/>
            <w:szCs w:val="28"/>
            <w14:textFill>
              <w14:solidFill>
                <w14:schemeClr w14:val="tx1"/>
              </w14:solidFill>
            </w14:textFill>
          </w:rPr>
          <w:t>一、中小企业管理会计概述</w:t>
        </w:r>
        <w:r>
          <w:rPr>
            <w:rFonts w:ascii="宋体" w:hAnsi="宋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_Toc21587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5</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19370" w:history="1">
        <w:r>
          <w:rPr>
            <w:rFonts w:ascii="黑体" w:eastAsia="黑体" w:hAnsi="黑体" w:cs="黑体" w:hint="eastAsia"/>
            <w:color w:val="000000" w:themeColor="text1"/>
            <w:kern w:val="0"/>
            <w:sz w:val="24"/>
            <w14:textFill>
              <w14:solidFill>
                <w14:schemeClr w14:val="tx1"/>
              </w14:solidFill>
            </w14:textFill>
          </w:rPr>
          <w:t>（一）管理会计涵义</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_Toc19370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5</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1665" w:history="1">
        <w:r>
          <w:rPr>
            <w:rFonts w:ascii="黑体" w:eastAsia="黑体" w:hAnsi="黑体" w:cs="黑体" w:hint="eastAsia"/>
            <w:color w:val="000000" w:themeColor="text1"/>
            <w:kern w:val="0"/>
            <w:sz w:val="24"/>
            <w14:textFill>
              <w14:solidFill>
                <w14:schemeClr w14:val="tx1"/>
              </w14:solidFill>
            </w14:textFill>
          </w:rPr>
          <w:t>（二）中小企业概念</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_Toc1665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5</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19474" w:history="1">
        <w:r>
          <w:rPr>
            <w:rFonts w:ascii="黑体" w:eastAsia="黑体" w:hAnsi="黑体" w:cs="黑体" w:hint="eastAsia"/>
            <w:color w:val="000000" w:themeColor="text1"/>
            <w:kern w:val="0"/>
            <w:sz w:val="24"/>
            <w14:textFill>
              <w14:solidFill>
                <w14:schemeClr w14:val="tx1"/>
              </w14:solidFill>
            </w14:textFill>
          </w:rPr>
          <w:t>（三）中小企业开展管理会计工作的意义</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6</w:t>
        </w:r>
      </w:hyperlink>
    </w:p>
    <w:p>
      <w:pPr>
        <w:pStyle w:val="TOC1"/>
        <w:tabs>
          <w:tab w:val="right" w:leader="dot" w:pos="8306"/>
        </w:tabs>
        <w:spacing w:line="360" w:lineRule="auto"/>
        <w:rPr>
          <w:color w:val="000000" w:themeColor="text1"/>
          <w14:textFill>
            <w14:solidFill>
              <w14:schemeClr w14:val="tx1"/>
            </w14:solidFill>
          </w14:textFill>
        </w:rPr>
      </w:pPr>
      <w:hyperlink w:anchor="_Toc5881" w:history="1">
        <w:r>
          <w:rPr>
            <w:rFonts w:ascii="黑体" w:eastAsia="黑体" w:hAnsi="黑体" w:cs="黑体" w:hint="eastAsia"/>
            <w:color w:val="000000" w:themeColor="text1"/>
            <w:kern w:val="0"/>
            <w:sz w:val="28"/>
            <w:szCs w:val="28"/>
            <w14:textFill>
              <w14:solidFill>
                <w14:schemeClr w14:val="tx1"/>
              </w14:solidFill>
            </w14:textFill>
          </w:rPr>
          <w:t>二、中小企业管理会计应用现状</w:t>
        </w:r>
        <w:r>
          <w:rPr>
            <w:rFonts w:ascii="宋体" w:hAnsi="宋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7</w:t>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10471" w:history="1">
        <w:r>
          <w:rPr>
            <w:rFonts w:ascii="黑体" w:eastAsia="黑体" w:hAnsi="黑体" w:cs="黑体" w:hint="eastAsia"/>
            <w:color w:val="000000" w:themeColor="text1"/>
            <w:kern w:val="0"/>
            <w:sz w:val="24"/>
            <w14:textFill>
              <w14:solidFill>
                <w14:schemeClr w14:val="tx1"/>
              </w14:solidFill>
            </w14:textFill>
          </w:rPr>
          <w:t>（一）案例公司管理会计应用基本情况</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7</w:t>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12831" w:history="1">
        <w:r>
          <w:rPr>
            <w:rFonts w:ascii="黑体" w:eastAsia="黑体" w:hAnsi="黑体" w:cs="黑体" w:hint="eastAsia"/>
            <w:color w:val="000000" w:themeColor="text1"/>
            <w:kern w:val="0"/>
            <w:sz w:val="24"/>
            <w14:textFill>
              <w14:solidFill>
                <w14:schemeClr w14:val="tx1"/>
              </w14:solidFill>
            </w14:textFill>
          </w:rPr>
          <w:t>（二）中小企业管理会计应用中存在的主要问题</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_Toc12831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7</w:t>
        </w:r>
        <w:r>
          <w:rPr>
            <w:rFonts w:ascii="黑体" w:eastAsia="黑体" w:hAnsi="黑体" w:cs="黑体" w:hint="eastAsia"/>
            <w:color w:val="000000" w:themeColor="text1"/>
            <w:sz w:val="24"/>
            <w14:textFill>
              <w14:solidFill>
                <w14:schemeClr w14:val="tx1"/>
              </w14:solidFill>
            </w14:textFill>
          </w:rPr>
          <w:fldChar w:fldCharType="end"/>
        </w:r>
      </w:hyperlink>
    </w:p>
    <w:p>
      <w:pPr>
        <w:pStyle w:val="TOC3"/>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6274" w:history="1">
        <w:r>
          <w:rPr>
            <w:rFonts w:ascii="黑体" w:eastAsia="黑体" w:hAnsi="黑体" w:cs="黑体" w:hint="eastAsia"/>
            <w:color w:val="000000" w:themeColor="text1"/>
            <w:kern w:val="0"/>
            <w:sz w:val="24"/>
            <w14:textFill>
              <w14:solidFill>
                <w14:schemeClr w14:val="tx1"/>
              </w14:solidFill>
            </w14:textFill>
          </w:rPr>
          <w:t>1.战略管理普遍缺位</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_Toc26274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9</w:t>
        </w:r>
        <w:r>
          <w:rPr>
            <w:rFonts w:ascii="黑体" w:eastAsia="黑体" w:hAnsi="黑体" w:cs="黑体" w:hint="eastAsia"/>
            <w:color w:val="000000" w:themeColor="text1"/>
            <w:sz w:val="24"/>
            <w14:textFill>
              <w14:solidFill>
                <w14:schemeClr w14:val="tx1"/>
              </w14:solidFill>
            </w14:textFill>
          </w:rPr>
          <w:fldChar w:fldCharType="end"/>
        </w:r>
      </w:hyperlink>
    </w:p>
    <w:p>
      <w:pPr>
        <w:pStyle w:val="TOC3"/>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8934" w:history="1">
        <w:r>
          <w:rPr>
            <w:rFonts w:ascii="黑体" w:eastAsia="黑体" w:hAnsi="黑体" w:cs="黑体" w:hint="eastAsia"/>
            <w:color w:val="000000" w:themeColor="text1"/>
            <w:kern w:val="0"/>
            <w:sz w:val="24"/>
            <w14:textFill>
              <w14:solidFill>
                <w14:schemeClr w14:val="tx1"/>
              </w14:solidFill>
            </w14:textFill>
          </w:rPr>
          <w:t>2.预算管理不够精细</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9</w:t>
        </w:r>
      </w:hyperlink>
    </w:p>
    <w:p>
      <w:pPr>
        <w:pStyle w:val="TOC3"/>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0673" w:history="1">
        <w:r>
          <w:rPr>
            <w:rFonts w:ascii="黑体" w:eastAsia="黑体" w:hAnsi="黑体" w:cs="黑体" w:hint="eastAsia"/>
            <w:color w:val="000000" w:themeColor="text1"/>
            <w:kern w:val="0"/>
            <w:sz w:val="24"/>
            <w14:textFill>
              <w14:solidFill>
                <w14:schemeClr w14:val="tx1"/>
              </w14:solidFill>
            </w14:textFill>
          </w:rPr>
          <w:t>3.成本管理不够到位</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1</w:t>
        </w:r>
      </w:hyperlink>
      <w:r>
        <w:rPr>
          <w:rFonts w:ascii="黑体" w:eastAsia="黑体" w:hAnsi="黑体" w:cs="黑体" w:hint="eastAsia"/>
          <w:color w:val="000000" w:themeColor="text1"/>
          <w:sz w:val="24"/>
          <w14:textFill>
            <w14:solidFill>
              <w14:schemeClr w14:val="tx1"/>
            </w14:solidFill>
          </w14:textFill>
        </w:rPr>
        <w:t>0</w:t>
      </w:r>
    </w:p>
    <w:p>
      <w:pPr>
        <w:pStyle w:val="TOC3"/>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4301" w:history="1">
        <w:r>
          <w:rPr>
            <w:rFonts w:ascii="黑体" w:eastAsia="黑体" w:hAnsi="黑体" w:cs="黑体" w:hint="eastAsia"/>
            <w:color w:val="000000" w:themeColor="text1"/>
            <w:kern w:val="0"/>
            <w:sz w:val="24"/>
            <w14:textFill>
              <w14:solidFill>
                <w14:schemeClr w14:val="tx1"/>
              </w14:solidFill>
            </w14:textFill>
          </w:rPr>
          <w:t>4.营运管理不够精准</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_Toc4301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11</w:t>
        </w:r>
        <w:r>
          <w:rPr>
            <w:rFonts w:ascii="黑体" w:eastAsia="黑体" w:hAnsi="黑体" w:cs="黑体" w:hint="eastAsia"/>
            <w:color w:val="000000" w:themeColor="text1"/>
            <w:sz w:val="24"/>
            <w14:textFill>
              <w14:solidFill>
                <w14:schemeClr w14:val="tx1"/>
              </w14:solidFill>
            </w14:textFill>
          </w:rPr>
          <w:fldChar w:fldCharType="end"/>
        </w:r>
      </w:hyperlink>
    </w:p>
    <w:p>
      <w:pPr>
        <w:pStyle w:val="TOC3"/>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4354" w:history="1">
        <w:r>
          <w:rPr>
            <w:rFonts w:ascii="黑体" w:eastAsia="黑体" w:hAnsi="黑体" w:cs="黑体" w:hint="eastAsia"/>
            <w:color w:val="000000" w:themeColor="text1"/>
            <w:kern w:val="0"/>
            <w:sz w:val="24"/>
            <w14:textFill>
              <w14:solidFill>
                <w14:schemeClr w14:val="tx1"/>
              </w14:solidFill>
            </w14:textFill>
          </w:rPr>
          <w:t>5.投融资管理不够理性</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_Toc24354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12</w:t>
        </w:r>
        <w:r>
          <w:rPr>
            <w:rFonts w:ascii="黑体" w:eastAsia="黑体" w:hAnsi="黑体" w:cs="黑体" w:hint="eastAsia"/>
            <w:color w:val="000000" w:themeColor="text1"/>
            <w:sz w:val="24"/>
            <w14:textFill>
              <w14:solidFill>
                <w14:schemeClr w14:val="tx1"/>
              </w14:solidFill>
            </w14:textFill>
          </w:rPr>
          <w:fldChar w:fldCharType="end"/>
        </w:r>
      </w:hyperlink>
    </w:p>
    <w:p>
      <w:pPr>
        <w:pStyle w:val="TOC3"/>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1066" w:history="1">
        <w:r>
          <w:rPr>
            <w:rFonts w:ascii="黑体" w:eastAsia="黑体" w:hAnsi="黑体" w:cs="黑体" w:hint="eastAsia"/>
            <w:color w:val="000000" w:themeColor="text1"/>
            <w:kern w:val="0"/>
            <w:sz w:val="24"/>
            <w14:textFill>
              <w14:solidFill>
                <w14:schemeClr w14:val="tx1"/>
              </w14:solidFill>
            </w14:textFill>
          </w:rPr>
          <w:t>6.绩效管理方法单一</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1</w:t>
        </w:r>
      </w:hyperlink>
      <w:r>
        <w:rPr>
          <w:rFonts w:ascii="黑体" w:eastAsia="黑体" w:hAnsi="黑体" w:cs="黑体" w:hint="eastAsia"/>
          <w:color w:val="000000" w:themeColor="text1"/>
          <w:sz w:val="24"/>
          <w14:textFill>
            <w14:solidFill>
              <w14:schemeClr w14:val="tx1"/>
            </w14:solidFill>
          </w14:textFill>
        </w:rPr>
        <w:t>2</w:t>
      </w:r>
    </w:p>
    <w:p>
      <w:pPr>
        <w:pStyle w:val="TOC3"/>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9354" w:history="1">
        <w:r>
          <w:rPr>
            <w:rFonts w:ascii="黑体" w:eastAsia="黑体" w:hAnsi="黑体" w:cs="黑体" w:hint="eastAsia"/>
            <w:color w:val="000000" w:themeColor="text1"/>
            <w:kern w:val="0"/>
            <w:sz w:val="24"/>
            <w14:textFill>
              <w14:solidFill>
                <w14:schemeClr w14:val="tx1"/>
              </w14:solidFill>
            </w14:textFill>
          </w:rPr>
          <w:t>7.企业管理会计报告不够全面</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_Toc29354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13</w:t>
        </w:r>
        <w:r>
          <w:rPr>
            <w:rFonts w:ascii="黑体" w:eastAsia="黑体" w:hAnsi="黑体" w:cs="黑体" w:hint="eastAsia"/>
            <w:color w:val="000000" w:themeColor="text1"/>
            <w:sz w:val="24"/>
            <w14:textFill>
              <w14:solidFill>
                <w14:schemeClr w14:val="tx1"/>
              </w14:solidFill>
            </w14:textFill>
          </w:rPr>
          <w:fldChar w:fldCharType="end"/>
        </w:r>
      </w:hyperlink>
    </w:p>
    <w:p>
      <w:pPr>
        <w:pStyle w:val="TOC1"/>
        <w:tabs>
          <w:tab w:val="right" w:leader="dot" w:pos="8306"/>
        </w:tabs>
        <w:spacing w:line="360" w:lineRule="auto"/>
        <w:rPr>
          <w:color w:val="000000" w:themeColor="text1"/>
          <w14:textFill>
            <w14:solidFill>
              <w14:schemeClr w14:val="tx1"/>
            </w14:solidFill>
          </w14:textFill>
        </w:rPr>
      </w:pPr>
      <w:hyperlink w:anchor="_Toc3619" w:history="1">
        <w:r>
          <w:rPr>
            <w:rFonts w:ascii="黑体" w:eastAsia="黑体" w:hAnsi="黑体" w:cs="黑体" w:hint="eastAsia"/>
            <w:color w:val="000000" w:themeColor="text1"/>
            <w:kern w:val="0"/>
            <w:sz w:val="28"/>
            <w:szCs w:val="28"/>
            <w14:textFill>
              <w14:solidFill>
                <w14:schemeClr w14:val="tx1"/>
              </w14:solidFill>
            </w14:textFill>
          </w:rPr>
          <w:t>三、中小企业管理会计应用存在问题的原因分析</w:t>
        </w:r>
        <w:r>
          <w:rPr>
            <w:rFonts w:ascii="宋体" w:hAnsi="宋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_Toc3619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15</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8147" w:history="1">
        <w:r>
          <w:rPr>
            <w:rFonts w:ascii="黑体" w:eastAsia="黑体" w:hAnsi="黑体" w:cs="黑体" w:hint="eastAsia"/>
            <w:color w:val="000000" w:themeColor="text1"/>
            <w:kern w:val="0"/>
            <w:sz w:val="24"/>
            <w14:textFill>
              <w14:solidFill>
                <w14:schemeClr w14:val="tx1"/>
              </w14:solidFill>
            </w14:textFill>
          </w:rPr>
          <w:t>（一）管理会计的基础教育缺乏规范性</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_Toc8147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15</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3275" w:history="1">
        <w:r>
          <w:rPr>
            <w:rFonts w:ascii="黑体" w:eastAsia="黑体" w:hAnsi="黑体" w:cs="黑体" w:hint="eastAsia"/>
            <w:color w:val="000000" w:themeColor="text1"/>
            <w:kern w:val="0"/>
            <w:sz w:val="24"/>
            <w14:textFill>
              <w14:solidFill>
                <w14:schemeClr w14:val="tx1"/>
              </w14:solidFill>
            </w14:textFill>
          </w:rPr>
          <w:t>（二）管理会计应用指引可操作性不强</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_Toc23275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15</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6941" w:history="1">
        <w:r>
          <w:rPr>
            <w:rFonts w:ascii="黑体" w:eastAsia="黑体" w:hAnsi="黑体" w:cs="黑体" w:hint="eastAsia"/>
            <w:color w:val="000000" w:themeColor="text1"/>
            <w:kern w:val="0"/>
            <w:sz w:val="24"/>
            <w14:textFill>
              <w14:solidFill>
                <w14:schemeClr w14:val="tx1"/>
              </w14:solidFill>
            </w14:textFill>
          </w:rPr>
          <w:t>（三）中小企业不够重视管理会计</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_Toc6941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15</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76" w:history="1">
        <w:r>
          <w:rPr>
            <w:rFonts w:ascii="黑体" w:eastAsia="黑体" w:hAnsi="黑体" w:cs="黑体" w:hint="eastAsia"/>
            <w:color w:val="000000" w:themeColor="text1"/>
            <w:kern w:val="0"/>
            <w:sz w:val="24"/>
            <w14:textFill>
              <w14:solidFill>
                <w14:schemeClr w14:val="tx1"/>
              </w14:solidFill>
            </w14:textFill>
          </w:rPr>
          <w:t>（四）人员素质不适应管理会计需求</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1</w:t>
        </w:r>
      </w:hyperlink>
      <w:r>
        <w:rPr>
          <w:rFonts w:ascii="黑体" w:eastAsia="黑体" w:hAnsi="黑体" w:cs="黑体" w:hint="eastAsia"/>
          <w:color w:val="000000" w:themeColor="text1"/>
          <w:sz w:val="24"/>
          <w14:textFill>
            <w14:solidFill>
              <w14:schemeClr w14:val="tx1"/>
            </w14:solidFill>
          </w14:textFill>
        </w:rPr>
        <w:t>4</w:t>
      </w:r>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sectPr>
          <w:footerReference w:type="default" r:id="rId7"/>
          <w:footnotePr>
            <w:numFmt w:val="decimalEnclosedCircleChinese"/>
          </w:footnotePr>
          <w:type w:val="nextPage"/>
          <w:pgSz w:w="11906" w:h="16838"/>
          <w:pgMar w:top="1440" w:right="1800" w:bottom="1440" w:left="1800" w:header="851" w:footer="992" w:gutter="0"/>
          <w:pgNumType w:fmt="upperRoman" w:start="2"/>
          <w:cols w:num="1" w:space="425"/>
          <w:titlePg w:val="0"/>
          <w:docGrid w:type="lines" w:linePitch="312" w:charSpace="0"/>
        </w:sectPr>
      </w:pPr>
      <w:hyperlink w:anchor="_Toc12509" w:history="1">
        <w:r>
          <w:rPr>
            <w:rFonts w:ascii="黑体" w:eastAsia="黑体" w:hAnsi="黑体" w:cs="黑体" w:hint="eastAsia"/>
            <w:color w:val="000000" w:themeColor="text1"/>
            <w:kern w:val="0"/>
            <w:sz w:val="24"/>
            <w14:textFill>
              <w14:solidFill>
                <w14:schemeClr w14:val="tx1"/>
              </w14:solidFill>
            </w14:textFill>
          </w:rPr>
          <w:t>（五）中小企业管理会计执行力度不够</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_Toc12509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16</w:t>
        </w:r>
        <w:r>
          <w:rPr>
            <w:rFonts w:ascii="黑体" w:eastAsia="黑体" w:hAnsi="黑体" w:cs="黑体" w:hint="eastAsia"/>
            <w:color w:val="000000" w:themeColor="text1"/>
            <w:sz w:val="24"/>
            <w14:textFill>
              <w14:solidFill>
                <w14:schemeClr w14:val="tx1"/>
              </w14:solidFill>
            </w14:textFill>
          </w:rPr>
          <w:fldChar w:fldCharType="end"/>
        </w:r>
      </w:hyperlink>
    </w:p>
    <w:p>
      <w:pPr>
        <w:pStyle w:val="TOC1"/>
        <w:tabs>
          <w:tab w:val="right" w:leader="dot" w:pos="8306"/>
        </w:tabs>
        <w:spacing w:line="360" w:lineRule="auto"/>
        <w:rPr>
          <w:color w:val="000000" w:themeColor="text1"/>
          <w14:textFill>
            <w14:solidFill>
              <w14:schemeClr w14:val="tx1"/>
            </w14:solidFill>
          </w14:textFill>
        </w:rPr>
      </w:pPr>
      <w:hyperlink w:anchor="_Toc19068" w:history="1">
        <w:r>
          <w:rPr>
            <w:rFonts w:ascii="黑体" w:eastAsia="黑体" w:hAnsi="黑体" w:cs="黑体" w:hint="eastAsia"/>
            <w:color w:val="000000" w:themeColor="text1"/>
            <w:kern w:val="0"/>
            <w:sz w:val="28"/>
            <w:szCs w:val="28"/>
            <w14:textFill>
              <w14:solidFill>
                <w14:schemeClr w14:val="tx1"/>
              </w14:solidFill>
            </w14:textFill>
          </w:rPr>
          <w:t>四、进一步提高中小企业管理会计应用水平的对策</w:t>
        </w:r>
        <w:r>
          <w:rPr>
            <w:rFonts w:ascii="宋体" w:hAnsi="宋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_Toc19068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17</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2681" w:history="1">
        <w:r>
          <w:rPr>
            <w:rFonts w:ascii="黑体" w:eastAsia="黑体" w:hAnsi="黑体" w:cs="黑体" w:hint="eastAsia"/>
            <w:color w:val="000000" w:themeColor="text1"/>
            <w:kern w:val="0"/>
            <w:sz w:val="24"/>
            <w14:textFill>
              <w14:solidFill>
                <w14:schemeClr w14:val="tx1"/>
              </w14:solidFill>
            </w14:textFill>
          </w:rPr>
          <w:t>（一）抓好管理会计基础教育  </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_Toc22681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17</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18056" w:history="1">
        <w:r>
          <w:rPr>
            <w:rFonts w:ascii="黑体" w:eastAsia="黑体" w:hAnsi="黑体" w:cs="黑体" w:hint="eastAsia"/>
            <w:color w:val="000000" w:themeColor="text1"/>
            <w:kern w:val="0"/>
            <w:sz w:val="24"/>
            <w14:textFill>
              <w14:solidFill>
                <w14:schemeClr w14:val="tx1"/>
              </w14:solidFill>
            </w14:textFill>
          </w:rPr>
          <w:t>（二）提高管理会计应用指引的可操作性</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_Toc18056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17</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30809" w:history="1">
        <w:r>
          <w:rPr>
            <w:rFonts w:ascii="黑体" w:eastAsia="黑体" w:hAnsi="黑体" w:cs="黑体" w:hint="eastAsia"/>
            <w:color w:val="000000" w:themeColor="text1"/>
            <w:kern w:val="0"/>
            <w:sz w:val="24"/>
            <w14:textFill>
              <w14:solidFill>
                <w14:schemeClr w14:val="tx1"/>
              </w14:solidFill>
            </w14:textFill>
          </w:rPr>
          <w:t>（三）提高中小企业对管理会计的认识程度</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_Toc30809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17</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25278" w:history="1">
        <w:r>
          <w:rPr>
            <w:rFonts w:ascii="黑体" w:eastAsia="黑体" w:hAnsi="黑体" w:cs="黑体" w:hint="eastAsia"/>
            <w:color w:val="000000" w:themeColor="text1"/>
            <w:kern w:val="0"/>
            <w:sz w:val="24"/>
            <w14:textFill>
              <w14:solidFill>
                <w14:schemeClr w14:val="tx1"/>
              </w14:solidFill>
            </w14:textFill>
          </w:rPr>
          <w:t>（四）提升中小企业员工综合素质</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_Toc25278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18</w:t>
        </w:r>
        <w:r>
          <w:rPr>
            <w:rFonts w:ascii="黑体" w:eastAsia="黑体" w:hAnsi="黑体" w:cs="黑体" w:hint="eastAsia"/>
            <w:color w:val="000000" w:themeColor="text1"/>
            <w:sz w:val="24"/>
            <w14:textFill>
              <w14:solidFill>
                <w14:schemeClr w14:val="tx1"/>
              </w14:solidFill>
            </w14:textFill>
          </w:rPr>
          <w:fldChar w:fldCharType="end"/>
        </w:r>
      </w:hyperlink>
    </w:p>
    <w:p>
      <w:pPr>
        <w:pStyle w:val="TOC2"/>
        <w:tabs>
          <w:tab w:val="right" w:leader="dot" w:pos="8306"/>
        </w:tabs>
        <w:spacing w:line="360" w:lineRule="auto"/>
        <w:rPr>
          <w:rFonts w:ascii="黑体" w:eastAsia="黑体" w:hAnsi="黑体" w:cs="黑体"/>
          <w:color w:val="000000" w:themeColor="text1"/>
          <w:sz w:val="24"/>
          <w14:textFill>
            <w14:solidFill>
              <w14:schemeClr w14:val="tx1"/>
            </w14:solidFill>
          </w14:textFill>
        </w:rPr>
      </w:pPr>
      <w:hyperlink w:anchor="_Toc3058" w:history="1">
        <w:r>
          <w:rPr>
            <w:rFonts w:ascii="黑体" w:eastAsia="黑体" w:hAnsi="黑体" w:cs="黑体" w:hint="eastAsia"/>
            <w:color w:val="000000" w:themeColor="text1"/>
            <w:kern w:val="0"/>
            <w:sz w:val="24"/>
            <w14:textFill>
              <w14:solidFill>
                <w14:schemeClr w14:val="tx1"/>
              </w14:solidFill>
            </w14:textFill>
          </w:rPr>
          <w:t>（五）加大中小企业管理会计执行力度</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1</w:t>
        </w:r>
      </w:hyperlink>
      <w:r>
        <w:rPr>
          <w:rFonts w:ascii="黑体" w:eastAsia="黑体" w:hAnsi="黑体" w:cs="黑体" w:hint="eastAsia"/>
          <w:color w:val="000000" w:themeColor="text1"/>
          <w:sz w:val="24"/>
          <w14:textFill>
            <w14:solidFill>
              <w14:schemeClr w14:val="tx1"/>
            </w14:solidFill>
          </w14:textFill>
        </w:rPr>
        <w:t>7</w:t>
      </w:r>
    </w:p>
    <w:p>
      <w:pPr>
        <w:pStyle w:val="TOC1"/>
        <w:tabs>
          <w:tab w:val="right" w:leader="dot" w:pos="8306"/>
        </w:tabs>
        <w:spacing w:line="360" w:lineRule="auto"/>
        <w:rPr>
          <w:color w:val="000000" w:themeColor="text1"/>
          <w14:textFill>
            <w14:solidFill>
              <w14:schemeClr w14:val="tx1"/>
            </w14:solidFill>
          </w14:textFill>
        </w:rPr>
      </w:pPr>
      <w:hyperlink w:anchor="_Toc24409" w:history="1">
        <w:r>
          <w:rPr>
            <w:rFonts w:ascii="黑体" w:eastAsia="黑体" w:hAnsi="黑体" w:cs="黑体" w:hint="eastAsia"/>
            <w:color w:val="000000" w:themeColor="text1"/>
            <w:sz w:val="24"/>
            <w14:textFill>
              <w14:solidFill>
                <w14:schemeClr w14:val="tx1"/>
              </w14:solidFill>
            </w14:textFill>
          </w:rPr>
          <w:t>结论</w:t>
        </w:r>
        <w:r>
          <w:rPr>
            <w:rFonts w:ascii="黑体" w:eastAsia="黑体" w:hAnsi="黑体" w:cs="黑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t>1</w:t>
        </w:r>
      </w:hyperlink>
      <w:r>
        <w:rPr>
          <w:rFonts w:ascii="黑体" w:eastAsia="黑体" w:hAnsi="黑体" w:cs="黑体" w:hint="eastAsia"/>
          <w:color w:val="000000" w:themeColor="text1"/>
          <w:sz w:val="24"/>
          <w14:textFill>
            <w14:solidFill>
              <w14:schemeClr w14:val="tx1"/>
            </w14:solidFill>
          </w14:textFill>
        </w:rPr>
        <w:t>9</w:t>
      </w:r>
    </w:p>
    <w:p>
      <w:pPr>
        <w:pStyle w:val="TOC1"/>
        <w:tabs>
          <w:tab w:val="right" w:leader="dot" w:pos="8306"/>
        </w:tabs>
        <w:spacing w:line="360" w:lineRule="auto"/>
        <w:rPr>
          <w:rFonts w:ascii="宋体" w:hAnsi="宋体"/>
          <w:color w:val="000000" w:themeColor="text1"/>
          <w14:textFill>
            <w14:solidFill>
              <w14:schemeClr w14:val="tx1"/>
            </w14:solidFill>
          </w14:textFill>
        </w:rPr>
      </w:pPr>
      <w:hyperlink w:anchor="_Toc8077" w:history="1">
        <w:r>
          <w:rPr>
            <w:rFonts w:ascii="黑体" w:eastAsia="黑体" w:hAnsi="黑体" w:cs="黑体" w:hint="eastAsia"/>
            <w:color w:val="000000" w:themeColor="text1"/>
            <w:kern w:val="0"/>
            <w:sz w:val="28"/>
            <w:szCs w:val="28"/>
            <w14:textFill>
              <w14:solidFill>
                <w14:schemeClr w14:val="tx1"/>
              </w14:solidFill>
            </w14:textFill>
          </w:rPr>
          <w:t>参考文献</w:t>
        </w:r>
        <w:r>
          <w:rPr>
            <w:rFonts w:ascii="宋体" w:hAnsi="宋体" w:hint="eastAsia"/>
            <w:color w:val="000000" w:themeColor="text1"/>
            <w:sz w:val="24"/>
            <w14:textFill>
              <w14:solidFill>
                <w14:schemeClr w14:val="tx1"/>
              </w14:solidFill>
            </w14:textFill>
          </w:rPr>
          <w:tab/>
        </w:r>
        <w:r>
          <w:rPr>
            <w:rFonts w:ascii="黑体" w:eastAsia="黑体" w:hAnsi="黑体" w:cs="黑体" w:hint="eastAsia"/>
            <w:color w:val="000000" w:themeColor="text1"/>
            <w:sz w:val="24"/>
            <w14:textFill>
              <w14:solidFill>
                <w14:schemeClr w14:val="tx1"/>
              </w14:solidFill>
            </w14:textFill>
          </w:rPr>
          <w:fldChar w:fldCharType="begin"/>
        </w:r>
        <w:r>
          <w:rPr>
            <w:rFonts w:ascii="黑体" w:eastAsia="黑体" w:hAnsi="黑体" w:cs="黑体" w:hint="eastAsia"/>
            <w:color w:val="000000" w:themeColor="text1"/>
            <w:sz w:val="24"/>
            <w14:textFill>
              <w14:solidFill>
                <w14:schemeClr w14:val="tx1"/>
              </w14:solidFill>
            </w14:textFill>
          </w:rPr>
          <w:instrText xml:space="preserve"> PAGEREF _Toc8077 </w:instrText>
        </w:r>
        <w:r>
          <w:rPr>
            <w:rFonts w:ascii="黑体" w:eastAsia="黑体" w:hAnsi="黑体" w:cs="黑体" w:hint="eastAsia"/>
            <w:color w:val="000000" w:themeColor="text1"/>
            <w:sz w:val="24"/>
            <w14:textFill>
              <w14:solidFill>
                <w14:schemeClr w14:val="tx1"/>
              </w14:solidFill>
            </w14:textFill>
          </w:rPr>
          <w:fldChar w:fldCharType="separate"/>
        </w:r>
        <w:r>
          <w:rPr>
            <w:rFonts w:ascii="黑体" w:eastAsia="黑体" w:hAnsi="黑体" w:cs="黑体" w:hint="eastAsia"/>
            <w:color w:val="000000" w:themeColor="text1"/>
            <w:sz w:val="24"/>
            <w14:textFill>
              <w14:solidFill>
                <w14:schemeClr w14:val="tx1"/>
              </w14:solidFill>
            </w14:textFill>
          </w:rPr>
          <w:t>20</w:t>
        </w:r>
        <w:r>
          <w:rPr>
            <w:rFonts w:ascii="黑体" w:eastAsia="黑体" w:hAnsi="黑体" w:cs="黑体" w:hint="eastAsia"/>
            <w:color w:val="000000" w:themeColor="text1"/>
            <w:sz w:val="24"/>
            <w14:textFill>
              <w14:solidFill>
                <w14:schemeClr w14:val="tx1"/>
              </w14:solidFill>
            </w14:textFill>
          </w:rPr>
          <w:fldChar w:fldCharType="end"/>
        </w:r>
      </w:hyperlink>
    </w:p>
    <w:p>
      <w:pPr>
        <w:spacing w:line="360" w:lineRule="auto"/>
        <w:rPr>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fldChar w:fldCharType="end"/>
      </w:r>
      <w:bookmarkStart w:id="6" w:name="_GoBack"/>
      <w:bookmarkEnd w:id="6"/>
    </w:p>
    <w:p>
      <w:pPr>
        <w:spacing w:line="360" w:lineRule="auto"/>
        <w:jc w:val="center"/>
        <w:rPr>
          <w:rFonts w:ascii="黑体" w:eastAsia="黑体" w:hAnsi="Times New Roman" w:cs="Times New Roman"/>
          <w:color w:val="000000" w:themeColor="text1"/>
          <w:sz w:val="28"/>
          <w:szCs w:val="28"/>
          <w14:textFill>
            <w14:solidFill>
              <w14:schemeClr w14:val="tx1"/>
            </w14:solidFill>
          </w14:textFill>
        </w:rPr>
        <w:sectPr>
          <w:footerReference w:type="default" r:id="rId8"/>
          <w:footnotePr>
            <w:numFmt w:val="decimalEnclosedCircleChinese"/>
          </w:footnotePr>
          <w:type w:val="nextPage"/>
          <w:pgSz w:w="11906" w:h="16838"/>
          <w:pgMar w:top="1440" w:right="1800" w:bottom="1440" w:left="1800" w:header="851" w:footer="992" w:gutter="0"/>
          <w:pgNumType w:fmt="upperRoman" w:start="3"/>
          <w:cols w:num="1" w:space="425"/>
          <w:titlePg w:val="0"/>
          <w:docGrid w:type="lines" w:linePitch="312" w:charSpace="0"/>
        </w:sectPr>
      </w:pPr>
    </w:p>
    <w:p>
      <w:pPr>
        <w:jc w:val="center"/>
        <w:rPr>
          <w:rFonts w:ascii="黑体" w:eastAsia="黑体" w:hAnsi="Times New Roman" w:cs="Times New Roman"/>
          <w:color w:val="000000" w:themeColor="text1"/>
          <w:sz w:val="28"/>
          <w:szCs w:val="28"/>
          <w14:textFill>
            <w14:solidFill>
              <w14:schemeClr w14:val="tx1"/>
            </w14:solidFill>
          </w14:textFill>
        </w:rPr>
      </w:pPr>
    </w:p>
    <w:p>
      <w:pPr>
        <w:spacing w:line="360" w:lineRule="auto"/>
        <w:jc w:val="center"/>
        <w:outlineLvl w:val="0"/>
        <w:rPr>
          <w:rFonts w:ascii="黑体" w:eastAsia="黑体" w:hAnsi="黑体" w:cs="黑体"/>
          <w:color w:val="000000" w:themeColor="text1"/>
          <w:sz w:val="32"/>
          <w:szCs w:val="32"/>
          <w14:textFill>
            <w14:solidFill>
              <w14:schemeClr w14:val="tx1"/>
            </w14:solidFill>
          </w14:textFill>
        </w:rPr>
      </w:pPr>
      <w:bookmarkStart w:id="7" w:name="_Toc20803"/>
      <w:r>
        <w:rPr>
          <w:rFonts w:ascii="黑体" w:eastAsia="黑体" w:hAnsi="黑体" w:cs="黑体" w:hint="eastAsia"/>
          <w:color w:val="000000" w:themeColor="text1"/>
          <w:sz w:val="32"/>
          <w:szCs w:val="32"/>
          <w14:textFill>
            <w14:solidFill>
              <w14:schemeClr w14:val="tx1"/>
            </w14:solidFill>
          </w14:textFill>
        </w:rPr>
        <w:t>引 言</w:t>
      </w:r>
      <w:bookmarkEnd w:id="7"/>
    </w:p>
    <w:p>
      <w:pPr>
        <w:spacing w:line="360" w:lineRule="auto"/>
        <w:ind w:firstLine="465"/>
        <w:jc w:val="center"/>
        <w:rPr>
          <w:rFonts w:ascii="黑体" w:eastAsia="黑体" w:hAnsi="Times New Roman" w:cs="Times New Roman"/>
          <w:color w:val="000000" w:themeColor="text1"/>
          <w:sz w:val="28"/>
          <w:szCs w:val="28"/>
          <w14:textFill>
            <w14:solidFill>
              <w14:schemeClr w14:val="tx1"/>
            </w14:solidFill>
          </w14:textFill>
        </w:rPr>
      </w:pPr>
    </w:p>
    <w:p>
      <w:pPr>
        <w:spacing w:line="360" w:lineRule="auto"/>
        <w:ind w:firstLine="480" w:firstLineChars="200"/>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（一）研究背景及目的</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1.研究背景</w:t>
      </w:r>
    </w:p>
    <w:p>
      <w:pPr>
        <w:spacing w:line="360" w:lineRule="auto"/>
        <w:ind w:firstLine="480" w:firstLineChars="200"/>
        <w:rPr>
          <w:rFonts w:ascii="宋体" w:hAnsi="宋体" w:hint="eastAsia"/>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进入新世纪以来，世界经济发展开启了新的篇章。</w:t>
      </w:r>
      <w:r>
        <w:rPr>
          <w:rFonts w:ascii="宋体" w:hAnsi="宋体" w:hint="eastAsia"/>
          <w:color w:val="000000" w:themeColor="text1"/>
          <w:sz w:val="24"/>
          <w14:textFill>
            <w14:solidFill>
              <w14:schemeClr w14:val="tx1"/>
            </w14:solidFill>
          </w14:textFill>
        </w:rPr>
        <w:t>科学技术在经济发展中得到广泛的应用。为</w:t>
      </w:r>
      <w:r>
        <w:rPr>
          <w:rFonts w:ascii="宋体" w:hAnsi="宋体" w:hint="eastAsia"/>
          <w:color w:val="000000" w:themeColor="text1"/>
          <w:sz w:val="24"/>
          <w:lang w:val="en-US" w:eastAsia="zh-CN"/>
          <w14:textFill>
            <w14:solidFill>
              <w14:schemeClr w14:val="tx1"/>
            </w14:solidFill>
          </w14:textFill>
        </w:rPr>
        <w:t>适应新环境下的发展，企业开展了相关的管理创新，但是，管理会计是提升管理效率的一个重要手段，到现在并未在国内企业中进行广泛应用。在管理会计当中，一项重要的内容是责任会计，在国内的应用时间已有半个世纪。这也使得国内企业都应用了责任会计，然而，多数企业对于全面预算等方面的认知都比较浅显，同时企业高管也普遍缺乏管理会计观念，这些都造成了国内企业并未对管理会计加以科学的利用，企业普遍不重视这方面的工作。</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改革开发四十多年来，国内企业取得了快速发展，其中中小企业数量众多，已是国民经济发展当中不可获取的组成。然而，当下国内的中小企业，普遍存在规模小、</w:t>
      </w:r>
      <w:r>
        <w:rPr>
          <w:rFonts w:ascii="宋体" w:hAnsi="宋体" w:hint="eastAsia"/>
          <w:color w:val="000000" w:themeColor="text1"/>
          <w:sz w:val="24"/>
          <w14:textFill>
            <w14:solidFill>
              <w14:schemeClr w14:val="tx1"/>
            </w14:solidFill>
          </w14:textFill>
        </w:rPr>
        <w:t>公司人员总体素质不高、经营成本和利润相对较低等特点，其管理会计模式是基于传统的管理会计模式。因此，</w:t>
      </w:r>
      <w:r>
        <w:rPr>
          <w:rFonts w:ascii="宋体" w:hAnsi="宋体" w:hint="eastAsia"/>
          <w:color w:val="000000" w:themeColor="text1"/>
          <w:sz w:val="24"/>
          <w:lang w:val="en-US" w:eastAsia="zh-CN"/>
          <w14:textFill>
            <w14:solidFill>
              <w14:schemeClr w14:val="tx1"/>
            </w14:solidFill>
          </w14:textFill>
        </w:rPr>
        <w:t>需要基于国内中小企业的特征，积极的探索符合国内中小企业的管理会计模式，这是十分重要的，同时也是非常紧迫的。</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2.研究目的</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进入新世纪以来，国内经济增长很大部分都是来源于中小企业的拉动。所以，要想实现经济的可持续发展，一个非常重要的方面就是不断提高中小企业的整体竞争力，而内部管理是一个重要的手段。对于现代企业而言，管理会计是管理的一个重要组成，如果加以科学、合理的应用，会起到重要作用。但是，因为管理会计的相关特点，导致了其无无法形成一个统一标准的应用方法，同时国内企业也比较缺乏相关的专业人才，这些都直接或间接的导致了管理会计在国内发展非常缓慢，并且十分困难。</w:t>
      </w:r>
    </w:p>
    <w:p>
      <w:pPr>
        <w:spacing w:line="360" w:lineRule="auto"/>
        <w:ind w:firstLine="480" w:firstLineChars="200"/>
        <w:rPr>
          <w:rFonts w:ascii="宋体" w:hAnsi="宋体" w:hint="default"/>
          <w:color w:val="000000" w:themeColor="text1"/>
          <w:sz w:val="24"/>
          <w14:textFill>
            <w14:solidFill>
              <w14:schemeClr w14:val="tx1"/>
            </w14:solidFill>
          </w14:textFill>
        </w:rPr>
        <w:sectPr>
          <w:footerReference w:type="default" r:id="rId9"/>
          <w:footnotePr>
            <w:numFmt w:val="decimalEnclosedCircleChinese"/>
          </w:footnotePr>
          <w:pgSz w:w="11906" w:h="16838"/>
          <w:pgMar w:top="1440" w:right="1800" w:bottom="1440" w:left="1800" w:header="851" w:footer="992" w:gutter="0"/>
          <w:pgNumType w:start="1"/>
          <w:cols w:num="1" w:space="425"/>
          <w:docGrid w:type="lines" w:linePitch="312" w:charSpace="0"/>
        </w:sectPr>
      </w:pPr>
      <w:r>
        <w:rPr>
          <w:rFonts w:ascii="宋体" w:hAnsi="宋体" w:hint="eastAsia"/>
          <w:color w:val="000000" w:themeColor="text1"/>
          <w:sz w:val="24"/>
          <w:lang w:val="en-US" w:eastAsia="zh-CN"/>
          <w14:textFill>
            <w14:solidFill>
              <w14:schemeClr w14:val="tx1"/>
            </w14:solidFill>
          </w14:textFill>
        </w:rPr>
        <w:t>由于管理会计缺乏通用性的标准方法，这也就使得其没有办法像财务会计体系那样基于一个统一标准来执行，这就需要每个企业都需基于自身情况来建立起相关的管理会计体系。</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本文以案例公司为研究对象，</w:t>
      </w:r>
      <w:r>
        <w:rPr>
          <w:rFonts w:ascii="宋体" w:hAnsi="宋体" w:hint="eastAsia"/>
          <w:color w:val="000000" w:themeColor="text1"/>
          <w:sz w:val="24"/>
          <w:lang w:val="en-US" w:eastAsia="zh-CN"/>
          <w14:textFill>
            <w14:solidFill>
              <w14:schemeClr w14:val="tx1"/>
            </w14:solidFill>
          </w14:textFill>
        </w:rPr>
        <w:t>基于当下中小企业在管理会计方面的应用现状，找出了其中存在的一些突出问题，然后提出了一些可行的对策，希望本文能够为中小企业建立起自己的管理会计体系提供相关的参考价值。</w:t>
      </w:r>
    </w:p>
    <w:p>
      <w:pPr>
        <w:spacing w:line="360" w:lineRule="auto"/>
        <w:ind w:firstLine="480" w:firstLineChars="200"/>
        <w:rPr>
          <w:rFonts w:ascii="黑体" w:eastAsia="黑体" w:hAnsi="黑体" w:cs="黑体"/>
          <w:color w:val="000000" w:themeColor="text1"/>
          <w:kern w:val="0"/>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（二）</w:t>
      </w:r>
      <w:r>
        <w:rPr>
          <w:rFonts w:ascii="黑体" w:eastAsia="黑体" w:hAnsi="黑体" w:cs="黑体" w:hint="eastAsia"/>
          <w:color w:val="000000" w:themeColor="text1"/>
          <w:kern w:val="0"/>
          <w:sz w:val="24"/>
          <w14:textFill>
            <w14:solidFill>
              <w14:schemeClr w14:val="tx1"/>
            </w14:solidFill>
          </w14:textFill>
        </w:rPr>
        <w:t>国内外研究现状</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1.国外研究现状</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现代企业的经营环境日益复杂，这对于管理会计的应用产生了相关的影响。在美国，企业管理会计又发展出了一些新的管理内如，如，企业流程再造</w:t>
      </w:r>
      <w:r>
        <w:rPr>
          <w:rFonts w:ascii="宋体" w:hAnsi="宋体" w:hint="eastAsia"/>
          <w:color w:val="000000" w:themeColor="text1"/>
          <w:sz w:val="24"/>
          <w14:textFill>
            <w14:solidFill>
              <w14:schemeClr w14:val="tx1"/>
            </w14:solidFill>
          </w14:textFill>
        </w:rPr>
        <w:t>，国外众多学者都对管理会计进行了研究，其中：</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Mo dell，S.（2017）</w:t>
      </w:r>
      <w:r>
        <w:rPr>
          <w:rFonts w:ascii="宋体" w:hAnsi="宋体" w:hint="eastAsia"/>
          <w:color w:val="000000" w:themeColor="text1"/>
          <w:sz w:val="24"/>
          <w:vertAlign w:val="superscript"/>
          <w14:textFill>
            <w14:solidFill>
              <w14:schemeClr w14:val="tx1"/>
            </w14:solidFill>
          </w14:textFill>
        </w:rPr>
        <w:t>[1]</w:t>
      </w:r>
      <w:r>
        <w:rPr>
          <w:rFonts w:ascii="宋体" w:hAnsi="宋体" w:hint="eastAsia"/>
          <w:color w:val="000000" w:themeColor="text1"/>
          <w:sz w:val="24"/>
          <w14:textFill>
            <w14:solidFill>
              <w14:schemeClr w14:val="tx1"/>
            </w14:solidFill>
          </w14:textFill>
        </w:rPr>
        <w:t>提出利用成本中心会计、利润中心会计、产品成本核算等管理会计信息化工具来加强企业的内部管理。</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Mitchell，F. and Reid， G. （2016）</w:t>
      </w:r>
      <w:r>
        <w:rPr>
          <w:rFonts w:ascii="宋体" w:hAnsi="宋体" w:hint="eastAsia"/>
          <w:color w:val="000000" w:themeColor="text1"/>
          <w:sz w:val="24"/>
          <w:vertAlign w:val="superscript"/>
          <w14:textFill>
            <w14:solidFill>
              <w14:schemeClr w14:val="tx1"/>
            </w14:solidFill>
          </w14:textFill>
        </w:rPr>
        <w:t>[2]</w:t>
      </w:r>
      <w:r>
        <w:rPr>
          <w:rFonts w:ascii="宋体" w:hAnsi="宋体" w:hint="eastAsia"/>
          <w:color w:val="000000" w:themeColor="text1"/>
          <w:sz w:val="24"/>
          <w14:textFill>
            <w14:solidFill>
              <w14:schemeClr w14:val="tx1"/>
            </w14:solidFill>
          </w14:textFill>
        </w:rPr>
        <w:t>提出企业向管理会计转型，突出责任核算、责任控制、责任考核。</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2.国内研究现状</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随着我国企业的竞争越来越激烈，企业管理越来越受到重视。越来越多的学者</w:t>
      </w:r>
      <w:r>
        <w:rPr>
          <w:rFonts w:ascii="宋体" w:hAnsi="宋体" w:hint="eastAsia"/>
          <w:color w:val="000000" w:themeColor="text1"/>
          <w:sz w:val="24"/>
          <w:lang w:val="en-US" w:eastAsia="zh-CN"/>
          <w14:textFill>
            <w14:solidFill>
              <w14:schemeClr w14:val="tx1"/>
            </w14:solidFill>
          </w14:textFill>
        </w:rPr>
        <w:t>基于不同视角进行了许多的研究工作，主要有：</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李月平</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6</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[3]</w:t>
      </w:r>
      <w:r>
        <w:rPr>
          <w:rFonts w:ascii="宋体" w:hAnsi="宋体" w:hint="eastAsia"/>
          <w:color w:val="000000" w:themeColor="text1"/>
          <w:sz w:val="24"/>
          <w:lang w:val="en-US" w:eastAsia="zh-CN"/>
          <w14:textFill>
            <w14:solidFill>
              <w14:schemeClr w14:val="tx1"/>
            </w14:solidFill>
          </w14:textFill>
        </w:rPr>
        <w:t>通过对企业开展的相关研究分析，最后得出了这样的结论：在企业的经营当中，成本费用对于利润会带来较大的影响，在社会主义市场经济体制下，企业要想获得比较可观的利润，既要保持相关的竞争力，同时也要提高自身适应能力。</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王岩</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6</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[4]</w:t>
      </w:r>
      <w:r>
        <w:rPr>
          <w:rFonts w:ascii="宋体" w:hAnsi="宋体" w:hint="eastAsia"/>
          <w:color w:val="000000" w:themeColor="text1"/>
          <w:sz w:val="24"/>
          <w14:textFill>
            <w14:solidFill>
              <w14:schemeClr w14:val="tx1"/>
            </w14:solidFill>
          </w14:textFill>
        </w:rPr>
        <w:t>提出中小企业应该引进专业性人才，</w:t>
      </w:r>
      <w:r>
        <w:rPr>
          <w:rFonts w:ascii="宋体" w:hAnsi="宋体" w:hint="eastAsia"/>
          <w:color w:val="000000" w:themeColor="text1"/>
          <w:sz w:val="24"/>
          <w:lang w:val="en-US" w:eastAsia="zh-CN"/>
          <w14:textFill>
            <w14:solidFill>
              <w14:schemeClr w14:val="tx1"/>
            </w14:solidFill>
          </w14:textFill>
        </w:rPr>
        <w:t>同时对企业的员工开展定期的培训，从而提高部门管理者的全局观，提供更多的高价值信息。</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王守文</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6</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[5]</w:t>
      </w:r>
      <w:r>
        <w:rPr>
          <w:rFonts w:ascii="宋体" w:hAnsi="宋体" w:hint="eastAsia"/>
          <w:color w:val="000000" w:themeColor="text1"/>
          <w:sz w:val="24"/>
          <w:lang w:val="en-US" w:eastAsia="zh-CN"/>
          <w14:textFill>
            <w14:solidFill>
              <w14:schemeClr w14:val="tx1"/>
            </w14:solidFill>
          </w14:textFill>
        </w:rPr>
        <w:t>通过对国内管理会计应用现状的分析，最后得出，在西方国家，管理会计被许多企业所应用，并发挥出了积极的作用，然而，国内企业并未充分的加以应用，使得其效果十分有限。</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赵晖</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6</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[6]</w:t>
      </w:r>
      <w:r>
        <w:rPr>
          <w:rFonts w:ascii="宋体" w:hAnsi="宋体" w:hint="eastAsia"/>
          <w:color w:val="000000" w:themeColor="text1"/>
          <w:sz w:val="24"/>
          <w14:textFill>
            <w14:solidFill>
              <w14:schemeClr w14:val="tx1"/>
            </w14:solidFill>
          </w14:textFill>
        </w:rPr>
        <w:t>通过对管理会计的应用分析，指出管理会计</w:t>
      </w:r>
      <w:r>
        <w:rPr>
          <w:rFonts w:ascii="宋体" w:hAnsi="宋体" w:hint="eastAsia"/>
          <w:color w:val="000000" w:themeColor="text1"/>
          <w:sz w:val="24"/>
          <w:lang w:val="en-US" w:eastAsia="zh-CN"/>
          <w14:textFill>
            <w14:solidFill>
              <w14:schemeClr w14:val="tx1"/>
            </w14:solidFill>
          </w14:textFill>
        </w:rPr>
        <w:t>具有良好的分析与预测功能，有利于改善企业的管理，为企业发展提供相关的支撑。</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罗莎</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6</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[7]</w:t>
      </w:r>
      <w:r>
        <w:rPr>
          <w:rFonts w:ascii="宋体" w:hAnsi="宋体" w:hint="eastAsia"/>
          <w:color w:val="000000" w:themeColor="text1"/>
          <w:sz w:val="24"/>
          <w:lang w:val="en-US" w:eastAsia="zh-CN"/>
          <w14:textFill>
            <w14:solidFill>
              <w14:schemeClr w14:val="tx1"/>
            </w14:solidFill>
          </w14:textFill>
        </w:rPr>
        <w:t xml:space="preserve">基于管理会计工具理论，对管理会计和成本控制的耦合性开展了相关的分析。 </w:t>
      </w:r>
    </w:p>
    <w:p>
      <w:pPr>
        <w:spacing w:line="360" w:lineRule="auto"/>
        <w:ind w:firstLine="480" w:firstLineChars="200"/>
        <w:rPr>
          <w:rFonts w:ascii="宋体" w:hAnsi="宋体"/>
          <w:color w:val="000000" w:themeColor="text1"/>
          <w:sz w:val="24"/>
          <w14:textFill>
            <w14:solidFill>
              <w14:schemeClr w14:val="tx1"/>
            </w14:solidFill>
          </w14:textFill>
        </w:rPr>
        <w:sectPr>
          <w:footerReference w:type="default" r:id="rId10"/>
          <w:footnotePr>
            <w:numFmt w:val="decimalEnclosedCircleChinese"/>
          </w:footnotePr>
          <w:type w:val="nextPage"/>
          <w:pgSz w:w="11906" w:h="16838"/>
          <w:pgMar w:top="1440" w:right="1800" w:bottom="1440" w:left="1800" w:header="851" w:footer="992" w:gutter="0"/>
          <w:pgNumType w:start="2"/>
          <w:cols w:num="1" w:space="425"/>
          <w:titlePg w:val="0"/>
          <w:docGrid w:type="lines" w:linePitch="312" w:charSpace="0"/>
        </w:sectPr>
      </w:pPr>
      <w:r>
        <w:rPr>
          <w:rFonts w:ascii="宋体" w:hAnsi="宋体"/>
          <w:color w:val="000000" w:themeColor="text1"/>
          <w:kern w:val="0"/>
          <w:sz w:val="24"/>
          <w14:textFill>
            <w14:solidFill>
              <w14:schemeClr w14:val="tx1"/>
            </w14:solidFill>
          </w14:textFill>
        </w:rPr>
        <w:t>杨佳，周东明，何芸霞</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6</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[8]</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提出公司管理人员及业务部门可以通过所得到的的管理会计信息进行公司业务发展的计划、实施，进而促进企业管理会计应用体系的</w:t>
      </w:r>
      <w:r>
        <w:rPr>
          <w:rFonts w:ascii="宋体" w:hAnsi="宋体" w:hint="eastAsia"/>
          <w:color w:val="000000" w:themeColor="text1"/>
          <w:sz w:val="24"/>
          <w:lang w:val="en-US" w:eastAsia="zh-CN"/>
          <w14:textFill>
            <w14:solidFill>
              <w14:schemeClr w14:val="tx1"/>
            </w14:solidFill>
          </w14:textFill>
        </w:rPr>
        <w:t>快速建立</w:t>
      </w:r>
      <w:r>
        <w:rPr>
          <w:rFonts w:ascii="宋体" w:hAnsi="宋体" w:hint="eastAsia"/>
          <w:color w:val="000000" w:themeColor="text1"/>
          <w:sz w:val="24"/>
          <w14:textFill>
            <w14:solidFill>
              <w14:schemeClr w14:val="tx1"/>
            </w14:solidFill>
          </w14:textFill>
        </w:rPr>
        <w:t>，提升企业价值的创造。</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刘桂娟</w:t>
      </w:r>
      <w:r>
        <w:rPr>
          <w:rFonts w:ascii="宋体" w:hAnsi="宋体" w:hint="eastAsia"/>
          <w:color w:val="000000" w:themeColor="text1"/>
          <w:sz w:val="24"/>
          <w14:textFill>
            <w14:solidFill>
              <w14:schemeClr w14:val="tx1"/>
            </w14:solidFill>
          </w14:textFill>
        </w:rPr>
        <w:t>（2017）</w:t>
      </w:r>
      <w:r>
        <w:rPr>
          <w:rFonts w:ascii="宋体" w:hAnsi="宋体" w:hint="eastAsia"/>
          <w:color w:val="000000" w:themeColor="text1"/>
          <w:sz w:val="24"/>
          <w:vertAlign w:val="superscript"/>
          <w14:textFill>
            <w14:solidFill>
              <w14:schemeClr w14:val="tx1"/>
            </w14:solidFill>
          </w14:textFill>
        </w:rPr>
        <w:t>[9]</w:t>
      </w:r>
      <w:r>
        <w:rPr>
          <w:rFonts w:ascii="宋体" w:hAnsi="宋体" w:hint="eastAsia"/>
          <w:color w:val="000000" w:themeColor="text1"/>
          <w:sz w:val="24"/>
          <w14:textFill>
            <w14:solidFill>
              <w14:schemeClr w14:val="tx1"/>
            </w14:solidFill>
          </w14:textFill>
        </w:rPr>
        <w:t>研究管理会计绩效考核这个部分，提出财务和非财务指标的平衡是管理会计中绩效考核的重要手段。</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王倩茹</w:t>
      </w:r>
      <w:r>
        <w:rPr>
          <w:rFonts w:ascii="宋体" w:hAnsi="宋体" w:hint="eastAsia"/>
          <w:color w:val="000000" w:themeColor="text1"/>
          <w:sz w:val="24"/>
          <w14:textFill>
            <w14:solidFill>
              <w14:schemeClr w14:val="tx1"/>
            </w14:solidFill>
          </w14:textFill>
        </w:rPr>
        <w:t>（2017）</w:t>
      </w:r>
      <w:r>
        <w:rPr>
          <w:rFonts w:ascii="宋体" w:hAnsi="宋体" w:hint="eastAsia"/>
          <w:color w:val="000000" w:themeColor="text1"/>
          <w:sz w:val="24"/>
          <w:vertAlign w:val="superscript"/>
          <w14:textFill>
            <w14:solidFill>
              <w14:schemeClr w14:val="tx1"/>
            </w14:solidFill>
          </w14:textFill>
        </w:rPr>
        <w:t>[10]</w:t>
      </w:r>
      <w:r>
        <w:rPr>
          <w:rFonts w:ascii="宋体" w:hAnsi="宋体" w:hint="eastAsia"/>
          <w:color w:val="000000" w:themeColor="text1"/>
          <w:sz w:val="24"/>
          <w14:textFill>
            <w14:solidFill>
              <w14:schemeClr w14:val="tx1"/>
            </w14:solidFill>
          </w14:textFill>
        </w:rPr>
        <w:t>通过分析作业成本法的优点，提出作业成本法势必成为我国未来成本管理的核心方法。</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邓蔚宇，李宁昭</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7</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[11]</w:t>
      </w:r>
      <w:r>
        <w:rPr>
          <w:rFonts w:ascii="宋体" w:hAnsi="宋体" w:hint="eastAsia"/>
          <w:color w:val="000000" w:themeColor="text1"/>
          <w:sz w:val="24"/>
          <w14:textFill>
            <w14:solidFill>
              <w14:schemeClr w14:val="tx1"/>
            </w14:solidFill>
          </w14:textFill>
        </w:rPr>
        <w:t>提出统一企业的管理会计准则，规范化地指导企业的管理会计实务，</w:t>
      </w:r>
      <w:r>
        <w:rPr>
          <w:rFonts w:ascii="宋体" w:hAnsi="宋体" w:hint="eastAsia"/>
          <w:color w:val="000000" w:themeColor="text1"/>
          <w:sz w:val="24"/>
          <w:lang w:val="en-US" w:eastAsia="zh-CN"/>
          <w14:textFill>
            <w14:solidFill>
              <w14:schemeClr w14:val="tx1"/>
            </w14:solidFill>
          </w14:textFill>
        </w:rPr>
        <w:t>从缩小与国外间的差距，</w:t>
      </w:r>
      <w:r>
        <w:rPr>
          <w:rFonts w:ascii="宋体" w:hAnsi="宋体" w:hint="eastAsia"/>
          <w:color w:val="000000" w:themeColor="text1"/>
          <w:sz w:val="24"/>
          <w14:textFill>
            <w14:solidFill>
              <w14:schemeClr w14:val="tx1"/>
            </w14:solidFill>
          </w14:textFill>
        </w:rPr>
        <w:t>帮助企业适应激烈的经济全球化的竞争。</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虞伟丽</w:t>
      </w:r>
      <w:r>
        <w:rPr>
          <w:rFonts w:ascii="宋体" w:hAnsi="宋体" w:hint="eastAsia"/>
          <w:color w:val="000000" w:themeColor="text1"/>
          <w:sz w:val="24"/>
          <w14:textFill>
            <w14:solidFill>
              <w14:schemeClr w14:val="tx1"/>
            </w14:solidFill>
          </w14:textFill>
        </w:rPr>
        <w:t>（2017）</w:t>
      </w:r>
      <w:r>
        <w:rPr>
          <w:rFonts w:ascii="宋体" w:hAnsi="宋体" w:hint="eastAsia"/>
          <w:color w:val="000000" w:themeColor="text1"/>
          <w:sz w:val="24"/>
          <w:vertAlign w:val="superscript"/>
          <w14:textFill>
            <w14:solidFill>
              <w14:schemeClr w14:val="tx1"/>
            </w14:solidFill>
          </w14:textFill>
        </w:rPr>
        <w:t>[12]</w:t>
      </w:r>
      <w:r>
        <w:rPr>
          <w:rFonts w:ascii="宋体" w:hAnsi="宋体" w:hint="eastAsia"/>
          <w:color w:val="000000" w:themeColor="text1"/>
          <w:sz w:val="24"/>
          <w14:textFill>
            <w14:solidFill>
              <w14:schemeClr w14:val="tx1"/>
            </w14:solidFill>
          </w14:textFill>
        </w:rPr>
        <w:t>提出管理会计直接决定着企业的财务管理能力，进而在很大程度上决定着企业的发展，因此在经济新常态下必须要全面提升管理会计的应用程度。</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张世孟</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7</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[13]</w:t>
      </w:r>
      <w:r>
        <w:rPr>
          <w:rFonts w:ascii="宋体" w:hAnsi="宋体" w:hint="eastAsia"/>
          <w:color w:val="000000" w:themeColor="text1"/>
          <w:sz w:val="24"/>
          <w14:textFill>
            <w14:solidFill>
              <w14:schemeClr w14:val="tx1"/>
            </w14:solidFill>
          </w14:textFill>
        </w:rPr>
        <w:t>只有改变我国管理会计</w:t>
      </w:r>
      <w:r>
        <w:rPr>
          <w:rFonts w:ascii="宋体" w:hAnsi="宋体" w:hint="eastAsia"/>
          <w:color w:val="000000" w:themeColor="text1"/>
          <w:sz w:val="24"/>
          <w:lang w:val="en-US" w:eastAsia="zh-CN"/>
          <w14:textFill>
            <w14:solidFill>
              <w14:schemeClr w14:val="tx1"/>
            </w14:solidFill>
          </w14:textFill>
        </w:rPr>
        <w:t>观念，才可以彻底的提升国内管理会计师的水平，</w:t>
      </w:r>
      <w:r>
        <w:rPr>
          <w:rFonts w:ascii="宋体" w:hAnsi="宋体" w:hint="eastAsia"/>
          <w:color w:val="000000" w:themeColor="text1"/>
          <w:sz w:val="24"/>
          <w14:textFill>
            <w14:solidFill>
              <w14:schemeClr w14:val="tx1"/>
            </w14:solidFill>
          </w14:textFill>
        </w:rPr>
        <w:t>从而促进我国企业的发展。</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张璐</w:t>
      </w:r>
      <w:r>
        <w:rPr>
          <w:rFonts w:ascii="宋体" w:hAnsi="宋体" w:hint="eastAsia"/>
          <w:color w:val="000000" w:themeColor="text1"/>
          <w:sz w:val="24"/>
          <w14:textFill>
            <w14:solidFill>
              <w14:schemeClr w14:val="tx1"/>
            </w14:solidFill>
          </w14:textFill>
        </w:rPr>
        <w:t>（201</w:t>
      </w:r>
      <w:r>
        <w:rPr>
          <w:rFonts w:ascii="宋体" w:hAnsi="宋体"/>
          <w:color w:val="000000" w:themeColor="text1"/>
          <w:sz w:val="24"/>
          <w14:textFill>
            <w14:solidFill>
              <w14:schemeClr w14:val="tx1"/>
            </w14:solidFill>
          </w14:textFill>
        </w:rPr>
        <w:t>8</w:t>
      </w:r>
      <w:r>
        <w:rPr>
          <w:rFonts w:ascii="宋体" w:hAnsi="宋体" w:hint="eastAsia"/>
          <w:color w:val="000000" w:themeColor="text1"/>
          <w:sz w:val="24"/>
          <w14:textFill>
            <w14:solidFill>
              <w14:schemeClr w14:val="tx1"/>
            </w14:solidFill>
          </w14:textFill>
        </w:rPr>
        <w:t>）</w:t>
      </w:r>
      <w:r>
        <w:rPr>
          <w:rFonts w:ascii="宋体" w:hAnsi="宋体" w:hint="eastAsia"/>
          <w:color w:val="000000" w:themeColor="text1"/>
          <w:sz w:val="24"/>
          <w:vertAlign w:val="superscript"/>
          <w14:textFill>
            <w14:solidFill>
              <w14:schemeClr w14:val="tx1"/>
            </w14:solidFill>
          </w14:textFill>
        </w:rPr>
        <w:t>[14]</w:t>
      </w:r>
      <w:r>
        <w:rPr>
          <w:rFonts w:ascii="宋体" w:hAnsi="宋体" w:hint="eastAsia"/>
          <w:color w:val="000000" w:themeColor="text1"/>
          <w:sz w:val="24"/>
          <w14:textFill>
            <w14:solidFill>
              <w14:schemeClr w14:val="tx1"/>
            </w14:solidFill>
          </w14:textFill>
        </w:rPr>
        <w:t>从分析管理会计的重要性入手，指出应充分发挥其在内部控制、预算管理和业绩考核等方面的积极作用。</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齐迪（2018）</w:t>
      </w:r>
      <w:r>
        <w:rPr>
          <w:rFonts w:ascii="宋体" w:hAnsi="宋体" w:hint="eastAsia"/>
          <w:color w:val="000000" w:themeColor="text1"/>
          <w:sz w:val="24"/>
          <w:vertAlign w:val="superscript"/>
          <w14:textFill>
            <w14:solidFill>
              <w14:schemeClr w14:val="tx1"/>
            </w14:solidFill>
          </w14:textFill>
        </w:rPr>
        <w:t>[15]</w:t>
      </w:r>
      <w:r>
        <w:rPr>
          <w:rFonts w:ascii="宋体" w:hAnsi="宋体"/>
          <w:color w:val="000000" w:themeColor="text1"/>
          <w:sz w:val="24"/>
          <w14:textFill>
            <w14:solidFill>
              <w14:schemeClr w14:val="tx1"/>
            </w14:solidFill>
          </w14:textFill>
        </w:rPr>
        <w:t>提出随着我国社会经济的进步，会计行业取得了长足发展，同时也对会计行业的专业水平也提出了新的更高的要求。</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孙丽敏，李庭（2018）</w:t>
      </w:r>
      <w:r>
        <w:rPr>
          <w:rFonts w:ascii="宋体" w:hAnsi="宋体" w:hint="eastAsia"/>
          <w:color w:val="000000" w:themeColor="text1"/>
          <w:sz w:val="24"/>
          <w:vertAlign w:val="superscript"/>
          <w14:textFill>
            <w14:solidFill>
              <w14:schemeClr w14:val="tx1"/>
            </w14:solidFill>
          </w14:textFill>
        </w:rPr>
        <w:t>[16]</w:t>
      </w:r>
      <w:r>
        <w:rPr>
          <w:rFonts w:ascii="宋体" w:hAnsi="宋体"/>
          <w:color w:val="000000" w:themeColor="text1"/>
          <w:sz w:val="24"/>
          <w14:textFill>
            <w14:solidFill>
              <w14:schemeClr w14:val="tx1"/>
            </w14:solidFill>
          </w14:textFill>
        </w:rPr>
        <w:t>提出管理会计主要的工作内容在于经营管理服务上，因此其工作的重点主要是以未来的发展为主。</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崔婕（2018）</w:t>
      </w:r>
      <w:r>
        <w:rPr>
          <w:rFonts w:ascii="宋体" w:hAnsi="宋体" w:hint="eastAsia"/>
          <w:color w:val="000000" w:themeColor="text1"/>
          <w:sz w:val="24"/>
          <w:vertAlign w:val="superscript"/>
          <w14:textFill>
            <w14:solidFill>
              <w14:schemeClr w14:val="tx1"/>
            </w14:solidFill>
          </w14:textFill>
        </w:rPr>
        <w:t>[17]</w:t>
      </w:r>
      <w:r>
        <w:rPr>
          <w:rFonts w:ascii="宋体" w:hAnsi="宋体" w:hint="eastAsia"/>
          <w:color w:val="000000" w:themeColor="text1"/>
          <w:sz w:val="24"/>
          <w:lang w:val="en-US" w:eastAsia="zh-CN"/>
          <w14:textFill>
            <w14:solidFill>
              <w14:schemeClr w14:val="tx1"/>
            </w14:solidFill>
          </w14:textFill>
        </w:rPr>
        <w:t>持有这样的观点：由于国内中小企业有着自身的特点，所以，需要基于这些特点，探索建立起适用于国内企业的管理会计模式，形成一定的中国特色。</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李安（2018）</w:t>
      </w:r>
      <w:r>
        <w:rPr>
          <w:rFonts w:ascii="宋体" w:hAnsi="宋体" w:hint="eastAsia"/>
          <w:color w:val="000000" w:themeColor="text1"/>
          <w:sz w:val="24"/>
          <w:vertAlign w:val="superscript"/>
          <w14:textFill>
            <w14:solidFill>
              <w14:schemeClr w14:val="tx1"/>
            </w14:solidFill>
          </w14:textFill>
        </w:rPr>
        <w:t>[18]</w:t>
      </w:r>
      <w:r>
        <w:rPr>
          <w:rFonts w:ascii="宋体" w:hAnsi="宋体"/>
          <w:color w:val="000000" w:themeColor="text1"/>
          <w:sz w:val="24"/>
          <w14:textFill>
            <w14:solidFill>
              <w14:schemeClr w14:val="tx1"/>
            </w14:solidFill>
          </w14:textFill>
        </w:rPr>
        <w:t>提出管理会计</w:t>
      </w:r>
      <w:r>
        <w:rPr>
          <w:rFonts w:ascii="宋体" w:hAnsi="宋体" w:hint="eastAsia"/>
          <w:color w:val="000000" w:themeColor="text1"/>
          <w:sz w:val="24"/>
          <w:lang w:val="en-US" w:eastAsia="zh-CN"/>
          <w14:textFill>
            <w14:solidFill>
              <w14:schemeClr w14:val="tx1"/>
            </w14:solidFill>
          </w14:textFill>
        </w:rPr>
        <w:t>包括多个方面的内容，如，决策分析、成本分析等，中小企业</w:t>
      </w:r>
      <w:r>
        <w:rPr>
          <w:rFonts w:ascii="宋体" w:hAnsi="宋体"/>
          <w:color w:val="000000" w:themeColor="text1"/>
          <w:sz w:val="24"/>
          <w14:textFill>
            <w14:solidFill>
              <w14:schemeClr w14:val="tx1"/>
            </w14:solidFill>
          </w14:textFill>
        </w:rPr>
        <w:t>应用管理会计具有重要的战略地位。</w:t>
      </w:r>
    </w:p>
    <w:p>
      <w:pPr>
        <w:widowControl/>
        <w:shd w:val="clear" w:color="auto" w:fill="FFFFFF"/>
        <w:spacing w:line="360" w:lineRule="auto"/>
        <w:ind w:firstLine="480" w:firstLineChars="200"/>
        <w:jc w:val="left"/>
        <w:rPr>
          <w:rFonts w:ascii="宋体" w:hAnsi="宋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（三）研究方法与研究内容</w:t>
      </w:r>
    </w:p>
    <w:p>
      <w:pPr>
        <w:widowControl/>
        <w:shd w:val="clear" w:color="auto" w:fill="FFFFFF"/>
        <w:spacing w:line="360" w:lineRule="auto"/>
        <w:ind w:firstLine="480" w:firstLineChars="200"/>
        <w:jc w:val="left"/>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1.研究方法</w:t>
      </w:r>
    </w:p>
    <w:p>
      <w:pPr>
        <w:widowControl/>
        <w:shd w:val="clear" w:color="auto" w:fill="FFFFFF"/>
        <w:spacing w:line="360" w:lineRule="auto"/>
        <w:ind w:firstLine="480" w:firstLineChars="200"/>
        <w:jc w:val="left"/>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在本文当中，主要采用了下面这2种科学研究方法：</w:t>
      </w:r>
    </w:p>
    <w:p>
      <w:pPr>
        <w:widowControl/>
        <w:shd w:val="clear" w:color="auto" w:fill="FFFFFF"/>
        <w:spacing w:line="360" w:lineRule="auto"/>
        <w:ind w:firstLine="480" w:firstLineChars="200"/>
        <w:jc w:val="left"/>
        <w:rPr>
          <w:rFonts w:ascii="宋体" w:hAnsi="宋体"/>
          <w:color w:val="000000" w:themeColor="text1"/>
          <w:sz w:val="24"/>
          <w14:textFill>
            <w14:solidFill>
              <w14:schemeClr w14:val="tx1"/>
            </w14:solidFill>
          </w14:textFill>
        </w:rPr>
        <w:sectPr>
          <w:footerReference w:type="default" r:id="rId11"/>
          <w:footnotePr>
            <w:numFmt w:val="decimalEnclosedCircleChinese"/>
          </w:footnotePr>
          <w:type w:val="nextPage"/>
          <w:pgSz w:w="11906" w:h="16838"/>
          <w:pgMar w:top="1440" w:right="1800" w:bottom="1440" w:left="1800" w:header="851" w:footer="992" w:gutter="0"/>
          <w:pgNumType w:start="3"/>
          <w:cols w:num="1" w:space="425"/>
          <w:titlePg w:val="0"/>
          <w:docGrid w:type="lines" w:linePitch="312" w:charSpace="0"/>
        </w:sectPr>
      </w:pPr>
      <w:r>
        <w:rPr>
          <w:rFonts w:ascii="宋体" w:hAnsi="宋体" w:hint="eastAsia"/>
          <w:color w:val="000000" w:themeColor="text1"/>
          <w:sz w:val="24"/>
          <w14:textFill>
            <w14:solidFill>
              <w14:schemeClr w14:val="tx1"/>
            </w14:solidFill>
          </w14:textFill>
        </w:rPr>
        <w:t>（1）文献研究法</w:t>
      </w:r>
    </w:p>
    <w:p>
      <w:pPr>
        <w:spacing w:line="360" w:lineRule="auto"/>
        <w:ind w:firstLine="480" w:firstLineChars="200"/>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其具体含义为：对已发表的国内外文献资料开展研究的一种方法。此方法是一种广泛运用的研究方法。在本文当中，主要是通过搜集国内外与本文研究相关的文献资料，并对这些资料进行整理和分析，了解和掌握管理会计的含义和相关的理论，从而为文章的后续研究提供相关的理论支撑。</w:t>
      </w:r>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（2）系统分析法</w:t>
      </w:r>
    </w:p>
    <w:p>
      <w:pPr>
        <w:widowControl/>
        <w:spacing w:line="360" w:lineRule="auto"/>
        <w:ind w:firstLine="480" w:firstLineChars="200"/>
        <w:jc w:val="left"/>
        <w:rPr>
          <w:rFonts w:ascii="宋体" w:hAnsi="宋体" w:hint="eastAsia"/>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在本文当中，选取了一个具体案例公司，对其应用管理会计开展了相关的研究分析，通过各种信息的收集，分析出了当下公司管理的现状。</w:t>
      </w:r>
    </w:p>
    <w:p>
      <w:pPr>
        <w:widowControl/>
        <w:spacing w:line="360" w:lineRule="auto"/>
        <w:ind w:firstLine="480" w:firstLineChars="200"/>
        <w:jc w:val="left"/>
        <w:rPr>
          <w:rFonts w:ascii="宋体" w:hAnsi="宋体" w:hint="default"/>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同时，基于整体的视角，找出了公司应用管理会计当中的一些突出问题，并就这些问题产生的深层次原因开展了深入分析，最后提出了一些可行的优化对策。</w:t>
      </w:r>
    </w:p>
    <w:p>
      <w:pPr>
        <w:widowControl/>
        <w:shd w:val="clear" w:color="auto" w:fill="FFFFFF"/>
        <w:spacing w:line="360" w:lineRule="auto"/>
        <w:ind w:firstLine="480" w:firstLineChars="200"/>
        <w:jc w:val="left"/>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2.研究内容</w:t>
      </w:r>
    </w:p>
    <w:p>
      <w:pPr>
        <w:spacing w:line="360" w:lineRule="auto"/>
        <w:ind w:firstLine="480" w:firstLineChars="200"/>
        <w:jc w:val="left"/>
        <w:rPr>
          <w:rFonts w:ascii="宋体" w:hAnsi="宋体" w:hint="eastAsia"/>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在本文当中，整个文章由先这5大部分组成：</w:t>
      </w:r>
    </w:p>
    <w:p>
      <w:pPr>
        <w:spacing w:line="360" w:lineRule="auto"/>
        <w:ind w:firstLine="480" w:firstLineChars="200"/>
        <w:jc w:val="left"/>
        <w:rPr>
          <w:rFonts w:ascii="宋体" w:hAnsi="宋体" w:hint="eastAsia"/>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第一部分，引言。在这个部分当中，主要介绍的是研究的背景、目的、内容以及方法，此外，还介绍了国内外在管理会计方面的研究现状。</w:t>
      </w:r>
    </w:p>
    <w:p>
      <w:pPr>
        <w:spacing w:line="360" w:lineRule="auto"/>
        <w:ind w:firstLine="480" w:firstLineChars="200"/>
        <w:jc w:val="left"/>
        <w:rPr>
          <w:rFonts w:ascii="宋体" w:hAnsi="宋体" w:hint="eastAsia"/>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第二部分，主要介绍的是一些概念，同时还阐述了企业应用管理会计所具有重要的意义。</w:t>
      </w:r>
    </w:p>
    <w:p>
      <w:pPr>
        <w:spacing w:line="360" w:lineRule="auto"/>
        <w:ind w:firstLine="480" w:firstLineChars="200"/>
        <w:jc w:val="left"/>
        <w:rPr>
          <w:rFonts w:ascii="宋体" w:hAnsi="宋体" w:hint="eastAsia"/>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第三部分，一案例公司为基础，对其在应用管理会计当中所存在的问题开展了相关的研究。</w:t>
      </w:r>
    </w:p>
    <w:p>
      <w:pPr>
        <w:spacing w:line="360" w:lineRule="auto"/>
        <w:ind w:firstLine="480" w:firstLineChars="200"/>
        <w:jc w:val="left"/>
        <w:rPr>
          <w:rFonts w:ascii="宋体" w:hAnsi="宋体" w:hint="eastAsia"/>
          <w:color w:val="000000" w:themeColor="text1"/>
          <w:sz w:val="24"/>
          <w14:textFill>
            <w14:solidFill>
              <w14:schemeClr w14:val="tx1"/>
            </w14:solidFill>
          </w14:textFill>
        </w:rPr>
      </w:pPr>
      <w:r>
        <w:rPr>
          <w:rFonts w:ascii="宋体" w:hAnsi="宋体" w:hint="eastAsia"/>
          <w:color w:val="000000" w:themeColor="text1"/>
          <w:sz w:val="24"/>
          <w:lang w:val="en-US" w:eastAsia="zh-CN"/>
          <w14:textFill>
            <w14:solidFill>
              <w14:schemeClr w14:val="tx1"/>
            </w14:solidFill>
          </w14:textFill>
        </w:rPr>
        <w:t>第四部分，主要是对第三部分的问题产生的深层次原因进行了分析。</w:t>
      </w:r>
    </w:p>
    <w:p>
      <w:pPr>
        <w:spacing w:line="360" w:lineRule="auto"/>
        <w:ind w:firstLine="480" w:firstLineChars="200"/>
        <w:jc w:val="left"/>
        <w:rPr>
          <w:rFonts w:ascii="宋体" w:hAnsi="宋体"/>
          <w:color w:val="000000" w:themeColor="text1"/>
          <w:sz w:val="24"/>
          <w14:textFill>
            <w14:solidFill>
              <w14:schemeClr w14:val="tx1"/>
            </w14:solidFill>
          </w14:textFill>
        </w:rPr>
        <w:sectPr>
          <w:footerReference w:type="default" r:id="rId12"/>
          <w:footnotePr>
            <w:numFmt w:val="decimalEnclosedCircleChinese"/>
          </w:footnotePr>
          <w:type w:val="nextPage"/>
          <w:pgSz w:w="11906" w:h="16838"/>
          <w:pgMar w:top="1440" w:right="1800" w:bottom="1440" w:left="1800" w:header="851" w:footer="992" w:gutter="0"/>
          <w:pgNumType w:start="4"/>
          <w:cols w:num="1" w:space="425"/>
          <w:titlePg w:val="0"/>
          <w:docGrid w:type="lines" w:linePitch="312" w:charSpace="0"/>
        </w:sectPr>
      </w:pPr>
      <w:r>
        <w:rPr>
          <w:rFonts w:ascii="宋体" w:hAnsi="宋体" w:hint="eastAsia"/>
          <w:color w:val="000000" w:themeColor="text1"/>
          <w:sz w:val="24"/>
          <w14:textFill>
            <w14:solidFill>
              <w14:schemeClr w14:val="tx1"/>
            </w14:solidFill>
          </w14:textFill>
        </w:rPr>
        <w:t>第五部分，提出进一步提高中小企业管理会计应用水平的对策。</w:t>
      </w:r>
    </w:p>
    <w:p>
      <w:pPr>
        <w:widowControl/>
        <w:spacing w:line="360" w:lineRule="auto"/>
        <w:jc w:val="center"/>
        <w:outlineLvl w:val="0"/>
        <w:rPr>
          <w:rFonts w:ascii="宋体" w:hAnsi="宋体"/>
          <w:color w:val="000000" w:themeColor="text1"/>
          <w:kern w:val="0"/>
          <w:sz w:val="24"/>
          <w14:textFill>
            <w14:solidFill>
              <w14:schemeClr w14:val="tx1"/>
            </w14:solidFill>
          </w14:textFill>
        </w:rPr>
      </w:pPr>
      <w:bookmarkStart w:id="8" w:name="_Toc21587"/>
      <w:r>
        <w:rPr>
          <w:rFonts w:ascii="黑体" w:eastAsia="黑体" w:hAnsi="黑体" w:cs="黑体" w:hint="eastAsia"/>
          <w:color w:val="000000" w:themeColor="text1"/>
          <w:kern w:val="0"/>
          <w:sz w:val="30"/>
          <w:szCs w:val="30"/>
          <w14:textFill>
            <w14:solidFill>
              <w14:schemeClr w14:val="tx1"/>
            </w14:solidFill>
          </w14:textFill>
        </w:rPr>
        <w:t>一、中小企业管理会计概述</w:t>
      </w:r>
      <w:bookmarkEnd w:id="8"/>
    </w:p>
    <w:p>
      <w:pPr>
        <w:widowControl/>
        <w:spacing w:line="360" w:lineRule="auto"/>
        <w:ind w:firstLine="470" w:firstLineChars="196"/>
        <w:outlineLvl w:val="1"/>
        <w:rPr>
          <w:rFonts w:ascii="黑体" w:eastAsia="黑体" w:hAnsi="黑体" w:cs="黑体"/>
          <w:color w:val="000000" w:themeColor="text1"/>
          <w:kern w:val="0"/>
          <w:sz w:val="24"/>
          <w14:textFill>
            <w14:solidFill>
              <w14:schemeClr w14:val="tx1"/>
            </w14:solidFill>
          </w14:textFill>
        </w:rPr>
      </w:pPr>
      <w:bookmarkStart w:id="9" w:name="_Toc19370"/>
      <w:r>
        <w:rPr>
          <w:rFonts w:ascii="黑体" w:eastAsia="黑体" w:hAnsi="黑体" w:cs="黑体" w:hint="eastAsia"/>
          <w:color w:val="000000" w:themeColor="text1"/>
          <w:kern w:val="0"/>
          <w:sz w:val="24"/>
          <w14:textFill>
            <w14:solidFill>
              <w14:schemeClr w14:val="tx1"/>
            </w14:solidFill>
          </w14:textFill>
        </w:rPr>
        <w:t>（一）管理会计涵义</w:t>
      </w:r>
      <w:bookmarkEnd w:id="9"/>
    </w:p>
    <w:p>
      <w:pPr>
        <w:pStyle w:val="BodyTextFirstIndent"/>
        <w:spacing w:line="360" w:lineRule="auto"/>
        <w:ind w:firstLine="480"/>
        <w:rPr>
          <w:rFonts w:ascii="宋体" w:eastAsia="宋体" w:hAnsi="宋体" w:hint="default"/>
          <w:color w:val="000000" w:themeColor="text1"/>
          <w:sz w:val="24"/>
          <w:lang w:val="en-US" w:eastAsia="zh-CN"/>
          <w14:textFill>
            <w14:solidFill>
              <w14:schemeClr w14:val="tx1"/>
            </w14:solidFill>
          </w14:textFill>
        </w:rPr>
      </w:pPr>
      <w:r>
        <w:rPr>
          <w:rFonts w:ascii="宋体" w:hAnsi="宋体" w:hint="eastAsia"/>
          <w:color w:val="000000" w:themeColor="text1"/>
          <w:sz w:val="24"/>
          <w14:textFill>
            <w14:solidFill>
              <w14:schemeClr w14:val="tx1"/>
            </w14:solidFill>
          </w14:textFill>
        </w:rPr>
        <w:t>管理会计也可以被称之为“内部报告会计”，</w:t>
      </w:r>
      <w:r>
        <w:rPr>
          <w:rFonts w:ascii="宋体" w:hAnsi="宋体" w:hint="eastAsia"/>
          <w:color w:val="000000" w:themeColor="text1"/>
          <w:sz w:val="24"/>
          <w:lang w:val="en-US" w:eastAsia="zh-CN"/>
          <w14:textFill>
            <w14:solidFill>
              <w14:schemeClr w14:val="tx1"/>
            </w14:solidFill>
          </w14:textFill>
        </w:rPr>
        <w:t>其也是属于管理学的一个方面。可理解成，会计人员为了进一步提高企业的收益，利用科学方法对财务信息开展相关的处理与分析，最后形成相关的报告，传递给企业各部门，从而使得管理者对于当下的管理控制有着比较清晰的认知。随着市场竞争的日益激烈，管理会计的作用日益凸显。在管理会计理念当中，有2个核心，分别是，价值创造和价值维护。基于这些，我们可以得出，要想实现企业的战略、业务以及财务一体化，有效性最高的工具是管理会计。</w:t>
      </w:r>
    </w:p>
    <w:p>
      <w:pPr>
        <w:widowControl/>
        <w:spacing w:line="360" w:lineRule="auto"/>
        <w:ind w:firstLine="470" w:firstLineChars="196"/>
        <w:outlineLvl w:val="1"/>
        <w:rPr>
          <w:rFonts w:ascii="黑体" w:eastAsia="黑体" w:hAnsi="黑体" w:cs="黑体"/>
          <w:color w:val="000000" w:themeColor="text1"/>
          <w:kern w:val="0"/>
          <w:sz w:val="24"/>
          <w14:textFill>
            <w14:solidFill>
              <w14:schemeClr w14:val="tx1"/>
            </w14:solidFill>
          </w14:textFill>
        </w:rPr>
      </w:pPr>
      <w:bookmarkStart w:id="10" w:name="_Toc1665"/>
      <w:r>
        <w:rPr>
          <w:rFonts w:ascii="黑体" w:eastAsia="黑体" w:hAnsi="黑体" w:cs="黑体" w:hint="eastAsia"/>
          <w:color w:val="000000" w:themeColor="text1"/>
          <w:kern w:val="0"/>
          <w:sz w:val="24"/>
          <w14:textFill>
            <w14:solidFill>
              <w14:schemeClr w14:val="tx1"/>
            </w14:solidFill>
          </w14:textFill>
        </w:rPr>
        <w:t>（二）中小企业概念</w:t>
      </w:r>
      <w:bookmarkEnd w:id="10"/>
    </w:p>
    <w:p>
      <w:pPr>
        <w:widowControl/>
        <w:spacing w:line="360" w:lineRule="auto"/>
        <w:ind w:firstLine="470" w:firstLineChars="196"/>
        <w:outlineLvl w:val="1"/>
        <w:rPr>
          <w:rFonts w:ascii="宋体" w:hAnsi="宋体" w:hint="default"/>
          <w:color w:val="000000" w:themeColor="text1"/>
          <w:kern w:val="0"/>
          <w:sz w:val="24"/>
          <w14:textFill>
            <w14:solidFill>
              <w14:schemeClr w14:val="tx1"/>
            </w14:solidFill>
          </w14:textFill>
        </w:rPr>
      </w:pPr>
      <w:r>
        <w:rPr>
          <w:rFonts w:ascii="宋体" w:hAnsi="宋体" w:hint="eastAsia"/>
          <w:color w:val="000000" w:themeColor="text1"/>
          <w:kern w:val="0"/>
          <w:sz w:val="24"/>
          <w:lang w:val="en-US" w:eastAsia="zh-CN"/>
          <w14:textFill>
            <w14:solidFill>
              <w14:schemeClr w14:val="tx1"/>
            </w14:solidFill>
          </w14:textFill>
        </w:rPr>
        <w:t>一般来说，中小企业的具体含义为：在我国依法设立的，并且在人员、经营方面的规模比较小的企业，其中包含了3类企业，分别是，微型、小型以及中型企业。对于微型、小型以及中型企业的划分标准，是根据政府部门的相关标准来进行划分。通常情况下，中小企业都是由1人或少数人筹资成立，并且雇佣的员工较少，同时营业额也较低，所以，这类企业大多数都是业主直接进行管理，受到的外界影响比较小。当下，国内中小企业的划分标准见下面的表1。</w:t>
      </w:r>
    </w:p>
    <w:p>
      <w:pPr>
        <w:widowControl/>
        <w:spacing w:line="360" w:lineRule="auto"/>
        <w:jc w:val="left"/>
        <w:rPr>
          <w:rFonts w:ascii="宋体" w:hAnsi="宋体"/>
          <w:bCs/>
          <w:color w:val="000000" w:themeColor="text1"/>
          <w:szCs w:val="21"/>
          <w14:textFill>
            <w14:solidFill>
              <w14:schemeClr w14:val="tx1"/>
            </w14:solidFill>
          </w14:textFill>
        </w:rPr>
      </w:pPr>
      <w:bookmarkStart w:id="11" w:name="_Toc19474"/>
      <w:r>
        <w:rPr>
          <w:rFonts w:ascii="宋体" w:hAnsi="宋体" w:hint="eastAsia"/>
          <w:bCs/>
          <w:color w:val="000000" w:themeColor="text1"/>
          <w:szCs w:val="21"/>
          <w14:textFill>
            <w14:solidFill>
              <w14:schemeClr w14:val="tx1"/>
            </w14:solidFill>
          </w14:textFill>
        </w:rPr>
        <w:t>表1                   我国目前中小企业按行业的划分标准</w:t>
      </w:r>
    </w:p>
    <w:tbl>
      <w:tblPr>
        <w:tblStyle w:val="TableNormal"/>
        <w:tblW w:w="8519"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596"/>
        <w:gridCol w:w="1436"/>
        <w:gridCol w:w="1011"/>
        <w:gridCol w:w="1548"/>
        <w:gridCol w:w="1464"/>
        <w:gridCol w:w="1464"/>
      </w:tblGrid>
      <w:tr>
        <w:tblPrEx>
          <w:tblW w:w="8519"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5"/>
          <w:jc w:val="center"/>
        </w:trPr>
        <w:tc>
          <w:tcPr>
            <w:tcW w:w="159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行业名称</w:t>
            </w: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指标名称</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单位</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中型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小型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备注</w:t>
            </w: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val="restart"/>
            <w:tcBorders>
              <w:top w:val="single" w:sz="4" w:space="0" w:color="auto"/>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工业企业</w:t>
            </w: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从业人员</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人</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300-2000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left"/>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中型企业必</w:t>
            </w: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销售额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3000-30000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left"/>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须满足两个</w:t>
            </w: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资产总额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4000-40000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left"/>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指标下限，</w:t>
            </w: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val="restart"/>
            <w:tcBorders>
              <w:top w:val="single" w:sz="4" w:space="0" w:color="auto"/>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建筑企业</w:t>
            </w: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从业人员</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人</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600-3000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600以下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left"/>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其余为小型</w:t>
            </w: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销售额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3000-30000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left"/>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企业。</w:t>
            </w: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资产总额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4000-40000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val="restart"/>
            <w:tcBorders>
              <w:top w:val="single" w:sz="4" w:space="0" w:color="auto"/>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批发企业</w:t>
            </w: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从业人员</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人</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100-200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100以下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销售额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3000-30000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val="restart"/>
            <w:tcBorders>
              <w:top w:val="single" w:sz="4" w:space="0" w:color="auto"/>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零售企业</w:t>
            </w: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从业人员</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人</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100-500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100以下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销售额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1000-15000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1000以下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tcBorders>
              <w:top w:val="single" w:sz="4" w:space="0" w:color="auto"/>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交通运输业</w:t>
            </w: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从业人员</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人</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500-3000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500以下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bl>
    <w:p>
      <w:pPr>
        <w:sectPr>
          <w:footerReference w:type="default" r:id="rId13"/>
          <w:footnotePr>
            <w:numFmt w:val="decimalEnclosedCircleChinese"/>
          </w:footnotePr>
          <w:type w:val="nextPage"/>
          <w:pgSz w:w="11906" w:h="16838"/>
          <w:pgMar w:top="1440" w:right="1800" w:bottom="1440" w:left="1800" w:header="851" w:footer="992" w:gutter="0"/>
          <w:pgNumType w:start="5"/>
          <w:cols w:num="1" w:space="425"/>
          <w:titlePg w:val="0"/>
          <w:docGrid w:type="lines" w:linePitch="312" w:charSpace="0"/>
        </w:sectPr>
      </w:pPr>
    </w:p>
    <w:tbl>
      <w:tblPr>
        <w:tblStyle w:val="TableNormal"/>
        <w:tblW w:w="8519"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596"/>
        <w:gridCol w:w="1436"/>
        <w:gridCol w:w="1011"/>
        <w:gridCol w:w="1548"/>
        <w:gridCol w:w="1464"/>
        <w:gridCol w:w="1464"/>
      </w:tblGrid>
      <w:tr>
        <w:tblPrEx>
          <w:tblW w:w="8519" w:type="dxa"/>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5"/>
          <w:jc w:val="center"/>
        </w:trPr>
        <w:tc>
          <w:tcPr>
            <w:tcW w:w="1596" w:type="dxa"/>
            <w:vMerge w:val="restart"/>
            <w:tcBorders>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销售额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3000-30000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val="restart"/>
            <w:tcBorders>
              <w:top w:val="single" w:sz="4" w:space="0" w:color="auto"/>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邮政业</w:t>
            </w: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从业人员</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人</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400-1000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销售额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3000-30000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val="restart"/>
            <w:tcBorders>
              <w:top w:val="single" w:sz="4" w:space="0" w:color="auto"/>
              <w:left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住宿和餐饮业</w:t>
            </w:r>
          </w:p>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从业人员</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人</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400-800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400以下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r>
        <w:tblPrEx>
          <w:tblW w:w="8519" w:type="dxa"/>
          <w:jc w:val="center"/>
          <w:tblLayout w:type="fixed"/>
          <w:tblCellMar>
            <w:top w:w="0" w:type="dxa"/>
            <w:left w:w="108" w:type="dxa"/>
            <w:bottom w:w="0" w:type="dxa"/>
            <w:right w:w="108" w:type="dxa"/>
          </w:tblCellMar>
        </w:tblPrEx>
        <w:trPr>
          <w:trHeight w:val="285"/>
          <w:jc w:val="center"/>
        </w:trPr>
        <w:tc>
          <w:tcPr>
            <w:tcW w:w="1596" w:type="dxa"/>
            <w:vMerge/>
            <w:tcBorders>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p>
        </w:tc>
        <w:tc>
          <w:tcPr>
            <w:tcW w:w="1436"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销售额</w:t>
            </w:r>
          </w:p>
        </w:tc>
        <w:tc>
          <w:tcPr>
            <w:tcW w:w="1011"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万元</w:t>
            </w:r>
          </w:p>
        </w:tc>
        <w:tc>
          <w:tcPr>
            <w:tcW w:w="154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3000-15000</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jc w:val="center"/>
              <w:rPr>
                <w:rFonts w:ascii="宋体" w:hAnsi="宋体"/>
                <w:color w:val="000000" w:themeColor="text1"/>
                <w14:textFill>
                  <w14:solidFill>
                    <w14:schemeClr w14:val="tx1"/>
                  </w14:solidFill>
                </w14:textFill>
              </w:rPr>
            </w:pPr>
            <w:r>
              <w:rPr>
                <w:rFonts w:ascii="宋体" w:hAnsi="宋体" w:hint="eastAsia"/>
                <w:color w:val="000000" w:themeColor="text1"/>
                <w14:textFill>
                  <w14:solidFill>
                    <w14:schemeClr w14:val="tx1"/>
                  </w14:solidFill>
                </w14:textFill>
              </w:rPr>
              <w:t>3000以下</w:t>
            </w:r>
          </w:p>
        </w:tc>
        <w:tc>
          <w:tcPr>
            <w:tcW w:w="1464"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hAnsi="宋体"/>
                <w:color w:val="000000" w:themeColor="text1"/>
                <w14:textFill>
                  <w14:solidFill>
                    <w14:schemeClr w14:val="tx1"/>
                  </w14:solidFill>
                </w14:textFill>
              </w:rPr>
            </w:pPr>
          </w:p>
        </w:tc>
      </w:tr>
    </w:tbl>
    <w:p>
      <w:pPr>
        <w:widowControl/>
        <w:spacing w:line="360" w:lineRule="auto"/>
        <w:ind w:firstLine="470" w:firstLineChars="196"/>
        <w:outlineLvl w:val="1"/>
        <w:rPr>
          <w:rFonts w:ascii="黑体" w:eastAsia="黑体" w:hAnsi="黑体" w:cs="黑体"/>
          <w:color w:val="000000" w:themeColor="text1"/>
          <w:kern w:val="0"/>
          <w:sz w:val="24"/>
          <w14:textFill>
            <w14:solidFill>
              <w14:schemeClr w14:val="tx1"/>
            </w14:solidFill>
          </w14:textFill>
        </w:rPr>
      </w:pPr>
      <w:r>
        <w:rPr>
          <w:rFonts w:ascii="黑体" w:eastAsia="黑体" w:hAnsi="黑体" w:cs="黑体" w:hint="eastAsia"/>
          <w:color w:val="000000" w:themeColor="text1"/>
          <w:kern w:val="0"/>
          <w:sz w:val="24"/>
          <w14:textFill>
            <w14:solidFill>
              <w14:schemeClr w14:val="tx1"/>
            </w14:solidFill>
          </w14:textFill>
        </w:rPr>
        <w:t>（三）中小企业开展管理会计工作的意义</w:t>
      </w:r>
      <w:bookmarkEnd w:id="11"/>
    </w:p>
    <w:p>
      <w:pPr>
        <w:widowControl/>
        <w:spacing w:line="360" w:lineRule="auto"/>
        <w:ind w:firstLine="470" w:firstLineChars="196"/>
        <w:jc w:val="left"/>
        <w:outlineLvl w:val="1"/>
        <w:rPr>
          <w:rFonts w:ascii="宋体" w:hAnsi="宋体"/>
          <w:color w:val="000000" w:themeColor="text1"/>
          <w:kern w:val="0"/>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1.预测</w:t>
      </w:r>
      <w:r>
        <w:rPr>
          <w:rFonts w:ascii="宋体" w:hAnsi="宋体"/>
          <w:color w:val="000000" w:themeColor="text1"/>
          <w:kern w:val="0"/>
          <w:sz w:val="24"/>
          <w14:textFill>
            <w14:solidFill>
              <w14:schemeClr w14:val="tx1"/>
            </w14:solidFill>
          </w14:textFill>
        </w:rPr>
        <w:t>企业经营状况</w:t>
      </w:r>
    </w:p>
    <w:p>
      <w:pPr>
        <w:widowControl/>
        <w:spacing w:line="360" w:lineRule="auto"/>
        <w:ind w:firstLine="480" w:firstLineChars="200"/>
        <w:jc w:val="left"/>
        <w:outlineLvl w:val="1"/>
        <w:rPr>
          <w:rFonts w:ascii="宋体" w:hAnsi="宋体" w:hint="default"/>
          <w:color w:val="000000" w:themeColor="text1"/>
          <w:kern w:val="0"/>
          <w:sz w:val="24"/>
          <w14:textFill>
            <w14:solidFill>
              <w14:schemeClr w14:val="tx1"/>
            </w14:solidFill>
          </w14:textFill>
        </w:rPr>
      </w:pPr>
      <w:r>
        <w:rPr>
          <w:rFonts w:ascii="宋体" w:hAnsi="宋体" w:hint="eastAsia"/>
          <w:color w:val="000000" w:themeColor="text1"/>
          <w:kern w:val="0"/>
          <w:sz w:val="24"/>
          <w:lang w:val="en-US" w:eastAsia="zh-CN"/>
          <w14:textFill>
            <w14:solidFill>
              <w14:schemeClr w14:val="tx1"/>
            </w14:solidFill>
          </w14:textFill>
        </w:rPr>
        <w:t>当下，管理会计可基于市场环境和发展规律，同时结合企业发展目标、运营模式以及管理制度，从而建立其科学分析模型，然后对成本、利润等开展量化的分析，从而准确预测企业在未来一段时间内的经营情况，为相关决策的制定提供重要的参考。</w:t>
      </w:r>
    </w:p>
    <w:p>
      <w:pPr>
        <w:widowControl/>
        <w:numPr>
          <w:ilvl w:val="0"/>
          <w:numId w:val="1"/>
        </w:numPr>
        <w:spacing w:line="360" w:lineRule="auto"/>
        <w:ind w:firstLine="470" w:firstLineChars="196"/>
        <w:jc w:val="left"/>
        <w:outlineLvl w:val="1"/>
        <w:rPr>
          <w:rFonts w:ascii="宋体" w:hAnsi="宋体"/>
          <w:color w:val="000000" w:themeColor="text1"/>
          <w:kern w:val="0"/>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决策</w:t>
      </w:r>
      <w:r>
        <w:rPr>
          <w:rFonts w:ascii="宋体" w:hAnsi="宋体"/>
          <w:color w:val="000000" w:themeColor="text1"/>
          <w:kern w:val="0"/>
          <w:sz w:val="24"/>
          <w14:textFill>
            <w14:solidFill>
              <w14:schemeClr w14:val="tx1"/>
            </w14:solidFill>
          </w14:textFill>
        </w:rPr>
        <w:t>企业经营活动</w:t>
      </w:r>
    </w:p>
    <w:p>
      <w:pPr>
        <w:widowControl/>
        <w:spacing w:line="360" w:lineRule="auto"/>
        <w:ind w:firstLine="480" w:firstLineChars="200"/>
        <w:jc w:val="left"/>
        <w:outlineLvl w:val="1"/>
        <w:rPr>
          <w:rFonts w:ascii="宋体" w:hAnsi="宋体" w:hint="default"/>
          <w:color w:val="000000" w:themeColor="text1"/>
          <w:kern w:val="0"/>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根据对企业未来经营状况信息的预测，并</w:t>
      </w:r>
      <w:r>
        <w:rPr>
          <w:rFonts w:ascii="宋体" w:hAnsi="宋体" w:hint="eastAsia"/>
          <w:color w:val="000000" w:themeColor="text1"/>
          <w:kern w:val="0"/>
          <w:sz w:val="24"/>
          <w:lang w:val="en-US" w:eastAsia="zh-CN"/>
          <w14:textFill>
            <w14:solidFill>
              <w14:schemeClr w14:val="tx1"/>
            </w14:solidFill>
          </w14:textFill>
        </w:rPr>
        <w:t>尽可能的考虑到全部因素，同时结合宏观经济政策与市场规律，利用科学方法来分析企业的经营模式、战略目标等，从而找出其中的最佳方案。所以，实施管理会计，有利于企业决策经营活动。</w:t>
      </w:r>
    </w:p>
    <w:p>
      <w:pPr>
        <w:widowControl/>
        <w:numPr>
          <w:ilvl w:val="0"/>
          <w:numId w:val="1"/>
        </w:numPr>
        <w:spacing w:line="360" w:lineRule="auto"/>
        <w:ind w:firstLine="470" w:firstLineChars="196"/>
        <w:jc w:val="left"/>
        <w:outlineLvl w:val="1"/>
        <w:rPr>
          <w:rFonts w:ascii="宋体" w:hAnsi="宋体"/>
          <w:color w:val="000000" w:themeColor="text1"/>
          <w:kern w:val="0"/>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考核</w:t>
      </w:r>
      <w:r>
        <w:rPr>
          <w:rFonts w:ascii="宋体" w:hAnsi="宋体"/>
          <w:color w:val="000000" w:themeColor="text1"/>
          <w:kern w:val="0"/>
          <w:sz w:val="24"/>
          <w14:textFill>
            <w14:solidFill>
              <w14:schemeClr w14:val="tx1"/>
            </w14:solidFill>
          </w14:textFill>
        </w:rPr>
        <w:t>企业部门员工</w:t>
      </w:r>
    </w:p>
    <w:p>
      <w:pPr>
        <w:widowControl/>
        <w:spacing w:line="360" w:lineRule="auto"/>
        <w:ind w:firstLine="480" w:firstLineChars="200"/>
        <w:jc w:val="left"/>
        <w:outlineLvl w:val="1"/>
        <w:rPr>
          <w:rFonts w:ascii="宋体" w:hAnsi="宋体" w:hint="default"/>
          <w:color w:val="000000" w:themeColor="text1"/>
          <w:kern w:val="0"/>
          <w:sz w:val="24"/>
          <w14:textFill>
            <w14:solidFill>
              <w14:schemeClr w14:val="tx1"/>
            </w14:solidFill>
          </w14:textFill>
        </w:rPr>
      </w:pPr>
      <w:r>
        <w:rPr>
          <w:rFonts w:ascii="宋体" w:hAnsi="宋体" w:hint="eastAsia"/>
          <w:color w:val="000000" w:themeColor="text1"/>
          <w:kern w:val="0"/>
          <w:sz w:val="24"/>
          <w:lang w:val="en-US" w:eastAsia="zh-CN"/>
          <w14:textFill>
            <w14:solidFill>
              <w14:schemeClr w14:val="tx1"/>
            </w14:solidFill>
          </w14:textFill>
        </w:rPr>
        <w:t>管理会计通过建立相关的考核制度，实现对企业部门员工的考核，这就给员工奖罚提供了相关的参考，有利于准确的量化对员工进行考核。</w:t>
      </w:r>
    </w:p>
    <w:p>
      <w:pPr>
        <w:widowControl/>
        <w:numPr>
          <w:ilvl w:val="0"/>
          <w:numId w:val="1"/>
        </w:numPr>
        <w:spacing w:line="360" w:lineRule="auto"/>
        <w:ind w:firstLine="470" w:firstLineChars="196"/>
        <w:jc w:val="left"/>
        <w:outlineLvl w:val="1"/>
        <w:rPr>
          <w:rFonts w:ascii="宋体" w:hAnsi="宋体"/>
          <w:color w:val="000000" w:themeColor="text1"/>
          <w:kern w:val="0"/>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评价</w:t>
      </w:r>
      <w:r>
        <w:rPr>
          <w:rFonts w:ascii="宋体" w:hAnsi="宋体"/>
          <w:color w:val="000000" w:themeColor="text1"/>
          <w:kern w:val="0"/>
          <w:sz w:val="24"/>
          <w14:textFill>
            <w14:solidFill>
              <w14:schemeClr w14:val="tx1"/>
            </w14:solidFill>
          </w14:textFill>
        </w:rPr>
        <w:t>企业经营管理工作</w:t>
      </w:r>
    </w:p>
    <w:p>
      <w:pPr>
        <w:widowControl/>
        <w:spacing w:line="360" w:lineRule="auto"/>
        <w:ind w:firstLine="480" w:firstLineChars="200"/>
        <w:jc w:val="left"/>
        <w:outlineLvl w:val="1"/>
        <w:rPr>
          <w:rFonts w:ascii="宋体" w:hAnsi="宋体" w:hint="default"/>
          <w:color w:val="000000" w:themeColor="text1"/>
          <w:kern w:val="0"/>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管理会计通过考核对考核结果的分析，评价企业当前经营管理工作</w:t>
      </w:r>
      <w:r>
        <w:rPr>
          <w:rFonts w:ascii="宋体" w:hAnsi="宋体" w:hint="eastAsia"/>
          <w:color w:val="000000" w:themeColor="text1"/>
          <w:kern w:val="0"/>
          <w:sz w:val="24"/>
          <w:lang w:val="en-US" w:eastAsia="zh-CN"/>
          <w14:textFill>
            <w14:solidFill>
              <w14:schemeClr w14:val="tx1"/>
            </w14:solidFill>
          </w14:textFill>
        </w:rPr>
        <w:t>当中所存在的相关不足之处，如，责任会计，从而采取针对性强的改进措施，有效的避免和减少这类问题的发生。</w:t>
      </w:r>
    </w:p>
    <w:p>
      <w:pPr>
        <w:widowControl/>
        <w:spacing w:line="360" w:lineRule="auto"/>
        <w:ind w:firstLine="470" w:firstLineChars="196"/>
        <w:jc w:val="left"/>
        <w:rPr>
          <w:rFonts w:ascii="宋体" w:hAnsi="宋体"/>
          <w:color w:val="000000" w:themeColor="text1"/>
          <w:kern w:val="0"/>
          <w:sz w:val="24"/>
          <w14:textFill>
            <w14:solidFill>
              <w14:schemeClr w14:val="tx1"/>
            </w14:solidFill>
          </w14:textFill>
        </w:rPr>
      </w:pPr>
    </w:p>
    <w:p>
      <w:pPr>
        <w:widowControl/>
        <w:spacing w:line="360" w:lineRule="auto"/>
        <w:ind w:firstLine="470" w:firstLineChars="196"/>
        <w:jc w:val="left"/>
        <w:rPr>
          <w:rFonts w:ascii="宋体" w:hAnsi="宋体"/>
          <w:color w:val="000000" w:themeColor="text1"/>
          <w:kern w:val="0"/>
          <w:sz w:val="24"/>
          <w14:textFill>
            <w14:solidFill>
              <w14:schemeClr w14:val="tx1"/>
            </w14:solidFill>
          </w14:textFill>
        </w:rPr>
      </w:pPr>
    </w:p>
    <w:p>
      <w:pPr>
        <w:widowControl/>
        <w:spacing w:line="360" w:lineRule="auto"/>
        <w:ind w:firstLine="470" w:firstLineChars="196"/>
        <w:jc w:val="left"/>
        <w:rPr>
          <w:rFonts w:ascii="宋体" w:hAnsi="宋体"/>
          <w:color w:val="000000" w:themeColor="text1"/>
          <w:kern w:val="0"/>
          <w:sz w:val="24"/>
          <w14:textFill>
            <w14:solidFill>
              <w14:schemeClr w14:val="tx1"/>
            </w14:solidFill>
          </w14:textFill>
        </w:rPr>
      </w:pPr>
    </w:p>
    <w:p>
      <w:pPr>
        <w:widowControl/>
        <w:spacing w:line="360" w:lineRule="auto"/>
        <w:ind w:firstLine="470" w:firstLineChars="196"/>
        <w:jc w:val="left"/>
        <w:rPr>
          <w:rFonts w:ascii="宋体" w:hAnsi="宋体"/>
          <w:color w:val="000000" w:themeColor="text1"/>
          <w:kern w:val="0"/>
          <w:sz w:val="24"/>
          <w14:textFill>
            <w14:solidFill>
              <w14:schemeClr w14:val="tx1"/>
            </w14:solidFill>
          </w14:textFill>
        </w:rPr>
      </w:pPr>
    </w:p>
    <w:p>
      <w:pPr>
        <w:widowControl/>
        <w:spacing w:line="360" w:lineRule="auto"/>
        <w:ind w:firstLine="470" w:firstLineChars="196"/>
        <w:jc w:val="left"/>
        <w:rPr>
          <w:rFonts w:ascii="宋体" w:hAnsi="宋体"/>
          <w:color w:val="000000" w:themeColor="text1"/>
          <w:kern w:val="0"/>
          <w:sz w:val="24"/>
          <w14:textFill>
            <w14:solidFill>
              <w14:schemeClr w14:val="tx1"/>
            </w14:solidFill>
          </w14:textFill>
        </w:rPr>
      </w:pPr>
    </w:p>
    <w:p>
      <w:pPr>
        <w:widowControl/>
        <w:spacing w:line="360" w:lineRule="auto"/>
        <w:ind w:firstLine="470" w:firstLineChars="196"/>
        <w:jc w:val="left"/>
        <w:rPr>
          <w:rFonts w:ascii="宋体" w:hAnsi="宋体"/>
          <w:color w:val="000000" w:themeColor="text1"/>
          <w:kern w:val="0"/>
          <w:sz w:val="24"/>
          <w14:textFill>
            <w14:solidFill>
              <w14:schemeClr w14:val="tx1"/>
            </w14:solidFill>
          </w14:textFill>
        </w:rPr>
      </w:pPr>
    </w:p>
    <w:p>
      <w:pPr>
        <w:widowControl/>
        <w:spacing w:line="360" w:lineRule="auto"/>
        <w:jc w:val="left"/>
        <w:rPr>
          <w:rFonts w:ascii="宋体" w:hAnsi="宋体"/>
          <w:color w:val="000000" w:themeColor="text1"/>
          <w:kern w:val="0"/>
          <w:sz w:val="24"/>
          <w14:textFill>
            <w14:solidFill>
              <w14:schemeClr w14:val="tx1"/>
            </w14:solidFill>
          </w14:textFill>
        </w:rPr>
        <w:sectPr>
          <w:footerReference w:type="default" r:id="rId14"/>
          <w:footnotePr>
            <w:numFmt w:val="decimalEnclosedCircleChinese"/>
          </w:footnotePr>
          <w:type w:val="nextPage"/>
          <w:pgSz w:w="11906" w:h="16838"/>
          <w:pgMar w:top="1440" w:right="1800" w:bottom="1440" w:left="1800" w:header="851" w:footer="992" w:gutter="0"/>
          <w:pgNumType w:start="6"/>
          <w:cols w:num="1" w:space="425"/>
          <w:titlePg w:val="0"/>
          <w:docGrid w:type="lines" w:linePitch="312" w:charSpace="0"/>
        </w:sectPr>
      </w:pPr>
    </w:p>
    <w:p>
      <w:pPr>
        <w:widowControl/>
        <w:spacing w:line="360" w:lineRule="auto"/>
        <w:jc w:val="center"/>
        <w:outlineLvl w:val="0"/>
        <w:rPr>
          <w:rFonts w:ascii="宋体" w:hAnsi="宋体"/>
          <w:color w:val="000000" w:themeColor="text1"/>
          <w:kern w:val="0"/>
          <w:sz w:val="24"/>
          <w14:textFill>
            <w14:solidFill>
              <w14:schemeClr w14:val="tx1"/>
            </w14:solidFill>
          </w14:textFill>
        </w:rPr>
      </w:pPr>
      <w:bookmarkStart w:id="12" w:name="_Toc5881"/>
      <w:r>
        <w:rPr>
          <w:rFonts w:ascii="黑体" w:eastAsia="黑体" w:hAnsi="黑体" w:cs="黑体" w:hint="eastAsia"/>
          <w:color w:val="000000" w:themeColor="text1"/>
          <w:kern w:val="0"/>
          <w:sz w:val="30"/>
          <w:szCs w:val="30"/>
          <w14:textFill>
            <w14:solidFill>
              <w14:schemeClr w14:val="tx1"/>
            </w14:solidFill>
          </w14:textFill>
        </w:rPr>
        <w:t>二、中小企业管理会计应用现状</w:t>
      </w:r>
      <w:bookmarkEnd w:id="12"/>
    </w:p>
    <w:p>
      <w:pPr>
        <w:widowControl/>
        <w:spacing w:line="360" w:lineRule="auto"/>
        <w:ind w:firstLine="470" w:firstLineChars="196"/>
        <w:jc w:val="left"/>
        <w:outlineLvl w:val="1"/>
        <w:rPr>
          <w:rFonts w:ascii="黑体" w:eastAsia="黑体" w:hAnsi="黑体" w:cs="黑体"/>
          <w:color w:val="000000" w:themeColor="text1"/>
          <w:kern w:val="0"/>
          <w:sz w:val="24"/>
          <w14:textFill>
            <w14:solidFill>
              <w14:schemeClr w14:val="tx1"/>
            </w14:solidFill>
          </w14:textFill>
        </w:rPr>
      </w:pPr>
      <w:bookmarkStart w:id="13" w:name="_Toc10471"/>
      <w:r>
        <w:rPr>
          <w:rFonts w:ascii="黑体" w:eastAsia="黑体" w:hAnsi="黑体" w:cs="黑体" w:hint="eastAsia"/>
          <w:color w:val="000000" w:themeColor="text1"/>
          <w:kern w:val="0"/>
          <w:sz w:val="24"/>
          <w14:textFill>
            <w14:solidFill>
              <w14:schemeClr w14:val="tx1"/>
            </w14:solidFill>
          </w14:textFill>
        </w:rPr>
        <w:t>（一）案例公司</w:t>
      </w:r>
      <w:bookmarkEnd w:id="13"/>
      <w:r>
        <w:rPr>
          <w:rFonts w:ascii="黑体" w:eastAsia="黑体" w:hAnsi="黑体" w:cs="黑体" w:hint="eastAsia"/>
          <w:color w:val="000000" w:themeColor="text1"/>
          <w:kern w:val="0"/>
          <w:sz w:val="24"/>
          <w14:textFill>
            <w14:solidFill>
              <w14:schemeClr w14:val="tx1"/>
            </w14:solidFill>
          </w14:textFill>
        </w:rPr>
        <w:t>基本情况</w:t>
      </w:r>
    </w:p>
    <w:p>
      <w:pPr>
        <w:widowControl/>
        <w:spacing w:line="360" w:lineRule="auto"/>
        <w:ind w:firstLine="470" w:firstLineChars="196"/>
        <w:jc w:val="left"/>
        <w:outlineLvl w:val="1"/>
        <w:rPr>
          <w:rFonts w:ascii="宋体" w:hAnsi="宋体"/>
          <w:color w:val="000000" w:themeColor="text1"/>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本文以南京</w:t>
      </w:r>
      <w:r>
        <w:rPr>
          <w:rFonts w:ascii="宋体" w:hAnsi="宋体" w:hint="eastAsia"/>
          <w:color w:val="000000" w:themeColor="text1"/>
          <w:sz w:val="24"/>
          <w14:textFill>
            <w14:solidFill>
              <w14:schemeClr w14:val="tx1"/>
            </w14:solidFill>
          </w14:textFill>
        </w:rPr>
        <w:t>宝泰家电有限公司（以下简称为宝泰家电公司）为例，分析中小企业管理会计应用存在的主要问题及其原因，以提出进一步提高中小企业管理会计应用水平的对策。</w:t>
      </w:r>
    </w:p>
    <w:p>
      <w:pPr>
        <w:widowControl/>
        <w:spacing w:line="360" w:lineRule="auto"/>
        <w:ind w:firstLine="470" w:firstLineChars="196"/>
        <w:jc w:val="left"/>
        <w:outlineLvl w:val="1"/>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1.案例公司简介</w:t>
      </w:r>
    </w:p>
    <w:p>
      <w:pPr>
        <w:pStyle w:val="BodyTextFirstIndent"/>
        <w:spacing w:line="360" w:lineRule="auto"/>
        <w:ind w:firstLine="48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宝泰家电公司成立于1999年12月份，所属行业为电子机械和器材制造业。企业的主营业务范围是家用电器、厨房用具及配件的开发、制造及销售；自营和代理各类商品和技术的进出口。近年来也有涉及LED智能电视市场。</w:t>
      </w:r>
    </w:p>
    <w:p>
      <w:pPr>
        <w:pStyle w:val="BodyTextFirstIndent"/>
        <w:spacing w:line="360" w:lineRule="auto"/>
        <w:ind w:firstLine="48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2.案例公司组织机构设置</w:t>
      </w:r>
    </w:p>
    <w:p>
      <w:pPr>
        <w:pStyle w:val="BodyTextFirstIndent"/>
        <w:spacing w:line="360" w:lineRule="auto"/>
        <w:ind w:firstLine="480"/>
        <w:rPr>
          <w:rFonts w:ascii="宋体" w:hAnsi="宋体"/>
          <w:color w:val="000000" w:themeColor="text1"/>
          <w:sz w:val="24"/>
          <w14:textFill>
            <w14:solidFill>
              <w14:schemeClr w14:val="tx1"/>
            </w14:solidFill>
          </w14:textFill>
        </w:rPr>
      </w:pPr>
      <w:r>
        <w:rPr>
          <w:color w:val="000000" w:themeColor="text1"/>
          <w:sz w:val="24"/>
          <w14:textFill>
            <w14:solidFill>
              <w14:schemeClr w14:val="tx1"/>
            </w14:solidFill>
          </w14:textFill>
        </w:rPr>
        <w:pict>
          <v:group id="1030" o:spid="_x0000_s1025" style="width:417.8pt;height:166.75pt;margin-top:18.7pt;margin-left:-0.5pt;mso-height-relative:page;mso-width-relative:page;position:absolute;z-index:251658240" coordsize="0,0">
            <v:shapetype id="_x0000_t109" coordsize="21600,21600" o:spt="109" path="m,l,21600r21600,l21600,xe">
              <v:stroke joinstyle="miter"/>
              <v:path gradientshapeok="t" o:connecttype="rect"/>
            </v:shapetype>
            <v:shape id="1031" o:spid="_x0000_s1026" type="#_x0000_t109" style="width:1650;height:461;left:6771;position:absolute;top:190428;v-text-anchor:middle" coordsize="21600,21600" filled="f">
              <v:stroke joinstyle="miter"/>
              <v:textbox>
                <w:txbxContent>
                  <w:p>
                    <w:pPr>
                      <w:jc w:val="center"/>
                      <w:rPr>
                        <w:color w:val="002060"/>
                      </w:rPr>
                    </w:pPr>
                    <w:r>
                      <w:rPr>
                        <w:rFonts w:hint="eastAsia"/>
                        <w:color w:val="002060"/>
                      </w:rPr>
                      <w:t>总经理</w:t>
                    </w:r>
                  </w:p>
                </w:txbxContent>
              </v:textbox>
            </v:shape>
            <v:shape id="1032" o:spid="_x0000_s1027" type="#_x0000_t109" style="width:1650;height:461;left:3251;position:absolute;top:192659;v-text-anchor:middle" coordsize="21600,21600" filled="f">
              <v:stroke joinstyle="miter"/>
              <v:textbox>
                <w:txbxContent>
                  <w:p>
                    <w:pPr>
                      <w:jc w:val="center"/>
                      <w:rPr>
                        <w:color w:val="002060"/>
                      </w:rPr>
                    </w:pPr>
                    <w:r>
                      <w:rPr>
                        <w:rFonts w:hint="eastAsia"/>
                        <w:color w:val="002060"/>
                      </w:rPr>
                      <w:t>市场部</w:t>
                    </w:r>
                  </w:p>
                </w:txbxContent>
              </v:textbox>
            </v:shape>
            <v:shape id="1033" o:spid="_x0000_s1028" type="#_x0000_t109" style="width:1650;height:461;left:4409;position:absolute;top:191610;v-text-anchor:middle" coordsize="21600,21600" filled="f">
              <v:stroke joinstyle="miter"/>
              <v:textbox>
                <w:txbxContent>
                  <w:p>
                    <w:pPr>
                      <w:jc w:val="center"/>
                      <w:rPr>
                        <w:color w:val="002060"/>
                      </w:rPr>
                    </w:pPr>
                    <w:r>
                      <w:rPr>
                        <w:rFonts w:hint="eastAsia"/>
                        <w:color w:val="002060"/>
                      </w:rPr>
                      <w:t>副总经理</w:t>
                    </w:r>
                  </w:p>
                </w:txbxContent>
              </v:textbox>
            </v:shape>
            <v:shape id="1034" o:spid="_x0000_s1029" type="#_x0000_t109" style="width:1650;height:461;left:9025;position:absolute;top:191548;v-text-anchor:middle" coordsize="21600,21600" filled="f">
              <v:stroke joinstyle="miter"/>
              <v:textbox>
                <w:txbxContent>
                  <w:p>
                    <w:pPr>
                      <w:jc w:val="center"/>
                      <w:rPr>
                        <w:color w:val="002060"/>
                      </w:rPr>
                    </w:pPr>
                    <w:r>
                      <w:rPr>
                        <w:rFonts w:hint="eastAsia"/>
                        <w:color w:val="002060"/>
                      </w:rPr>
                      <w:t>副总经理</w:t>
                    </w:r>
                  </w:p>
                </w:txbxContent>
              </v:textbox>
            </v:shape>
            <v:shape id="1035" o:spid="_x0000_s1030" type="#_x0000_t109" style="width:1650;height:461;left:5521;position:absolute;top:192640;v-text-anchor:middle" coordsize="21600,21600" filled="f">
              <v:stroke joinstyle="miter"/>
              <v:textbox>
                <w:txbxContent>
                  <w:p>
                    <w:pPr>
                      <w:jc w:val="center"/>
                      <w:rPr>
                        <w:color w:val="002060"/>
                      </w:rPr>
                    </w:pPr>
                    <w:r>
                      <w:rPr>
                        <w:rFonts w:hint="eastAsia"/>
                        <w:color w:val="002060"/>
                      </w:rPr>
                      <w:t>财务部</w:t>
                    </w:r>
                  </w:p>
                </w:txbxContent>
              </v:textbox>
            </v:shape>
            <v:shape id="1036" o:spid="_x0000_s1031" type="#_x0000_t109" style="width:1650;height:461;left:7986;position:absolute;top:192640;v-text-anchor:middle" coordsize="21600,21600" filled="f">
              <v:stroke joinstyle="miter"/>
              <v:textbox>
                <w:txbxContent>
                  <w:p>
                    <w:pPr>
                      <w:jc w:val="center"/>
                      <w:rPr>
                        <w:color w:val="002060"/>
                      </w:rPr>
                    </w:pPr>
                    <w:r>
                      <w:rPr>
                        <w:rFonts w:hint="eastAsia"/>
                        <w:color w:val="002060"/>
                      </w:rPr>
                      <w:t>生产部</w:t>
                    </w:r>
                  </w:p>
                </w:txbxContent>
              </v:textbox>
            </v:shape>
            <v:shape id="1037" o:spid="_x0000_s1032" type="#_x0000_t109" style="width:1650;height:461;left:9957;position:absolute;top:192628;v-text-anchor:middle" coordsize="21600,21600" filled="f">
              <v:stroke joinstyle="miter"/>
              <v:textbox>
                <w:txbxContent>
                  <w:p>
                    <w:pPr>
                      <w:jc w:val="center"/>
                      <w:rPr>
                        <w:color w:val="002060"/>
                      </w:rPr>
                    </w:pPr>
                    <w:r>
                      <w:rPr>
                        <w:rFonts w:hint="eastAsia"/>
                        <w:color w:val="002060"/>
                      </w:rPr>
                      <w:t>售后服务</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1038" o:spid="_x0000_s1033" type="#_x0000_t34" style="width:62;height:4616;left:7511;position:absolute;rotation:-90;top:189271" coordsize="21600,21600" adj="152245" filled="f">
              <v:stroke joinstyle="miter"/>
              <v:path arrowok="t"/>
            </v:shape>
            <v:line id="1039" o:spid="_x0000_s1034" style="position:absolute" from="7596,190889" to="7596,191158" coordsize="21600,21600"/>
            <v:shape id="1040" o:spid="_x0000_s1035" type="#_x0000_t34" style="width:19;height:2270;left:5201;position:absolute;rotation:-90;top:191514" coordsize="21600,21600" adj="448484" filled="f">
              <v:stroke joinstyle="miter"/>
              <v:path arrowok="t"/>
            </v:shape>
            <v:shape id="1041" o:spid="_x0000_s1036" type="#_x0000_t34" style="width:12;height:1971;left:9790;position:absolute;rotation:-90;top:191649" coordsize="21600,21600" adj="697500" filled="f">
              <v:stroke joinstyle="miter"/>
              <v:path arrowok="t"/>
            </v:shape>
            <v:line id="1042" o:spid="_x0000_s1037" style="flip:x;position:absolute" from="9846,192009" to="9850,192250" coordsize="21600,21600"/>
            <v:line id="1043" o:spid="_x0000_s1038" style="flip:x;position:absolute" from="5228,192071" to="5234,192261" coordsize="21600,21600"/>
            <v:line id="1044" o:spid="_x0000_s1039" style="flip:x;position:absolute" from="4071,193120" to="4076,193763" coordsize="21600,21600"/>
          </v:group>
        </w:pict>
      </w:r>
      <w:r>
        <w:rPr>
          <w:rFonts w:ascii="宋体" w:hAnsi="宋体" w:hint="eastAsia"/>
          <w:color w:val="000000" w:themeColor="text1"/>
          <w:sz w:val="24"/>
          <w14:textFill>
            <w14:solidFill>
              <w14:schemeClr w14:val="tx1"/>
            </w14:solidFill>
          </w14:textFill>
        </w:rPr>
        <w:t>宝泰家电公司的管理结构详见图1。</w:t>
      </w: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r>
        <w:rPr>
          <w:color w:val="000000" w:themeColor="text1"/>
          <w:sz w:val="24"/>
          <w14:textFill>
            <w14:solidFill>
              <w14:schemeClr w14:val="tx1"/>
            </w14:solidFill>
          </w14:textFill>
        </w:rPr>
        <w:pict>
          <v:line id="1045" o:spid="_x0000_s1040" style="mso-height-relative:page;mso-width-relative:page;position:absolute;z-index:251659264" from="277.5pt,11.95pt" to="277.5pt,43.3pt" coordsize="21600,21600"/>
        </w:pict>
      </w:r>
    </w:p>
    <w:p>
      <w:pPr>
        <w:pStyle w:val="BodyTextFirstIndent"/>
        <w:spacing w:line="360" w:lineRule="auto"/>
        <w:ind w:firstLine="420"/>
        <w:rPr>
          <w:rFonts w:ascii="宋体" w:hAnsi="宋体"/>
          <w:color w:val="000000" w:themeColor="text1"/>
          <w:sz w:val="24"/>
          <w14:textFill>
            <w14:solidFill>
              <w14:schemeClr w14:val="tx1"/>
            </w14:solidFill>
          </w14:textFill>
        </w:rPr>
      </w:pPr>
      <w:r>
        <w:rPr>
          <w:color w:val="000000" w:themeColor="text1"/>
          <w14:textFill>
            <w14:solidFill>
              <w14:schemeClr w14:val="tx1"/>
            </w14:solidFill>
          </w14:textFill>
        </w:rPr>
        <w:pict>
          <v:line id="1046" o:spid="_x0000_s1041" style="mso-height-relative:page;mso-width-relative:page;position:absolute;z-index:251660288" from="-28.2pt,23.05pt" to="122.55pt,23.05pt" coordsize="21600,21600"/>
        </w:pict>
      </w:r>
      <w:r>
        <w:rPr>
          <w:color w:val="000000" w:themeColor="text1"/>
          <w14:textFill>
            <w14:solidFill>
              <w14:schemeClr w14:val="tx1"/>
            </w14:solidFill>
          </w14:textFill>
        </w:rPr>
        <w:pict>
          <v:line id="1047" o:spid="_x0000_s1042" style="flip:y;mso-height-relative:page;mso-width-relative:page;position:absolute;z-index:251661312" from="-28.05pt,23.05pt" to="-28.05pt,44.45pt" coordsize="21600,21600"/>
        </w:pict>
      </w:r>
      <w:r>
        <w:rPr>
          <w:color w:val="000000" w:themeColor="text1"/>
          <w14:textFill>
            <w14:solidFill>
              <w14:schemeClr w14:val="tx1"/>
            </w14:solidFill>
          </w14:textFill>
        </w:rPr>
        <w:pict>
          <v:line id="1048" o:spid="_x0000_s1043" style="flip:y;mso-height-relative:page;mso-width-relative:page;position:absolute;z-index:251662336" from="49.4pt,22.3pt" to="49.4pt,47.45pt" coordsize="21600,21600"/>
        </w:pict>
      </w:r>
      <w:r>
        <w:rPr>
          <w:color w:val="000000" w:themeColor="text1"/>
          <w14:textFill>
            <w14:solidFill>
              <w14:schemeClr w14:val="tx1"/>
            </w14:solidFill>
          </w14:textFill>
        </w:rPr>
        <w:pict>
          <v:line id="1049" o:spid="_x0000_s1044" style="flip:y;mso-height-relative:page;mso-width-relative:page;position:absolute;z-index:251663360" from="122.9pt,23.05pt" to="122.9pt,49.7pt" coordsize="21600,21600"/>
        </w:pict>
      </w:r>
      <w:r>
        <w:rPr>
          <w:color w:val="000000" w:themeColor="text1"/>
          <w14:textFill>
            <w14:solidFill>
              <w14:schemeClr w14:val="tx1"/>
            </w14:solidFill>
          </w14:textFill>
        </w:rPr>
        <w:pict>
          <v:line id="1050" o:spid="_x0000_s1045" style="flip:y;mso-height-relative:page;mso-width-relative:page;position:absolute;z-index:251664384" from="383.05pt,19.9pt" to="383.05pt,41.55pt" coordsize="21600,21600"/>
        </w:pict>
      </w:r>
      <w:r>
        <w:rPr>
          <w:color w:val="000000" w:themeColor="text1"/>
          <w14:textFill>
            <w14:solidFill>
              <w14:schemeClr w14:val="tx1"/>
            </w14:solidFill>
          </w14:textFill>
        </w:rPr>
        <w:pict>
          <v:line id="1051" o:spid="_x0000_s1046" style="flip:y;mso-height-relative:page;mso-width-relative:page;position:absolute;z-index:251665408" from="303.35pt,19.9pt" to="303.35pt,40.9pt" coordsize="21600,21600"/>
        </w:pict>
      </w:r>
    </w:p>
    <w:p>
      <w:pPr>
        <w:pStyle w:val="BodyTextFirstIndent"/>
        <w:spacing w:line="360" w:lineRule="auto"/>
        <w:ind w:firstLine="420"/>
        <w:rPr>
          <w:rFonts w:ascii="宋体" w:hAnsi="宋体"/>
          <w:color w:val="000000" w:themeColor="text1"/>
          <w:sz w:val="24"/>
          <w14:textFill>
            <w14:solidFill>
              <w14:schemeClr w14:val="tx1"/>
            </w14:solidFill>
          </w14:textFill>
        </w:rPr>
      </w:pPr>
      <w:r>
        <w:rPr>
          <w:color w:val="000000" w:themeColor="text1"/>
          <w14:textFill>
            <w14:solidFill>
              <w14:schemeClr w14:val="tx1"/>
            </w14:solidFill>
          </w14:textFill>
        </w:rPr>
        <w:pict>
          <v:shape id="1052" o:spid="_x0000_s1047" type="#_x0000_t109" style="width:20.9pt;height:92.2pt;margin-top:15.75pt;margin-left:449.95pt;mso-height-relative:page;mso-width-relative:page;position:absolute;v-text-anchor:middle;z-index:251666432" coordsize="21600,21600" filled="f">
            <v:stroke joinstyle="miter"/>
            <v:textbox>
              <w:txbxContent>
                <w:p>
                  <w:pPr>
                    <w:jc w:val="center"/>
                    <w:rPr>
                      <w:color w:val="002060"/>
                    </w:rPr>
                  </w:pPr>
                  <w:r>
                    <w:rPr>
                      <w:rFonts w:ascii="宋体" w:hAnsi="宋体" w:hint="eastAsia"/>
                      <w:color w:val="002060"/>
                    </w:rPr>
                    <w:t>产品生产部</w:t>
                  </w:r>
                </w:p>
              </w:txbxContent>
            </v:textbox>
          </v:shape>
        </w:pict>
      </w:r>
      <w:r>
        <w:rPr>
          <w:color w:val="000000" w:themeColor="text1"/>
          <w14:textFill>
            <w14:solidFill>
              <w14:schemeClr w14:val="tx1"/>
            </w14:solidFill>
          </w14:textFill>
        </w:rPr>
        <w:pict>
          <v:shape id="1053" o:spid="_x0000_s1048" type="#_x0000_t109" style="width:20.9pt;height:92.7pt;margin-top:21.05pt;margin-left:-38.5pt;mso-height-relative:page;mso-width-relative:page;position:absolute;v-text-anchor:middle;z-index:251667456" coordsize="21600,21600" filled="f">
            <v:stroke joinstyle="miter"/>
            <v:textbox>
              <w:txbxContent>
                <w:p>
                  <w:pPr>
                    <w:jc w:val="center"/>
                  </w:pPr>
                  <w:r>
                    <w:rPr>
                      <w:rFonts w:ascii="宋体" w:hAnsi="宋体" w:hint="eastAsia"/>
                      <w:color w:val="002060"/>
                    </w:rPr>
                    <w:t>运输部</w:t>
                  </w:r>
                </w:p>
              </w:txbxContent>
            </v:textbox>
          </v:shape>
        </w:pict>
      </w:r>
      <w:r>
        <w:rPr>
          <w:color w:val="000000" w:themeColor="text1"/>
          <w14:textFill>
            <w14:solidFill>
              <w14:schemeClr w14:val="tx1"/>
            </w14:solidFill>
          </w14:textFill>
        </w:rPr>
        <w:pict>
          <v:shape id="1054" o:spid="_x0000_s1049" type="#_x0000_t109" style="width:20.9pt;height:92.7pt;margin-top:18.15pt;margin-left:372.6pt;mso-height-relative:page;mso-width-relative:page;position:absolute;v-text-anchor:middle;z-index:251668480" coordsize="21600,21600" filled="f">
            <v:stroke joinstyle="miter"/>
            <v:textbox>
              <w:txbxContent>
                <w:p>
                  <w:pPr>
                    <w:jc w:val="center"/>
                    <w:rPr>
                      <w:color w:val="002060"/>
                    </w:rPr>
                  </w:pPr>
                  <w:r>
                    <w:rPr>
                      <w:rFonts w:ascii="宋体" w:hAnsi="宋体" w:hint="eastAsia"/>
                      <w:color w:val="002060"/>
                    </w:rPr>
                    <w:t>产品管理部</w:t>
                  </w:r>
                </w:p>
              </w:txbxContent>
            </v:textbox>
          </v:shape>
        </w:pict>
      </w:r>
      <w:r>
        <w:rPr>
          <w:color w:val="000000" w:themeColor="text1"/>
          <w14:textFill>
            <w14:solidFill>
              <w14:schemeClr w14:val="tx1"/>
            </w14:solidFill>
          </w14:textFill>
        </w:rPr>
        <w:pict>
          <v:shape id="1055" o:spid="_x0000_s1050" type="#_x0000_t109" style="width:20.9pt;height:92.7pt;margin-top:17.5pt;margin-left:292.9pt;mso-height-relative:page;mso-width-relative:page;position:absolute;v-text-anchor:middle;z-index:251669504" coordsize="21600,21600" filled="f">
            <v:stroke joinstyle="miter"/>
            <v:textbox>
              <w:txbxContent>
                <w:p>
                  <w:pPr>
                    <w:rPr>
                      <w:color w:val="002060"/>
                    </w:rPr>
                  </w:pPr>
                  <w:r>
                    <w:rPr>
                      <w:rFonts w:ascii="宋体" w:hAnsi="宋体" w:hint="eastAsia"/>
                      <w:color w:val="002060"/>
                    </w:rPr>
                    <w:t>内委业务部</w:t>
                  </w:r>
                </w:p>
              </w:txbxContent>
            </v:textbox>
          </v:shape>
        </w:pict>
      </w:r>
      <w:r>
        <w:rPr>
          <w:color w:val="000000" w:themeColor="text1"/>
          <w14:textFill>
            <w14:solidFill>
              <w14:schemeClr w14:val="tx1"/>
            </w14:solidFill>
          </w14:textFill>
        </w:rPr>
        <w:pict>
          <v:shape id="1056" o:spid="_x0000_s1051" type="#_x0000_t109" style="width:20.9pt;height:92.7pt;margin-top:17.4pt;margin-left:218pt;mso-height-relative:page;mso-width-relative:page;position:absolute;v-text-anchor:middle;z-index:251670528" coordsize="21600,21600" filled="f">
            <v:stroke joinstyle="miter"/>
            <v:textbox>
              <w:txbxContent>
                <w:p>
                  <w:pPr>
                    <w:jc w:val="center"/>
                  </w:pPr>
                  <w:r>
                    <w:rPr>
                      <w:rFonts w:hint="eastAsia"/>
                      <w:color w:val="002060"/>
                    </w:rPr>
                    <w:t>外委业务部</w:t>
                  </w:r>
                </w:p>
              </w:txbxContent>
            </v:textbox>
          </v:shape>
        </w:pict>
      </w:r>
      <w:r>
        <w:rPr>
          <w:color w:val="000000" w:themeColor="text1"/>
          <w14:textFill>
            <w14:solidFill>
              <w14:schemeClr w14:val="tx1"/>
            </w14:solidFill>
          </w14:textFill>
        </w:rPr>
        <w:pict>
          <v:shape id="1057" o:spid="_x0000_s1052" type="#_x0000_t34" style="width:3.1pt;height:230.8pt;margin-top:-98.85pt;margin-left:343.75pt;mso-height-relative:page;mso-width-relative:page;position:absolute;rotation:-90;z-index:251671552" coordsize="21600,21600" adj="152245" filled="f">
            <v:stroke joinstyle="miter"/>
            <v:path arrowok="t"/>
          </v:shape>
        </w:pict>
      </w:r>
    </w:p>
    <w:p>
      <w:pPr>
        <w:pStyle w:val="BodyTextFirstIndent"/>
        <w:spacing w:line="360" w:lineRule="auto"/>
        <w:ind w:firstLine="420"/>
        <w:rPr>
          <w:rFonts w:ascii="宋体" w:hAnsi="宋体"/>
          <w:color w:val="000000" w:themeColor="text1"/>
          <w:sz w:val="24"/>
          <w14:textFill>
            <w14:solidFill>
              <w14:schemeClr w14:val="tx1"/>
            </w14:solidFill>
          </w14:textFill>
        </w:rPr>
      </w:pPr>
      <w:r>
        <w:rPr>
          <w:color w:val="000000" w:themeColor="text1"/>
          <w14:textFill>
            <w14:solidFill>
              <w14:schemeClr w14:val="tx1"/>
            </w14:solidFill>
          </w14:textFill>
        </w:rPr>
        <w:pict>
          <v:shape id="1058" o:spid="_x0000_s1053" type="#_x0000_t109" style="width:20.9pt;height:92.7pt;margin-top:2.9pt;margin-left:112.45pt;mso-height-relative:page;mso-width-relative:page;position:absolute;v-text-anchor:middle;z-index:251672576" coordsize="21600,21600" filled="f">
            <v:stroke joinstyle="miter"/>
            <v:textbox>
              <w:txbxContent>
                <w:p>
                  <w:pPr>
                    <w:rPr>
                      <w:color w:val="002060"/>
                    </w:rPr>
                  </w:pPr>
                  <w:r>
                    <w:rPr>
                      <w:rFonts w:ascii="宋体" w:hAnsi="宋体" w:hint="eastAsia"/>
                      <w:color w:val="002060"/>
                    </w:rPr>
                    <w:t>市场拓展部</w:t>
                  </w:r>
                </w:p>
              </w:txbxContent>
            </v:textbox>
          </v:shape>
        </w:pict>
      </w:r>
      <w:r>
        <w:rPr>
          <w:color w:val="000000" w:themeColor="text1"/>
          <w14:textFill>
            <w14:solidFill>
              <w14:schemeClr w14:val="tx1"/>
            </w14:solidFill>
          </w14:textFill>
        </w:rPr>
        <w:pict>
          <v:shape id="1059" o:spid="_x0000_s1054" type="#_x0000_t109" style="width:20.9pt;height:92.7pt;margin-top:0.65pt;margin-left:38.95pt;mso-height-relative:page;mso-width-relative:page;position:absolute;v-text-anchor:middle;z-index:251673600" coordsize="21600,21600" filled="f">
            <v:stroke joinstyle="miter"/>
            <v:textbox>
              <w:txbxContent>
                <w:p>
                  <w:pPr>
                    <w:jc w:val="center"/>
                  </w:pPr>
                  <w:r>
                    <w:rPr>
                      <w:rFonts w:ascii="宋体" w:hAnsi="宋体" w:hint="eastAsia"/>
                      <w:color w:val="002060"/>
                    </w:rPr>
                    <w:t>市场维护部</w:t>
                  </w:r>
                </w:p>
              </w:txbxContent>
            </v:textbox>
          </v:shape>
        </w:pict>
      </w: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p>
    <w:p>
      <w:pPr>
        <w:widowControl/>
        <w:rPr>
          <w:rFonts w:ascii="宋体" w:hAnsi="宋体"/>
          <w:color w:val="000000" w:themeColor="text1"/>
          <w:kern w:val="0"/>
          <w:sz w:val="24"/>
          <w14:textFill>
            <w14:solidFill>
              <w14:schemeClr w14:val="tx1"/>
            </w14:solidFill>
          </w14:textFill>
        </w:rPr>
      </w:pPr>
    </w:p>
    <w:p>
      <w:pPr>
        <w:widowControl/>
        <w:rPr>
          <w:rFonts w:ascii="宋体" w:hAnsi="宋体"/>
          <w:color w:val="000000" w:themeColor="text1"/>
          <w:kern w:val="0"/>
          <w:sz w:val="24"/>
          <w14:textFill>
            <w14:solidFill>
              <w14:schemeClr w14:val="tx1"/>
            </w14:solidFill>
          </w14:textFill>
        </w:rPr>
      </w:pPr>
    </w:p>
    <w:p>
      <w:pPr>
        <w:widowControl/>
        <w:spacing w:line="360" w:lineRule="auto"/>
        <w:jc w:val="center"/>
        <w:rPr>
          <w:rFonts w:ascii="宋体" w:hAnsi="宋体"/>
          <w:bCs/>
          <w:color w:val="000000" w:themeColor="text1"/>
          <w:szCs w:val="21"/>
          <w14:textFill>
            <w14:solidFill>
              <w14:schemeClr w14:val="tx1"/>
            </w14:solidFill>
          </w14:textFill>
        </w:rPr>
      </w:pPr>
      <w:r>
        <w:rPr>
          <w:rFonts w:ascii="宋体" w:hAnsi="宋体" w:hint="eastAsia"/>
          <w:bCs/>
          <w:color w:val="000000" w:themeColor="text1"/>
          <w:szCs w:val="21"/>
          <w14:textFill>
            <w14:solidFill>
              <w14:schemeClr w14:val="tx1"/>
            </w14:solidFill>
          </w14:textFill>
        </w:rPr>
        <w:t>图1：宝泰家电公司管理结构图</w:t>
      </w:r>
    </w:p>
    <w:p>
      <w:pPr>
        <w:widowControl/>
        <w:spacing w:line="360" w:lineRule="auto"/>
        <w:rPr>
          <w:rFonts w:ascii="宋体" w:hAnsi="宋体"/>
          <w:color w:val="000000" w:themeColor="text1"/>
          <w:kern w:val="0"/>
          <w:sz w:val="24"/>
          <w14:textFill>
            <w14:solidFill>
              <w14:schemeClr w14:val="tx1"/>
            </w14:solidFill>
          </w14:textFill>
        </w:rPr>
      </w:pPr>
      <w:r>
        <w:rPr>
          <w:rFonts w:ascii="宋体" w:hAnsi="宋体" w:hint="eastAsia"/>
          <w:color w:val="000000" w:themeColor="text1"/>
          <w:kern w:val="0"/>
          <w:sz w:val="24"/>
          <w14:textFill>
            <w14:solidFill>
              <w14:schemeClr w14:val="tx1"/>
            </w14:solidFill>
          </w14:textFill>
        </w:rPr>
        <w:t>3.案例公司主要财务数据</w:t>
      </w:r>
    </w:p>
    <w:p>
      <w:pPr>
        <w:pStyle w:val="BodyTextFirstIndent"/>
        <w:spacing w:line="360" w:lineRule="auto"/>
        <w:ind w:firstLine="480"/>
        <w:rPr>
          <w:rFonts w:ascii="宋体" w:hAnsi="宋体"/>
          <w:color w:val="000000" w:themeColor="text1"/>
          <w:sz w:val="24"/>
          <w14:textFill>
            <w14:solidFill>
              <w14:schemeClr w14:val="tx1"/>
            </w14:solidFill>
          </w14:textFill>
        </w:rPr>
      </w:pPr>
      <w:r>
        <w:rPr>
          <w:rFonts w:ascii="宋体" w:hAnsi="宋体" w:hint="eastAsia"/>
          <w:color w:val="000000" w:themeColor="text1"/>
          <w:sz w:val="24"/>
          <w14:textFill>
            <w14:solidFill>
              <w14:schemeClr w14:val="tx1"/>
            </w14:solidFill>
          </w14:textFill>
        </w:rPr>
        <w:t>宝泰家电公司2016-2018年度主要财务数据见表2、图2。</w:t>
      </w: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p>
    <w:p>
      <w:pPr>
        <w:pStyle w:val="BodyTextFirstIndent"/>
        <w:spacing w:line="360" w:lineRule="auto"/>
        <w:ind w:firstLine="48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br/>
      </w:r>
      <w:r>
        <w:rPr>
          <w:rFonts w:ascii="宋体" w:hAnsi="宋体"/>
          <w:color w:val="000000" w:themeColor="text1"/>
          <w:sz w:val="24"/>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https://d.book118.com/835200013222011102</w:t>
        </w:r>
      </w:hyperlink>
    </w:p>
    <w:p>
      <w:pPr>
        <w:pStyle w:val="BodyTextFirstIndent"/>
        <w:spacing w:line="360" w:lineRule="auto"/>
        <w:ind w:firstLine="480"/>
        <w:rPr>
          <w:rFonts w:ascii="宋体" w:hAnsi="宋体"/>
          <w:color w:val="000000" w:themeColor="text1"/>
          <w:sz w:val="24"/>
          <w14:textFill>
            <w14:solidFill>
              <w14:schemeClr w14:val="tx1"/>
            </w14:solidFill>
          </w14:textFill>
        </w:rPr>
      </w:pPr>
    </w:p>
    <w:sectPr>
      <w:footerReference w:type="default" r:id="rId16"/>
      <w:footnotePr>
        <w:numFmt w:val="decimalEnclosedCircleChinese"/>
      </w:footnotePr>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auto"/>
    <w:pitch w:val="default"/>
    <w:sig w:usb0="E0002EFF" w:usb1="C000785B" w:usb2="00000009" w:usb3="00000000" w:csb0="4008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7" o:spid="_x0000_s2049" style="width:2in;height:2in;margin-top:0;margin-left:0;mso-height-relative:page;mso-position-horizontal:center;mso-position-horizontal-relative:margin;mso-width-relative:page;mso-wrap-style:none;position:absolute;z-index:251658240" coordsize="21600,21600" filled="f" stroked="f">
          <v:textbox style="mso-fit-shape-to-text:t" inset="0,0,0,0">
            <w:txbxContent>
              <w:p>
                <w:pPr>
                  <w:pStyle w:val="Foote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I</w:t>
                </w:r>
                <w:r>
                  <w:rPr>
                    <w:rFonts w:hint="eastAsia"/>
                    <w:sz w:val="24"/>
                    <w:szCs w:val="24"/>
                  </w:rPr>
                  <w:fldChar w:fldCharType="end"/>
                </w:r>
              </w:p>
            </w:txbxContent>
          </v:textbox>
          <w10:wrap anchorx="margin"/>
        </v:rect>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7" o:spid="_x0000_s2050" style="width:2in;height:2in;margin-top:0;margin-left:0;mso-height-relative:page;mso-position-horizontal:center;mso-position-horizontal-relative:margin;mso-width-relative:page;mso-wrap-style:none;position:absolute;z-index:251659264" coordsize="21600,21600" filled="f" stroked="f">
          <v:textbox style="mso-fit-shape-to-text:t" inset="0,0,0,0">
            <w:txbxContent>
              <w:p>
                <w:pPr>
                  <w:pStyle w:val="Foote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I</w:t>
                </w:r>
                <w:r>
                  <w:rPr>
                    <w:rFonts w:hint="eastAsia"/>
                    <w:sz w:val="24"/>
                    <w:szCs w:val="24"/>
                  </w:rPr>
                  <w:fldChar w:fldCharType="end"/>
                </w:r>
              </w:p>
            </w:txbxContent>
          </v:textbox>
          <w10:wrap anchorx="margin"/>
        </v:rect>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7" o:spid="_x0000_s2051" style="width:2in;height:2in;margin-top:0;margin-left:0;mso-height-relative:page;mso-position-horizontal:center;mso-position-horizontal-relative:margin;mso-width-relative:page;mso-wrap-style:none;position:absolute;z-index:251660288" coordsize="21600,21600" filled="f" stroked="f">
          <v:textbox style="mso-fit-shape-to-text:t" inset="0,0,0,0">
            <w:txbxContent>
              <w:p>
                <w:pPr>
                  <w:pStyle w:val="Foote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II</w:t>
                </w:r>
                <w:r>
                  <w:rPr>
                    <w:rFonts w:hint="eastAsia"/>
                    <w:sz w:val="24"/>
                    <w:szCs w:val="24"/>
                  </w:rPr>
                  <w:fldChar w:fldCharType="end"/>
                </w:r>
              </w:p>
            </w:txbxContent>
          </v:textbox>
          <w10:wrap anchorx="margin"/>
        </v:rect>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7" o:spid="_x0000_s2052" style="width:2in;height:2in;margin-top:0;margin-left:0;mso-height-relative:page;mso-position-horizontal:center;mso-position-horizontal-relative:margin;mso-width-relative:page;mso-wrap-style:none;position:absolute;z-index:251661312" coordsize="21600,21600" filled="f" stroked="f">
          <v:textbox style="mso-fit-shape-to-text:t" inset="0,0,0,0">
            <w:txbxContent>
              <w:p>
                <w:pPr>
                  <w:pStyle w:val="Foote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Pr>
                    <w:sz w:val="24"/>
                    <w:szCs w:val="24"/>
                  </w:rPr>
                  <w:t>III</w:t>
                </w:r>
                <w:r>
                  <w:rPr>
                    <w:rFonts w:hint="eastAsia"/>
                    <w:sz w:val="24"/>
                    <w:szCs w:val="24"/>
                  </w:rPr>
                  <w:fldChar w:fldCharType="end"/>
                </w:r>
              </w:p>
            </w:txbxContent>
          </v:textbox>
          <w10:wrap anchorx="margin"/>
        </v:rect>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9" o:spid="_x0000_s2053" style="width:2in;height:2in;margin-top:0;margin-left:0;mso-height-relative:page;mso-position-horizontal:center;mso-position-horizontal-relative:margin;mso-width-relative:page;mso-wrap-style:none;position:absolute;z-index:251662336" coordsize="21600,21600" filled="f" stroked="f">
          <v:textbox style="mso-fit-shape-to-text:t" inset="0,0,0,0">
            <w:txbxContent>
              <w:p>
                <w:pPr>
                  <w:pStyle w:val="Footer"/>
                  <w:rPr>
                    <w:sz w:val="24"/>
                    <w:szCs w:val="24"/>
                  </w:rPr>
                </w:pPr>
                <w:r>
                  <w:rPr>
                    <w:sz w:val="24"/>
                    <w:szCs w:val="24"/>
                  </w:rPr>
                  <w:t xml:space="preserve">第 </w:t>
                </w:r>
                <w:r>
                  <w:rPr>
                    <w:rFonts w:hint="eastAsia"/>
                    <w:sz w:val="24"/>
                    <w:szCs w:val="24"/>
                  </w:rPr>
                  <w:t>21</w:t>
                </w:r>
                <w:r>
                  <w:rPr>
                    <w:sz w:val="24"/>
                    <w:szCs w:val="24"/>
                  </w:rPr>
                  <w:t xml:space="preserve"> 页 共 </w:t>
                </w:r>
                <w:r>
                  <w:rPr>
                    <w:rFonts w:hint="eastAsia"/>
                    <w:sz w:val="24"/>
                    <w:szCs w:val="24"/>
                  </w:rPr>
                  <w:t>21</w:t>
                </w:r>
                <w:r>
                  <w:rPr>
                    <w:sz w:val="24"/>
                    <w:szCs w:val="24"/>
                  </w:rPr>
                  <w:t xml:space="preserve"> 页</w:t>
                </w:r>
              </w:p>
            </w:txbxContent>
          </v:textbox>
          <w10:wrap anchorx="margin"/>
        </v:rect>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9" o:spid="_x0000_s2054" style="width:2in;height:2in;margin-top:0;margin-left:0;mso-height-relative:page;mso-position-horizontal:center;mso-position-horizontal-relative:margin;mso-width-relative:page;mso-wrap-style:none;position:absolute;z-index:251663360" coordsize="21600,21600" filled="f" stroked="f">
          <v:textbox style="mso-fit-shape-to-text:t" inset="0,0,0,0">
            <w:txbxContent>
              <w:p>
                <w:pPr>
                  <w:pStyle w:val="Footer"/>
                  <w:rPr>
                    <w:sz w:val="24"/>
                    <w:szCs w:val="24"/>
                  </w:rPr>
                </w:pPr>
                <w:r>
                  <w:rPr>
                    <w:sz w:val="24"/>
                    <w:szCs w:val="24"/>
                  </w:rPr>
                  <w:t xml:space="preserve">第 </w:t>
                </w:r>
                <w:r>
                  <w:rPr>
                    <w:rFonts w:hint="eastAsia"/>
                    <w:sz w:val="24"/>
                    <w:szCs w:val="24"/>
                  </w:rPr>
                  <w:t>21</w:t>
                </w:r>
                <w:r>
                  <w:rPr>
                    <w:sz w:val="24"/>
                    <w:szCs w:val="24"/>
                  </w:rPr>
                  <w:t xml:space="preserve"> 页 共 </w:t>
                </w:r>
                <w:r>
                  <w:rPr>
                    <w:rFonts w:hint="eastAsia"/>
                    <w:sz w:val="24"/>
                    <w:szCs w:val="24"/>
                  </w:rPr>
                  <w:t>21</w:t>
                </w:r>
                <w:r>
                  <w:rPr>
                    <w:sz w:val="24"/>
                    <w:szCs w:val="24"/>
                  </w:rPr>
                  <w:t xml:space="preserve"> 页</w:t>
                </w:r>
              </w:p>
            </w:txbxContent>
          </v:textbox>
          <w10:wrap anchorx="margin"/>
        </v:rect>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9" o:spid="_x0000_s2055" style="width:2in;height:2in;margin-top:0;margin-left:0;mso-height-relative:page;mso-position-horizontal:center;mso-position-horizontal-relative:margin;mso-width-relative:page;mso-wrap-style:none;position:absolute;z-index:251664384" coordsize="21600,21600" filled="f" stroked="f">
          <v:textbox style="mso-fit-shape-to-text:t" inset="0,0,0,0">
            <w:txbxContent>
              <w:p>
                <w:pPr>
                  <w:pStyle w:val="Footer"/>
                  <w:rPr>
                    <w:sz w:val="24"/>
                    <w:szCs w:val="24"/>
                  </w:rPr>
                </w:pPr>
                <w:r>
                  <w:rPr>
                    <w:sz w:val="24"/>
                    <w:szCs w:val="24"/>
                  </w:rPr>
                  <w:t xml:space="preserve">第 </w:t>
                </w:r>
                <w:r>
                  <w:rPr>
                    <w:rFonts w:hint="eastAsia"/>
                    <w:sz w:val="24"/>
                    <w:szCs w:val="24"/>
                  </w:rPr>
                  <w:t>21</w:t>
                </w:r>
                <w:r>
                  <w:rPr>
                    <w:sz w:val="24"/>
                    <w:szCs w:val="24"/>
                  </w:rPr>
                  <w:t xml:space="preserve"> 页 共 </w:t>
                </w:r>
                <w:r>
                  <w:rPr>
                    <w:rFonts w:hint="eastAsia"/>
                    <w:sz w:val="24"/>
                    <w:szCs w:val="24"/>
                  </w:rPr>
                  <w:t>21</w:t>
                </w:r>
                <w:r>
                  <w:rPr>
                    <w:sz w:val="24"/>
                    <w:szCs w:val="24"/>
                  </w:rPr>
                  <w:t xml:space="preserve"> 页</w:t>
                </w:r>
              </w:p>
            </w:txbxContent>
          </v:textbox>
          <w10:wrap anchorx="margin"/>
        </v:rect>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9" o:spid="_x0000_s2056" style="width:2in;height:2in;margin-top:0;margin-left:0;mso-height-relative:page;mso-position-horizontal:center;mso-position-horizontal-relative:margin;mso-width-relative:page;mso-wrap-style:none;position:absolute;z-index:251665408" coordsize="21600,21600" filled="f" stroked="f">
          <v:textbox style="mso-fit-shape-to-text:t" inset="0,0,0,0">
            <w:txbxContent>
              <w:p>
                <w:pPr>
                  <w:pStyle w:val="Footer"/>
                  <w:rPr>
                    <w:sz w:val="24"/>
                    <w:szCs w:val="24"/>
                  </w:rPr>
                </w:pPr>
                <w:r>
                  <w:rPr>
                    <w:sz w:val="24"/>
                    <w:szCs w:val="24"/>
                  </w:rPr>
                  <w:t xml:space="preserve">第 </w:t>
                </w:r>
                <w:r>
                  <w:rPr>
                    <w:rFonts w:hint="eastAsia"/>
                    <w:sz w:val="24"/>
                    <w:szCs w:val="24"/>
                  </w:rPr>
                  <w:t>21</w:t>
                </w:r>
                <w:r>
                  <w:rPr>
                    <w:sz w:val="24"/>
                    <w:szCs w:val="24"/>
                  </w:rPr>
                  <w:t xml:space="preserve"> 页 共 </w:t>
                </w:r>
                <w:r>
                  <w:rPr>
                    <w:rFonts w:hint="eastAsia"/>
                    <w:sz w:val="24"/>
                    <w:szCs w:val="24"/>
                  </w:rPr>
                  <w:t>21</w:t>
                </w:r>
                <w:r>
                  <w:rPr>
                    <w:sz w:val="24"/>
                    <w:szCs w:val="24"/>
                  </w:rPr>
                  <w:t xml:space="preserve"> 页</w:t>
                </w:r>
              </w:p>
            </w:txbxContent>
          </v:textbox>
          <w10:wrap anchorx="margin"/>
        </v:rect>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9" o:spid="_x0000_s2057" style="width:2in;height:2in;margin-top:0;margin-left:0;mso-height-relative:page;mso-position-horizontal:center;mso-position-horizontal-relative:margin;mso-width-relative:page;mso-wrap-style:none;position:absolute;z-index:251666432" coordsize="21600,21600" filled="f" stroked="f">
          <v:textbox style="mso-fit-shape-to-text:t" inset="0,0,0,0">
            <w:txbxContent>
              <w:p>
                <w:pPr>
                  <w:pStyle w:val="Footer"/>
                  <w:rPr>
                    <w:sz w:val="24"/>
                    <w:szCs w:val="24"/>
                  </w:rPr>
                </w:pPr>
                <w:r>
                  <w:rPr>
                    <w:sz w:val="24"/>
                    <w:szCs w:val="24"/>
                  </w:rPr>
                  <w:t xml:space="preserve">第 </w:t>
                </w:r>
                <w:r>
                  <w:rPr>
                    <w:rFonts w:hint="eastAsia"/>
                    <w:sz w:val="24"/>
                    <w:szCs w:val="24"/>
                  </w:rPr>
                  <w:t>21</w:t>
                </w:r>
                <w:r>
                  <w:rPr>
                    <w:sz w:val="24"/>
                    <w:szCs w:val="24"/>
                  </w:rPr>
                  <w:t xml:space="preserve"> 页 共 </w:t>
                </w:r>
                <w:r>
                  <w:rPr>
                    <w:rFonts w:hint="eastAsia"/>
                    <w:sz w:val="24"/>
                    <w:szCs w:val="24"/>
                  </w:rPr>
                  <w:t>21</w:t>
                </w:r>
                <w:r>
                  <w:rPr>
                    <w:sz w:val="24"/>
                    <w:szCs w:val="24"/>
                  </w:rPr>
                  <w:t xml:space="preserve"> 页</w:t>
                </w:r>
              </w:p>
            </w:txbxContent>
          </v:textbox>
          <w10:wrap anchorx="margin"/>
        </v:rect>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9" o:spid="_x0000_s2058" style="width:2in;height:2in;margin-top:0;margin-left:0;mso-height-relative:page;mso-position-horizontal:center;mso-position-horizontal-relative:margin;mso-width-relative:page;mso-wrap-style:none;position:absolute;z-index:251667456" coordsize="21600,21600" filled="f" stroked="f">
          <v:textbox style="mso-fit-shape-to-text:t" inset="0,0,0,0">
            <w:txbxContent>
              <w:p>
                <w:pPr>
                  <w:pStyle w:val="Footer"/>
                  <w:rPr>
                    <w:sz w:val="24"/>
                    <w:szCs w:val="24"/>
                  </w:rPr>
                </w:pPr>
                <w:r>
                  <w:rPr>
                    <w:sz w:val="24"/>
                    <w:szCs w:val="24"/>
                  </w:rPr>
                  <w:t xml:space="preserve">第 </w:t>
                </w:r>
                <w:r>
                  <w:rPr>
                    <w:rFonts w:hint="eastAsia"/>
                    <w:sz w:val="24"/>
                    <w:szCs w:val="24"/>
                  </w:rPr>
                  <w:t>21</w:t>
                </w:r>
                <w:r>
                  <w:rPr>
                    <w:sz w:val="24"/>
                    <w:szCs w:val="24"/>
                  </w:rPr>
                  <w:t xml:space="preserve"> 页 共 </w:t>
                </w:r>
                <w:r>
                  <w:rPr>
                    <w:rFonts w:hint="eastAsia"/>
                    <w:sz w:val="24"/>
                    <w:szCs w:val="24"/>
                  </w:rPr>
                  <w:t>21</w:t>
                </w:r>
                <w:r>
                  <w:rPr>
                    <w:sz w:val="24"/>
                    <w:szCs w:val="24"/>
                  </w:rPr>
                  <w:t xml:space="preserve"> 页</w:t>
                </w:r>
              </w:p>
            </w:txbxContent>
          </v:textbox>
          <w10:wrap anchorx="margin"/>
        </v:rect>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rect id="4099" o:spid="_x0000_s2059" style="width:2in;height:2in;margin-top:0;margin-left:0;mso-height-relative:page;mso-position-horizontal:center;mso-position-horizontal-relative:margin;mso-width-relative:page;mso-wrap-style:none;position:absolute;z-index:251668480" coordsize="21600,21600" filled="f" stroked="f">
          <v:textbox style="mso-fit-shape-to-text:t" inset="0,0,0,0">
            <w:txbxContent>
              <w:p>
                <w:pPr>
                  <w:pStyle w:val="Footer"/>
                  <w:rPr>
                    <w:sz w:val="24"/>
                    <w:szCs w:val="24"/>
                  </w:rPr>
                </w:pPr>
                <w:r>
                  <w:rPr>
                    <w:sz w:val="24"/>
                    <w:szCs w:val="24"/>
                  </w:rPr>
                  <w:t xml:space="preserve">第 </w:t>
                </w:r>
                <w:r>
                  <w:rPr>
                    <w:rFonts w:hint="eastAsia"/>
                    <w:sz w:val="24"/>
                    <w:szCs w:val="24"/>
                  </w:rPr>
                  <w:t>21</w:t>
                </w:r>
                <w:r>
                  <w:rPr>
                    <w:sz w:val="24"/>
                    <w:szCs w:val="24"/>
                  </w:rPr>
                  <w:t xml:space="preserve"> 页 共 </w:t>
                </w:r>
                <w:r>
                  <w:rPr>
                    <w:rFonts w:hint="eastAsia"/>
                    <w:sz w:val="24"/>
                    <w:szCs w:val="24"/>
                  </w:rPr>
                  <w:t>21</w:t>
                </w:r>
                <w:r>
                  <w:rPr>
                    <w:sz w:val="24"/>
                    <w:szCs w:val="24"/>
                  </w:rPr>
                  <w:t xml:space="preserve"> 页</w:t>
                </w:r>
              </w:p>
            </w:txbxContent>
          </v:textbox>
          <w10:wrap anchorx="margin"/>
        </v:rect>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53208E"/>
    <w:multiLevelType w:val="singleLevel"/>
    <w:tmpl w:val="0053208E"/>
    <w:lvl w:ilvl="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embedSystemFonts/>
  <w:bordersDoNotSurroundHeader/>
  <w:bordersDoNotSurroundFooter/>
  <w:defaultTabStop w:val="420"/>
  <w:drawingGridVerticalSpacing w:val="156"/>
  <w:noPunctuationKerning/>
  <w:characterSpacingControl w:val="compressPunctuation"/>
  <w:footnotePr>
    <w:numFmt w:val="decimalEnclosedCircleChines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BDF"/>
    <w:rsid w:val="0019239A"/>
    <w:rsid w:val="001B4ED6"/>
    <w:rsid w:val="00212925"/>
    <w:rsid w:val="002D4104"/>
    <w:rsid w:val="00352BDF"/>
    <w:rsid w:val="003F355D"/>
    <w:rsid w:val="004A5BE7"/>
    <w:rsid w:val="00522D1A"/>
    <w:rsid w:val="005A3888"/>
    <w:rsid w:val="00681EBA"/>
    <w:rsid w:val="007A44D0"/>
    <w:rsid w:val="00845953"/>
    <w:rsid w:val="009F44A3"/>
    <w:rsid w:val="00A973D0"/>
    <w:rsid w:val="00DE48B8"/>
    <w:rsid w:val="00F16437"/>
    <w:rsid w:val="0100173F"/>
    <w:rsid w:val="014B590B"/>
    <w:rsid w:val="01594506"/>
    <w:rsid w:val="015C40FE"/>
    <w:rsid w:val="01636288"/>
    <w:rsid w:val="01752D31"/>
    <w:rsid w:val="01894245"/>
    <w:rsid w:val="018C3488"/>
    <w:rsid w:val="019A2EDE"/>
    <w:rsid w:val="01BD3705"/>
    <w:rsid w:val="01CA4622"/>
    <w:rsid w:val="01DF1267"/>
    <w:rsid w:val="01E37C05"/>
    <w:rsid w:val="020636B3"/>
    <w:rsid w:val="020E3DC1"/>
    <w:rsid w:val="02302A1D"/>
    <w:rsid w:val="02470C7E"/>
    <w:rsid w:val="025318A2"/>
    <w:rsid w:val="025544B1"/>
    <w:rsid w:val="02835945"/>
    <w:rsid w:val="02862544"/>
    <w:rsid w:val="02B551FD"/>
    <w:rsid w:val="02DC1F31"/>
    <w:rsid w:val="030B66E3"/>
    <w:rsid w:val="033958CB"/>
    <w:rsid w:val="03626AAD"/>
    <w:rsid w:val="037B009C"/>
    <w:rsid w:val="03806FAB"/>
    <w:rsid w:val="03A46B41"/>
    <w:rsid w:val="03AE7DE1"/>
    <w:rsid w:val="03C66A0A"/>
    <w:rsid w:val="03DD2F37"/>
    <w:rsid w:val="03E710E0"/>
    <w:rsid w:val="03E9429F"/>
    <w:rsid w:val="040D418D"/>
    <w:rsid w:val="04395E66"/>
    <w:rsid w:val="04425A15"/>
    <w:rsid w:val="045A1752"/>
    <w:rsid w:val="04715C95"/>
    <w:rsid w:val="049D76C3"/>
    <w:rsid w:val="04A27E76"/>
    <w:rsid w:val="04D65AD8"/>
    <w:rsid w:val="04F575AB"/>
    <w:rsid w:val="04FB11A1"/>
    <w:rsid w:val="0506372C"/>
    <w:rsid w:val="050733F3"/>
    <w:rsid w:val="050E1C1A"/>
    <w:rsid w:val="0553547B"/>
    <w:rsid w:val="05551473"/>
    <w:rsid w:val="05556778"/>
    <w:rsid w:val="05690906"/>
    <w:rsid w:val="056E3A06"/>
    <w:rsid w:val="058A06D3"/>
    <w:rsid w:val="059B2F19"/>
    <w:rsid w:val="05A462B7"/>
    <w:rsid w:val="05B56405"/>
    <w:rsid w:val="05C410AF"/>
    <w:rsid w:val="05D84FE7"/>
    <w:rsid w:val="05DA58D0"/>
    <w:rsid w:val="05F3194E"/>
    <w:rsid w:val="05F41920"/>
    <w:rsid w:val="05FA6056"/>
    <w:rsid w:val="060E75D0"/>
    <w:rsid w:val="06280D1E"/>
    <w:rsid w:val="062F0538"/>
    <w:rsid w:val="06334E88"/>
    <w:rsid w:val="063A0F0F"/>
    <w:rsid w:val="06613760"/>
    <w:rsid w:val="0676070B"/>
    <w:rsid w:val="06A13738"/>
    <w:rsid w:val="06BD62BA"/>
    <w:rsid w:val="06CD09F7"/>
    <w:rsid w:val="06E34A68"/>
    <w:rsid w:val="06E9334C"/>
    <w:rsid w:val="06F53ED5"/>
    <w:rsid w:val="0701610B"/>
    <w:rsid w:val="07095EBB"/>
    <w:rsid w:val="0718332F"/>
    <w:rsid w:val="071E2DB4"/>
    <w:rsid w:val="072C19A1"/>
    <w:rsid w:val="07385295"/>
    <w:rsid w:val="07492ABA"/>
    <w:rsid w:val="07681CA8"/>
    <w:rsid w:val="07720167"/>
    <w:rsid w:val="078133ED"/>
    <w:rsid w:val="0785609E"/>
    <w:rsid w:val="07894347"/>
    <w:rsid w:val="0795423D"/>
    <w:rsid w:val="0799470D"/>
    <w:rsid w:val="07995F9B"/>
    <w:rsid w:val="07C94102"/>
    <w:rsid w:val="07D25B63"/>
    <w:rsid w:val="07D3471E"/>
    <w:rsid w:val="07DD5B9C"/>
    <w:rsid w:val="07EA6FB6"/>
    <w:rsid w:val="080E3A8A"/>
    <w:rsid w:val="082079C3"/>
    <w:rsid w:val="082F392B"/>
    <w:rsid w:val="08314A19"/>
    <w:rsid w:val="083909B8"/>
    <w:rsid w:val="083A6EEC"/>
    <w:rsid w:val="084C77EE"/>
    <w:rsid w:val="084F2E1A"/>
    <w:rsid w:val="08522445"/>
    <w:rsid w:val="085829C0"/>
    <w:rsid w:val="0871740E"/>
    <w:rsid w:val="087960C7"/>
    <w:rsid w:val="08B266DF"/>
    <w:rsid w:val="08C16839"/>
    <w:rsid w:val="08C81AA2"/>
    <w:rsid w:val="08CE2BD3"/>
    <w:rsid w:val="08DD2B86"/>
    <w:rsid w:val="08F30A81"/>
    <w:rsid w:val="08FE67BA"/>
    <w:rsid w:val="090672FB"/>
    <w:rsid w:val="090A128D"/>
    <w:rsid w:val="091A091F"/>
    <w:rsid w:val="093A5666"/>
    <w:rsid w:val="09445406"/>
    <w:rsid w:val="094B4494"/>
    <w:rsid w:val="094E3295"/>
    <w:rsid w:val="09557BD4"/>
    <w:rsid w:val="09857F25"/>
    <w:rsid w:val="098A023B"/>
    <w:rsid w:val="099A2B88"/>
    <w:rsid w:val="09B650C0"/>
    <w:rsid w:val="09D51E1E"/>
    <w:rsid w:val="09DE29E0"/>
    <w:rsid w:val="09E776C5"/>
    <w:rsid w:val="09FC7C2F"/>
    <w:rsid w:val="0A100A4C"/>
    <w:rsid w:val="0A4543F5"/>
    <w:rsid w:val="0A467126"/>
    <w:rsid w:val="0A5E4BFC"/>
    <w:rsid w:val="0A6171DB"/>
    <w:rsid w:val="0A686335"/>
    <w:rsid w:val="0A807E74"/>
    <w:rsid w:val="0A96551A"/>
    <w:rsid w:val="0A9A7469"/>
    <w:rsid w:val="0AB301BB"/>
    <w:rsid w:val="0AB765E7"/>
    <w:rsid w:val="0AD00F8B"/>
    <w:rsid w:val="0AEB65C6"/>
    <w:rsid w:val="0B060435"/>
    <w:rsid w:val="0B2E3875"/>
    <w:rsid w:val="0B2E6208"/>
    <w:rsid w:val="0B44270D"/>
    <w:rsid w:val="0B4E1305"/>
    <w:rsid w:val="0B662B48"/>
    <w:rsid w:val="0B6F1942"/>
    <w:rsid w:val="0B7557F3"/>
    <w:rsid w:val="0B834189"/>
    <w:rsid w:val="0B8434BD"/>
    <w:rsid w:val="0B9F19D6"/>
    <w:rsid w:val="0BC34583"/>
    <w:rsid w:val="0BD20483"/>
    <w:rsid w:val="0BF77C94"/>
    <w:rsid w:val="0BFB58A9"/>
    <w:rsid w:val="0C152E6A"/>
    <w:rsid w:val="0C3B0064"/>
    <w:rsid w:val="0C425AC1"/>
    <w:rsid w:val="0C66033B"/>
    <w:rsid w:val="0C88468D"/>
    <w:rsid w:val="0CA81180"/>
    <w:rsid w:val="0CCA2663"/>
    <w:rsid w:val="0D265F44"/>
    <w:rsid w:val="0D410AFE"/>
    <w:rsid w:val="0D4572AB"/>
    <w:rsid w:val="0D4F234B"/>
    <w:rsid w:val="0D520B19"/>
    <w:rsid w:val="0D62592D"/>
    <w:rsid w:val="0D84261A"/>
    <w:rsid w:val="0D930DEF"/>
    <w:rsid w:val="0D9528BB"/>
    <w:rsid w:val="0DB43124"/>
    <w:rsid w:val="0DB80868"/>
    <w:rsid w:val="0DB96129"/>
    <w:rsid w:val="0DC65F9E"/>
    <w:rsid w:val="0DE57E69"/>
    <w:rsid w:val="0DED3B63"/>
    <w:rsid w:val="0E031F3D"/>
    <w:rsid w:val="0E0D3399"/>
    <w:rsid w:val="0E1E5DBC"/>
    <w:rsid w:val="0E270699"/>
    <w:rsid w:val="0E2745B5"/>
    <w:rsid w:val="0E3D57A9"/>
    <w:rsid w:val="0E6D7319"/>
    <w:rsid w:val="0E806D62"/>
    <w:rsid w:val="0E88065F"/>
    <w:rsid w:val="0E922920"/>
    <w:rsid w:val="0E922B74"/>
    <w:rsid w:val="0EA70551"/>
    <w:rsid w:val="0EDA3626"/>
    <w:rsid w:val="0EF17455"/>
    <w:rsid w:val="0F122D1A"/>
    <w:rsid w:val="0F1F1C71"/>
    <w:rsid w:val="0F522C3B"/>
    <w:rsid w:val="0F5D315E"/>
    <w:rsid w:val="0F6209E4"/>
    <w:rsid w:val="0F707B4E"/>
    <w:rsid w:val="0F8C2AC3"/>
    <w:rsid w:val="0FA30E9C"/>
    <w:rsid w:val="0FAD6026"/>
    <w:rsid w:val="0FC67BE1"/>
    <w:rsid w:val="0FC83665"/>
    <w:rsid w:val="0FC94821"/>
    <w:rsid w:val="0FD226A0"/>
    <w:rsid w:val="0FE261A7"/>
    <w:rsid w:val="102B4FB1"/>
    <w:rsid w:val="104872BE"/>
    <w:rsid w:val="10626BE5"/>
    <w:rsid w:val="106E2897"/>
    <w:rsid w:val="107351C1"/>
    <w:rsid w:val="107C0287"/>
    <w:rsid w:val="109B6084"/>
    <w:rsid w:val="10BD266F"/>
    <w:rsid w:val="10D47D65"/>
    <w:rsid w:val="10DC0288"/>
    <w:rsid w:val="10F37DC5"/>
    <w:rsid w:val="10FF3157"/>
    <w:rsid w:val="110128D3"/>
    <w:rsid w:val="110F3A9F"/>
    <w:rsid w:val="11237536"/>
    <w:rsid w:val="114B5ED7"/>
    <w:rsid w:val="115B5C67"/>
    <w:rsid w:val="11751B2B"/>
    <w:rsid w:val="11784D89"/>
    <w:rsid w:val="117D78BC"/>
    <w:rsid w:val="117F049C"/>
    <w:rsid w:val="118D4F9E"/>
    <w:rsid w:val="11C22C16"/>
    <w:rsid w:val="11CF7F5B"/>
    <w:rsid w:val="11DC3267"/>
    <w:rsid w:val="11DF7499"/>
    <w:rsid w:val="11E33655"/>
    <w:rsid w:val="11ED426E"/>
    <w:rsid w:val="124D18B1"/>
    <w:rsid w:val="12566306"/>
    <w:rsid w:val="12596A1D"/>
    <w:rsid w:val="125E2E4D"/>
    <w:rsid w:val="12631B74"/>
    <w:rsid w:val="127A717D"/>
    <w:rsid w:val="128F7F13"/>
    <w:rsid w:val="12C53205"/>
    <w:rsid w:val="12C87DFE"/>
    <w:rsid w:val="12D975CF"/>
    <w:rsid w:val="12E80DC6"/>
    <w:rsid w:val="12F41886"/>
    <w:rsid w:val="13091C21"/>
    <w:rsid w:val="134F6BAB"/>
    <w:rsid w:val="13516AE1"/>
    <w:rsid w:val="135568D3"/>
    <w:rsid w:val="136750CE"/>
    <w:rsid w:val="136926BC"/>
    <w:rsid w:val="139B19C5"/>
    <w:rsid w:val="13A26BEB"/>
    <w:rsid w:val="13A47A46"/>
    <w:rsid w:val="13BD445A"/>
    <w:rsid w:val="13C12B46"/>
    <w:rsid w:val="13C51BD4"/>
    <w:rsid w:val="140C3389"/>
    <w:rsid w:val="14131431"/>
    <w:rsid w:val="142673BC"/>
    <w:rsid w:val="14392396"/>
    <w:rsid w:val="144F0AD2"/>
    <w:rsid w:val="14564082"/>
    <w:rsid w:val="14867153"/>
    <w:rsid w:val="14A71AC9"/>
    <w:rsid w:val="14B32603"/>
    <w:rsid w:val="14D25E3B"/>
    <w:rsid w:val="14DE7F96"/>
    <w:rsid w:val="14EE38A8"/>
    <w:rsid w:val="14F406F7"/>
    <w:rsid w:val="15273DF3"/>
    <w:rsid w:val="153E6FAD"/>
    <w:rsid w:val="154858C4"/>
    <w:rsid w:val="155B5B9D"/>
    <w:rsid w:val="15657A96"/>
    <w:rsid w:val="156C76A9"/>
    <w:rsid w:val="15824E0A"/>
    <w:rsid w:val="15835634"/>
    <w:rsid w:val="15995D86"/>
    <w:rsid w:val="15D06EC7"/>
    <w:rsid w:val="15E34993"/>
    <w:rsid w:val="15E70864"/>
    <w:rsid w:val="161500BB"/>
    <w:rsid w:val="16391CC6"/>
    <w:rsid w:val="16A75DC4"/>
    <w:rsid w:val="16AF7C4C"/>
    <w:rsid w:val="16BB4913"/>
    <w:rsid w:val="16C620E9"/>
    <w:rsid w:val="16CC51DA"/>
    <w:rsid w:val="16CF32A5"/>
    <w:rsid w:val="16D2026B"/>
    <w:rsid w:val="16F275BE"/>
    <w:rsid w:val="1712130B"/>
    <w:rsid w:val="171F188F"/>
    <w:rsid w:val="17283F93"/>
    <w:rsid w:val="17284BF3"/>
    <w:rsid w:val="17770D2F"/>
    <w:rsid w:val="17772C99"/>
    <w:rsid w:val="17843C26"/>
    <w:rsid w:val="179D286E"/>
    <w:rsid w:val="17A65952"/>
    <w:rsid w:val="17AD67E8"/>
    <w:rsid w:val="17B31521"/>
    <w:rsid w:val="17B6339D"/>
    <w:rsid w:val="17FB7E50"/>
    <w:rsid w:val="17FE427A"/>
    <w:rsid w:val="180428FB"/>
    <w:rsid w:val="18151C70"/>
    <w:rsid w:val="181A5109"/>
    <w:rsid w:val="18212117"/>
    <w:rsid w:val="18356E35"/>
    <w:rsid w:val="18570139"/>
    <w:rsid w:val="18581540"/>
    <w:rsid w:val="185F6CDD"/>
    <w:rsid w:val="186758CF"/>
    <w:rsid w:val="18694EBB"/>
    <w:rsid w:val="18786EFE"/>
    <w:rsid w:val="188B0B0B"/>
    <w:rsid w:val="189C2066"/>
    <w:rsid w:val="18D903CA"/>
    <w:rsid w:val="18DF22AA"/>
    <w:rsid w:val="18F83CEF"/>
    <w:rsid w:val="19042F21"/>
    <w:rsid w:val="193871FB"/>
    <w:rsid w:val="193B032D"/>
    <w:rsid w:val="19402B36"/>
    <w:rsid w:val="1940764F"/>
    <w:rsid w:val="19637507"/>
    <w:rsid w:val="19680380"/>
    <w:rsid w:val="197C4EC2"/>
    <w:rsid w:val="19880AB6"/>
    <w:rsid w:val="198D3E04"/>
    <w:rsid w:val="198D3ECA"/>
    <w:rsid w:val="199C1554"/>
    <w:rsid w:val="19AD737E"/>
    <w:rsid w:val="19CA65CE"/>
    <w:rsid w:val="1A3063F1"/>
    <w:rsid w:val="1A3C1495"/>
    <w:rsid w:val="1A54151C"/>
    <w:rsid w:val="1A66288C"/>
    <w:rsid w:val="1A77364B"/>
    <w:rsid w:val="1A9B43B7"/>
    <w:rsid w:val="1AA40257"/>
    <w:rsid w:val="1AAB5D44"/>
    <w:rsid w:val="1ABC04EE"/>
    <w:rsid w:val="1AC33066"/>
    <w:rsid w:val="1AC74042"/>
    <w:rsid w:val="1AD94A78"/>
    <w:rsid w:val="1AEE058A"/>
    <w:rsid w:val="1B312ADA"/>
    <w:rsid w:val="1B37770F"/>
    <w:rsid w:val="1B4C38D0"/>
    <w:rsid w:val="1B51705E"/>
    <w:rsid w:val="1B8F6F97"/>
    <w:rsid w:val="1BAB1B78"/>
    <w:rsid w:val="1BB132C5"/>
    <w:rsid w:val="1BB93510"/>
    <w:rsid w:val="1BC648EB"/>
    <w:rsid w:val="1BE21F40"/>
    <w:rsid w:val="1BE3420E"/>
    <w:rsid w:val="1BEA36AD"/>
    <w:rsid w:val="1BEC502D"/>
    <w:rsid w:val="1BFB6B59"/>
    <w:rsid w:val="1C39123F"/>
    <w:rsid w:val="1C5358A1"/>
    <w:rsid w:val="1C763D38"/>
    <w:rsid w:val="1C85228E"/>
    <w:rsid w:val="1C867BD1"/>
    <w:rsid w:val="1C885E8C"/>
    <w:rsid w:val="1C8A4404"/>
    <w:rsid w:val="1C9A5764"/>
    <w:rsid w:val="1C9D7238"/>
    <w:rsid w:val="1CB61793"/>
    <w:rsid w:val="1CBD7092"/>
    <w:rsid w:val="1CBF402F"/>
    <w:rsid w:val="1CC0719C"/>
    <w:rsid w:val="1CC368F7"/>
    <w:rsid w:val="1CD30A65"/>
    <w:rsid w:val="1CD9298E"/>
    <w:rsid w:val="1CEC13E2"/>
    <w:rsid w:val="1D0A739A"/>
    <w:rsid w:val="1D110429"/>
    <w:rsid w:val="1D182D94"/>
    <w:rsid w:val="1D281955"/>
    <w:rsid w:val="1D28798D"/>
    <w:rsid w:val="1D444092"/>
    <w:rsid w:val="1D49241E"/>
    <w:rsid w:val="1D4B3100"/>
    <w:rsid w:val="1D512093"/>
    <w:rsid w:val="1D55747D"/>
    <w:rsid w:val="1D6D68F9"/>
    <w:rsid w:val="1D704618"/>
    <w:rsid w:val="1DA326A2"/>
    <w:rsid w:val="1DAB7053"/>
    <w:rsid w:val="1E0330B3"/>
    <w:rsid w:val="1E062518"/>
    <w:rsid w:val="1E26742B"/>
    <w:rsid w:val="1E282721"/>
    <w:rsid w:val="1E2A2FCC"/>
    <w:rsid w:val="1E46657F"/>
    <w:rsid w:val="1E4C0357"/>
    <w:rsid w:val="1E604074"/>
    <w:rsid w:val="1E71546B"/>
    <w:rsid w:val="1E7B24F9"/>
    <w:rsid w:val="1E9E1127"/>
    <w:rsid w:val="1ECC1294"/>
    <w:rsid w:val="1F0E3737"/>
    <w:rsid w:val="1F1D0587"/>
    <w:rsid w:val="1F2E0E23"/>
    <w:rsid w:val="1F4C30C7"/>
    <w:rsid w:val="1F503F12"/>
    <w:rsid w:val="1F533D25"/>
    <w:rsid w:val="1F591176"/>
    <w:rsid w:val="1F6712A4"/>
    <w:rsid w:val="1F814A63"/>
    <w:rsid w:val="1F825A2A"/>
    <w:rsid w:val="1F861F84"/>
    <w:rsid w:val="1F950463"/>
    <w:rsid w:val="1FB60453"/>
    <w:rsid w:val="1FC2566E"/>
    <w:rsid w:val="1FDC1E4E"/>
    <w:rsid w:val="1FDD2653"/>
    <w:rsid w:val="1FE419DC"/>
    <w:rsid w:val="1FFB30F5"/>
    <w:rsid w:val="1FFD38B2"/>
    <w:rsid w:val="20214CC2"/>
    <w:rsid w:val="202F5352"/>
    <w:rsid w:val="203E70DF"/>
    <w:rsid w:val="20640C2E"/>
    <w:rsid w:val="206754F1"/>
    <w:rsid w:val="20753486"/>
    <w:rsid w:val="20827DA4"/>
    <w:rsid w:val="20944DC6"/>
    <w:rsid w:val="20AC074C"/>
    <w:rsid w:val="20CD5491"/>
    <w:rsid w:val="20D81077"/>
    <w:rsid w:val="20F32F3F"/>
    <w:rsid w:val="210861E5"/>
    <w:rsid w:val="212B258C"/>
    <w:rsid w:val="21351DA9"/>
    <w:rsid w:val="2142552B"/>
    <w:rsid w:val="215D5D52"/>
    <w:rsid w:val="2174215A"/>
    <w:rsid w:val="217526D0"/>
    <w:rsid w:val="217C265F"/>
    <w:rsid w:val="21833C8E"/>
    <w:rsid w:val="21AA366B"/>
    <w:rsid w:val="21E00B61"/>
    <w:rsid w:val="21E052A0"/>
    <w:rsid w:val="21F15577"/>
    <w:rsid w:val="21F4329C"/>
    <w:rsid w:val="21FD6BCF"/>
    <w:rsid w:val="220647BE"/>
    <w:rsid w:val="220C0FB2"/>
    <w:rsid w:val="221F512B"/>
    <w:rsid w:val="22316061"/>
    <w:rsid w:val="22410E4B"/>
    <w:rsid w:val="22420F7D"/>
    <w:rsid w:val="224625CC"/>
    <w:rsid w:val="227565E6"/>
    <w:rsid w:val="227C6C21"/>
    <w:rsid w:val="228147C0"/>
    <w:rsid w:val="22957587"/>
    <w:rsid w:val="22A07CE0"/>
    <w:rsid w:val="22B920D0"/>
    <w:rsid w:val="22C70E5D"/>
    <w:rsid w:val="22C97380"/>
    <w:rsid w:val="22F13095"/>
    <w:rsid w:val="22F930A4"/>
    <w:rsid w:val="22FA7927"/>
    <w:rsid w:val="22FC3C9F"/>
    <w:rsid w:val="22FF3CF8"/>
    <w:rsid w:val="23016D5C"/>
    <w:rsid w:val="230621C2"/>
    <w:rsid w:val="23172E5E"/>
    <w:rsid w:val="232A26CC"/>
    <w:rsid w:val="23363402"/>
    <w:rsid w:val="235A2EB5"/>
    <w:rsid w:val="23702421"/>
    <w:rsid w:val="23810504"/>
    <w:rsid w:val="239B3DC7"/>
    <w:rsid w:val="23A06027"/>
    <w:rsid w:val="23A1645C"/>
    <w:rsid w:val="23A71558"/>
    <w:rsid w:val="24402E9B"/>
    <w:rsid w:val="2446754D"/>
    <w:rsid w:val="24505045"/>
    <w:rsid w:val="245A7DC6"/>
    <w:rsid w:val="248E56A8"/>
    <w:rsid w:val="249413FE"/>
    <w:rsid w:val="24AE1859"/>
    <w:rsid w:val="24BC19D7"/>
    <w:rsid w:val="24BF0F4A"/>
    <w:rsid w:val="24C476EF"/>
    <w:rsid w:val="24CF2469"/>
    <w:rsid w:val="24CF380C"/>
    <w:rsid w:val="24EA27DE"/>
    <w:rsid w:val="2563023D"/>
    <w:rsid w:val="25CA0786"/>
    <w:rsid w:val="25E212C1"/>
    <w:rsid w:val="25F736FF"/>
    <w:rsid w:val="261E1EF8"/>
    <w:rsid w:val="263760C3"/>
    <w:rsid w:val="264172E5"/>
    <w:rsid w:val="265563D7"/>
    <w:rsid w:val="265921A4"/>
    <w:rsid w:val="266776E0"/>
    <w:rsid w:val="268E2560"/>
    <w:rsid w:val="26A306F9"/>
    <w:rsid w:val="26AC4A17"/>
    <w:rsid w:val="26B3540A"/>
    <w:rsid w:val="26BB0EA2"/>
    <w:rsid w:val="26C14F81"/>
    <w:rsid w:val="26C564DB"/>
    <w:rsid w:val="26FD1858"/>
    <w:rsid w:val="27030A66"/>
    <w:rsid w:val="27097E57"/>
    <w:rsid w:val="270E1CA4"/>
    <w:rsid w:val="271B7528"/>
    <w:rsid w:val="27406400"/>
    <w:rsid w:val="2746404B"/>
    <w:rsid w:val="27516627"/>
    <w:rsid w:val="27720FE7"/>
    <w:rsid w:val="277264DA"/>
    <w:rsid w:val="27A974BD"/>
    <w:rsid w:val="27AC1F7F"/>
    <w:rsid w:val="27B138EF"/>
    <w:rsid w:val="27B23064"/>
    <w:rsid w:val="27D01DEB"/>
    <w:rsid w:val="27E23BEC"/>
    <w:rsid w:val="27EF7FD9"/>
    <w:rsid w:val="28110556"/>
    <w:rsid w:val="282D3D77"/>
    <w:rsid w:val="283D1328"/>
    <w:rsid w:val="28486BD8"/>
    <w:rsid w:val="284F0645"/>
    <w:rsid w:val="28573C31"/>
    <w:rsid w:val="28644461"/>
    <w:rsid w:val="2883511E"/>
    <w:rsid w:val="288614EE"/>
    <w:rsid w:val="288A5656"/>
    <w:rsid w:val="28B60993"/>
    <w:rsid w:val="28D45A93"/>
    <w:rsid w:val="28E16E93"/>
    <w:rsid w:val="28F56197"/>
    <w:rsid w:val="290640C0"/>
    <w:rsid w:val="29711A77"/>
    <w:rsid w:val="297A50D6"/>
    <w:rsid w:val="29833FEC"/>
    <w:rsid w:val="29974DBD"/>
    <w:rsid w:val="29E24CAC"/>
    <w:rsid w:val="2A3871CC"/>
    <w:rsid w:val="2A6A4F2E"/>
    <w:rsid w:val="2A834C39"/>
    <w:rsid w:val="2AA66F9A"/>
    <w:rsid w:val="2AC43E73"/>
    <w:rsid w:val="2AC77233"/>
    <w:rsid w:val="2ADB52BF"/>
    <w:rsid w:val="2AEC45E9"/>
    <w:rsid w:val="2AF9063A"/>
    <w:rsid w:val="2AFD0B31"/>
    <w:rsid w:val="2B097EC1"/>
    <w:rsid w:val="2B1042B9"/>
    <w:rsid w:val="2B2C7E7F"/>
    <w:rsid w:val="2B2F228D"/>
    <w:rsid w:val="2B394022"/>
    <w:rsid w:val="2B3C285F"/>
    <w:rsid w:val="2B615905"/>
    <w:rsid w:val="2B7218EB"/>
    <w:rsid w:val="2B7A7EF3"/>
    <w:rsid w:val="2B8A092B"/>
    <w:rsid w:val="2BA3240D"/>
    <w:rsid w:val="2BD378B3"/>
    <w:rsid w:val="2BE31D1F"/>
    <w:rsid w:val="2BE5408F"/>
    <w:rsid w:val="2BEF2857"/>
    <w:rsid w:val="2BF236E9"/>
    <w:rsid w:val="2C0260E0"/>
    <w:rsid w:val="2C176ABE"/>
    <w:rsid w:val="2C20496E"/>
    <w:rsid w:val="2C243952"/>
    <w:rsid w:val="2C294C6C"/>
    <w:rsid w:val="2C644D39"/>
    <w:rsid w:val="2C810310"/>
    <w:rsid w:val="2C851CFB"/>
    <w:rsid w:val="2C915C71"/>
    <w:rsid w:val="2CD91911"/>
    <w:rsid w:val="2CDF6421"/>
    <w:rsid w:val="2CF418B2"/>
    <w:rsid w:val="2CF73497"/>
    <w:rsid w:val="2D185F65"/>
    <w:rsid w:val="2D417A64"/>
    <w:rsid w:val="2D420B5F"/>
    <w:rsid w:val="2D466FD2"/>
    <w:rsid w:val="2D524C3A"/>
    <w:rsid w:val="2D5C602A"/>
    <w:rsid w:val="2D8D3C7A"/>
    <w:rsid w:val="2D9E5206"/>
    <w:rsid w:val="2DA16CB7"/>
    <w:rsid w:val="2DB32544"/>
    <w:rsid w:val="2DC32F33"/>
    <w:rsid w:val="2DC55457"/>
    <w:rsid w:val="2DCD16AD"/>
    <w:rsid w:val="2DF44E95"/>
    <w:rsid w:val="2DF614BA"/>
    <w:rsid w:val="2E1046DA"/>
    <w:rsid w:val="2E4A08FD"/>
    <w:rsid w:val="2E624DDC"/>
    <w:rsid w:val="2E691A92"/>
    <w:rsid w:val="2ED80A90"/>
    <w:rsid w:val="2EDC1D96"/>
    <w:rsid w:val="2EEE2D31"/>
    <w:rsid w:val="2F007345"/>
    <w:rsid w:val="2F126F36"/>
    <w:rsid w:val="2F2109F0"/>
    <w:rsid w:val="2F2A5C7B"/>
    <w:rsid w:val="2F2A79A7"/>
    <w:rsid w:val="2F3E3562"/>
    <w:rsid w:val="2F3F01C2"/>
    <w:rsid w:val="2F432621"/>
    <w:rsid w:val="2F4B1440"/>
    <w:rsid w:val="2FA17DF4"/>
    <w:rsid w:val="2FA37066"/>
    <w:rsid w:val="2FB70908"/>
    <w:rsid w:val="2FB87963"/>
    <w:rsid w:val="2FBC24E9"/>
    <w:rsid w:val="2FC15896"/>
    <w:rsid w:val="2FD81F6E"/>
    <w:rsid w:val="2FDD5697"/>
    <w:rsid w:val="2FF17022"/>
    <w:rsid w:val="2FF200D7"/>
    <w:rsid w:val="300E78AD"/>
    <w:rsid w:val="30351258"/>
    <w:rsid w:val="30606B37"/>
    <w:rsid w:val="306A032A"/>
    <w:rsid w:val="307110AA"/>
    <w:rsid w:val="307F32DE"/>
    <w:rsid w:val="309A18FF"/>
    <w:rsid w:val="30A216A1"/>
    <w:rsid w:val="30A71E1A"/>
    <w:rsid w:val="30D21F8F"/>
    <w:rsid w:val="30F13DB1"/>
    <w:rsid w:val="31013D91"/>
    <w:rsid w:val="31131824"/>
    <w:rsid w:val="31190581"/>
    <w:rsid w:val="31675814"/>
    <w:rsid w:val="316D6842"/>
    <w:rsid w:val="3182294E"/>
    <w:rsid w:val="319177F1"/>
    <w:rsid w:val="319806ED"/>
    <w:rsid w:val="31987C40"/>
    <w:rsid w:val="319966D1"/>
    <w:rsid w:val="319D3449"/>
    <w:rsid w:val="31D37F8A"/>
    <w:rsid w:val="323B174B"/>
    <w:rsid w:val="326A1E54"/>
    <w:rsid w:val="32840525"/>
    <w:rsid w:val="32844B26"/>
    <w:rsid w:val="32966B07"/>
    <w:rsid w:val="3296785E"/>
    <w:rsid w:val="32B2266D"/>
    <w:rsid w:val="32C27AC3"/>
    <w:rsid w:val="32C84A57"/>
    <w:rsid w:val="32E9146B"/>
    <w:rsid w:val="3315145B"/>
    <w:rsid w:val="331A7868"/>
    <w:rsid w:val="331D42FA"/>
    <w:rsid w:val="33412B09"/>
    <w:rsid w:val="33747F29"/>
    <w:rsid w:val="338C5A29"/>
    <w:rsid w:val="33916B07"/>
    <w:rsid w:val="33921C3A"/>
    <w:rsid w:val="33CE28D0"/>
    <w:rsid w:val="33ED01AE"/>
    <w:rsid w:val="340149EA"/>
    <w:rsid w:val="340D7167"/>
    <w:rsid w:val="341C41C5"/>
    <w:rsid w:val="341D7B47"/>
    <w:rsid w:val="342978D2"/>
    <w:rsid w:val="34484B45"/>
    <w:rsid w:val="345A3515"/>
    <w:rsid w:val="34740801"/>
    <w:rsid w:val="34796DF5"/>
    <w:rsid w:val="34852748"/>
    <w:rsid w:val="348E102F"/>
    <w:rsid w:val="348F6974"/>
    <w:rsid w:val="34C21B43"/>
    <w:rsid w:val="34EF53E5"/>
    <w:rsid w:val="34FD1129"/>
    <w:rsid w:val="350F0FBB"/>
    <w:rsid w:val="35104258"/>
    <w:rsid w:val="35105750"/>
    <w:rsid w:val="351344E3"/>
    <w:rsid w:val="35243C9A"/>
    <w:rsid w:val="35434F14"/>
    <w:rsid w:val="3549018A"/>
    <w:rsid w:val="355A2EDF"/>
    <w:rsid w:val="355B1320"/>
    <w:rsid w:val="355C0C53"/>
    <w:rsid w:val="35665418"/>
    <w:rsid w:val="356F1A5A"/>
    <w:rsid w:val="357243E6"/>
    <w:rsid w:val="3592703B"/>
    <w:rsid w:val="35BF2C2C"/>
    <w:rsid w:val="35DD497A"/>
    <w:rsid w:val="35F677A3"/>
    <w:rsid w:val="3611071B"/>
    <w:rsid w:val="362403E8"/>
    <w:rsid w:val="3646546B"/>
    <w:rsid w:val="365B7E89"/>
    <w:rsid w:val="366F3B13"/>
    <w:rsid w:val="36C9612C"/>
    <w:rsid w:val="36E7004B"/>
    <w:rsid w:val="36F84F34"/>
    <w:rsid w:val="370853C9"/>
    <w:rsid w:val="37173DA1"/>
    <w:rsid w:val="3726182B"/>
    <w:rsid w:val="374C4817"/>
    <w:rsid w:val="379031EA"/>
    <w:rsid w:val="37AE5A34"/>
    <w:rsid w:val="37C11E40"/>
    <w:rsid w:val="37EF238C"/>
    <w:rsid w:val="37F10D09"/>
    <w:rsid w:val="37FC49AB"/>
    <w:rsid w:val="37FF4D53"/>
    <w:rsid w:val="38065A39"/>
    <w:rsid w:val="38150459"/>
    <w:rsid w:val="386C314A"/>
    <w:rsid w:val="386D7B9E"/>
    <w:rsid w:val="38810E1E"/>
    <w:rsid w:val="388D17D7"/>
    <w:rsid w:val="389D609E"/>
    <w:rsid w:val="38AB5C74"/>
    <w:rsid w:val="38BF4BFD"/>
    <w:rsid w:val="38D67D15"/>
    <w:rsid w:val="38F37A0D"/>
    <w:rsid w:val="38F82B10"/>
    <w:rsid w:val="39053CFD"/>
    <w:rsid w:val="39220471"/>
    <w:rsid w:val="39671CD4"/>
    <w:rsid w:val="39703C31"/>
    <w:rsid w:val="397F61CA"/>
    <w:rsid w:val="39856235"/>
    <w:rsid w:val="39AD743A"/>
    <w:rsid w:val="39C54B96"/>
    <w:rsid w:val="39FC0CDB"/>
    <w:rsid w:val="3A143B13"/>
    <w:rsid w:val="3A326B04"/>
    <w:rsid w:val="3A35293C"/>
    <w:rsid w:val="3A494911"/>
    <w:rsid w:val="3A4E11C3"/>
    <w:rsid w:val="3A522324"/>
    <w:rsid w:val="3A5C5C4E"/>
    <w:rsid w:val="3A785F93"/>
    <w:rsid w:val="3A867788"/>
    <w:rsid w:val="3AB03952"/>
    <w:rsid w:val="3AB31DBA"/>
    <w:rsid w:val="3AB60BC3"/>
    <w:rsid w:val="3AC156B3"/>
    <w:rsid w:val="3AC9279A"/>
    <w:rsid w:val="3AD4409E"/>
    <w:rsid w:val="3B0325B1"/>
    <w:rsid w:val="3B117D32"/>
    <w:rsid w:val="3B311233"/>
    <w:rsid w:val="3B460B05"/>
    <w:rsid w:val="3B596FB5"/>
    <w:rsid w:val="3B5D2C50"/>
    <w:rsid w:val="3B5D34DE"/>
    <w:rsid w:val="3B6267A5"/>
    <w:rsid w:val="3B6B64BA"/>
    <w:rsid w:val="3B70158F"/>
    <w:rsid w:val="3B9B7E01"/>
    <w:rsid w:val="3BBE1B60"/>
    <w:rsid w:val="3C044A35"/>
    <w:rsid w:val="3C05292B"/>
    <w:rsid w:val="3C0737C3"/>
    <w:rsid w:val="3C09682C"/>
    <w:rsid w:val="3C0B3EAD"/>
    <w:rsid w:val="3C151B49"/>
    <w:rsid w:val="3C1E56BD"/>
    <w:rsid w:val="3C260612"/>
    <w:rsid w:val="3C2B15C3"/>
    <w:rsid w:val="3C307EF8"/>
    <w:rsid w:val="3C3A0C63"/>
    <w:rsid w:val="3C4C4F89"/>
    <w:rsid w:val="3C505E49"/>
    <w:rsid w:val="3C842CA8"/>
    <w:rsid w:val="3CA6657E"/>
    <w:rsid w:val="3CB26B83"/>
    <w:rsid w:val="3CD164A5"/>
    <w:rsid w:val="3CE153E0"/>
    <w:rsid w:val="3CEA7DE7"/>
    <w:rsid w:val="3CEE2B99"/>
    <w:rsid w:val="3CF37C7E"/>
    <w:rsid w:val="3D27630D"/>
    <w:rsid w:val="3D5662CF"/>
    <w:rsid w:val="3D5E2CBA"/>
    <w:rsid w:val="3D705869"/>
    <w:rsid w:val="3D8C53EB"/>
    <w:rsid w:val="3DA31265"/>
    <w:rsid w:val="3DC057ED"/>
    <w:rsid w:val="3DC727EA"/>
    <w:rsid w:val="3E114CA6"/>
    <w:rsid w:val="3E24731E"/>
    <w:rsid w:val="3E5A5972"/>
    <w:rsid w:val="3E891339"/>
    <w:rsid w:val="3E975CFF"/>
    <w:rsid w:val="3E9C02D6"/>
    <w:rsid w:val="3EA570F6"/>
    <w:rsid w:val="3EAA48EB"/>
    <w:rsid w:val="3EBF2D01"/>
    <w:rsid w:val="3EC270F5"/>
    <w:rsid w:val="3EC369BB"/>
    <w:rsid w:val="3ECC1C05"/>
    <w:rsid w:val="3ECC25F4"/>
    <w:rsid w:val="3ED54138"/>
    <w:rsid w:val="3EDE79B9"/>
    <w:rsid w:val="3EF00990"/>
    <w:rsid w:val="3EF93236"/>
    <w:rsid w:val="3F3852BB"/>
    <w:rsid w:val="3F390A0E"/>
    <w:rsid w:val="3F3B492A"/>
    <w:rsid w:val="3F5B7D66"/>
    <w:rsid w:val="3F833354"/>
    <w:rsid w:val="3F846F7F"/>
    <w:rsid w:val="3F950C40"/>
    <w:rsid w:val="3F9D3C64"/>
    <w:rsid w:val="3FBF7F5A"/>
    <w:rsid w:val="3FDD0AFE"/>
    <w:rsid w:val="3FED72B9"/>
    <w:rsid w:val="3FF406C2"/>
    <w:rsid w:val="40125902"/>
    <w:rsid w:val="401C1DF4"/>
    <w:rsid w:val="402E14C4"/>
    <w:rsid w:val="404F7BAF"/>
    <w:rsid w:val="4059398D"/>
    <w:rsid w:val="406D63C7"/>
    <w:rsid w:val="407177CF"/>
    <w:rsid w:val="408522EC"/>
    <w:rsid w:val="40877E42"/>
    <w:rsid w:val="408D1670"/>
    <w:rsid w:val="40910668"/>
    <w:rsid w:val="40E77A61"/>
    <w:rsid w:val="41122739"/>
    <w:rsid w:val="41541845"/>
    <w:rsid w:val="415532FB"/>
    <w:rsid w:val="415C1520"/>
    <w:rsid w:val="41662AF3"/>
    <w:rsid w:val="41980D52"/>
    <w:rsid w:val="41CB23E6"/>
    <w:rsid w:val="41CC4F1E"/>
    <w:rsid w:val="41E07F8C"/>
    <w:rsid w:val="41E451AC"/>
    <w:rsid w:val="41E7256F"/>
    <w:rsid w:val="41F3760E"/>
    <w:rsid w:val="41FD6A55"/>
    <w:rsid w:val="420100B7"/>
    <w:rsid w:val="42172151"/>
    <w:rsid w:val="421C0CA9"/>
    <w:rsid w:val="42422095"/>
    <w:rsid w:val="42535E41"/>
    <w:rsid w:val="426C1F66"/>
    <w:rsid w:val="428A2A10"/>
    <w:rsid w:val="42B215F9"/>
    <w:rsid w:val="42E95E9E"/>
    <w:rsid w:val="42F64C58"/>
    <w:rsid w:val="430918C9"/>
    <w:rsid w:val="43165282"/>
    <w:rsid w:val="433B5792"/>
    <w:rsid w:val="434855A5"/>
    <w:rsid w:val="435B67A8"/>
    <w:rsid w:val="436105ED"/>
    <w:rsid w:val="43734005"/>
    <w:rsid w:val="43810165"/>
    <w:rsid w:val="43913E95"/>
    <w:rsid w:val="43B623EC"/>
    <w:rsid w:val="43EA6255"/>
    <w:rsid w:val="44016154"/>
    <w:rsid w:val="440211A9"/>
    <w:rsid w:val="44056208"/>
    <w:rsid w:val="44187405"/>
    <w:rsid w:val="441D0049"/>
    <w:rsid w:val="44351863"/>
    <w:rsid w:val="44425B49"/>
    <w:rsid w:val="44440C9C"/>
    <w:rsid w:val="44825E25"/>
    <w:rsid w:val="44870C9D"/>
    <w:rsid w:val="448E21B0"/>
    <w:rsid w:val="44993771"/>
    <w:rsid w:val="44A40CF5"/>
    <w:rsid w:val="44B804BB"/>
    <w:rsid w:val="44C763F6"/>
    <w:rsid w:val="44CA5328"/>
    <w:rsid w:val="44D1287F"/>
    <w:rsid w:val="45095580"/>
    <w:rsid w:val="450F512D"/>
    <w:rsid w:val="452B38CF"/>
    <w:rsid w:val="45451D88"/>
    <w:rsid w:val="454F783B"/>
    <w:rsid w:val="458C749D"/>
    <w:rsid w:val="459262ED"/>
    <w:rsid w:val="45A74E65"/>
    <w:rsid w:val="45BC73AD"/>
    <w:rsid w:val="45D03694"/>
    <w:rsid w:val="45D972F0"/>
    <w:rsid w:val="4600254B"/>
    <w:rsid w:val="460748C9"/>
    <w:rsid w:val="46187A21"/>
    <w:rsid w:val="46221175"/>
    <w:rsid w:val="464A41E6"/>
    <w:rsid w:val="46531036"/>
    <w:rsid w:val="465424B8"/>
    <w:rsid w:val="467306B5"/>
    <w:rsid w:val="46780365"/>
    <w:rsid w:val="467A42E0"/>
    <w:rsid w:val="467E6239"/>
    <w:rsid w:val="468259B9"/>
    <w:rsid w:val="46B06803"/>
    <w:rsid w:val="46B93493"/>
    <w:rsid w:val="46BC41A4"/>
    <w:rsid w:val="46C63DBD"/>
    <w:rsid w:val="46D51237"/>
    <w:rsid w:val="46F220D7"/>
    <w:rsid w:val="46F92E0E"/>
    <w:rsid w:val="47193D37"/>
    <w:rsid w:val="47396BEE"/>
    <w:rsid w:val="474D5743"/>
    <w:rsid w:val="478C6B34"/>
    <w:rsid w:val="47945071"/>
    <w:rsid w:val="479D03B2"/>
    <w:rsid w:val="47A25B15"/>
    <w:rsid w:val="47D93AC5"/>
    <w:rsid w:val="47E56888"/>
    <w:rsid w:val="481044FA"/>
    <w:rsid w:val="482B45A1"/>
    <w:rsid w:val="48326155"/>
    <w:rsid w:val="483632F0"/>
    <w:rsid w:val="484438CA"/>
    <w:rsid w:val="4846167C"/>
    <w:rsid w:val="4848612A"/>
    <w:rsid w:val="48531AB7"/>
    <w:rsid w:val="48571D88"/>
    <w:rsid w:val="48672796"/>
    <w:rsid w:val="48797604"/>
    <w:rsid w:val="48804A37"/>
    <w:rsid w:val="488E2581"/>
    <w:rsid w:val="48B25E44"/>
    <w:rsid w:val="48D74357"/>
    <w:rsid w:val="48D877E4"/>
    <w:rsid w:val="48E66827"/>
    <w:rsid w:val="48ED31FB"/>
    <w:rsid w:val="491C5298"/>
    <w:rsid w:val="494B0697"/>
    <w:rsid w:val="49521F39"/>
    <w:rsid w:val="49664713"/>
    <w:rsid w:val="49703829"/>
    <w:rsid w:val="4971517A"/>
    <w:rsid w:val="498D328F"/>
    <w:rsid w:val="49927358"/>
    <w:rsid w:val="499B6603"/>
    <w:rsid w:val="499E50D9"/>
    <w:rsid w:val="49A16A72"/>
    <w:rsid w:val="49B278E5"/>
    <w:rsid w:val="49B72818"/>
    <w:rsid w:val="49BF672A"/>
    <w:rsid w:val="49C85213"/>
    <w:rsid w:val="49D1362A"/>
    <w:rsid w:val="49DE1C77"/>
    <w:rsid w:val="49E349B5"/>
    <w:rsid w:val="4A100FFA"/>
    <w:rsid w:val="4A2538C8"/>
    <w:rsid w:val="4A2F1EFC"/>
    <w:rsid w:val="4A367CBF"/>
    <w:rsid w:val="4A372FDD"/>
    <w:rsid w:val="4A3D033E"/>
    <w:rsid w:val="4A6470C4"/>
    <w:rsid w:val="4A71094A"/>
    <w:rsid w:val="4A8563D9"/>
    <w:rsid w:val="4A9102F6"/>
    <w:rsid w:val="4ABA1ADA"/>
    <w:rsid w:val="4ABD7D78"/>
    <w:rsid w:val="4AC77836"/>
    <w:rsid w:val="4AE27740"/>
    <w:rsid w:val="4AF101F0"/>
    <w:rsid w:val="4B2F4B76"/>
    <w:rsid w:val="4B32663B"/>
    <w:rsid w:val="4B4E3BD4"/>
    <w:rsid w:val="4B63119F"/>
    <w:rsid w:val="4B7D5C9A"/>
    <w:rsid w:val="4B912FDF"/>
    <w:rsid w:val="4BA46CB1"/>
    <w:rsid w:val="4BA8609B"/>
    <w:rsid w:val="4BB3422F"/>
    <w:rsid w:val="4BBB473A"/>
    <w:rsid w:val="4BBC6217"/>
    <w:rsid w:val="4BC23D57"/>
    <w:rsid w:val="4BD06417"/>
    <w:rsid w:val="4BDA71CC"/>
    <w:rsid w:val="4BE412AA"/>
    <w:rsid w:val="4BEF506D"/>
    <w:rsid w:val="4BF34A41"/>
    <w:rsid w:val="4C0327A1"/>
    <w:rsid w:val="4C0703BA"/>
    <w:rsid w:val="4C0D26C9"/>
    <w:rsid w:val="4C2D4F06"/>
    <w:rsid w:val="4C5B584C"/>
    <w:rsid w:val="4C9A0A7E"/>
    <w:rsid w:val="4CAF18ED"/>
    <w:rsid w:val="4CBD2F25"/>
    <w:rsid w:val="4CC44134"/>
    <w:rsid w:val="4CD30F37"/>
    <w:rsid w:val="4CD8687A"/>
    <w:rsid w:val="4D0C3E4F"/>
    <w:rsid w:val="4D13152B"/>
    <w:rsid w:val="4D235EA8"/>
    <w:rsid w:val="4D4309D7"/>
    <w:rsid w:val="4D5E59F5"/>
    <w:rsid w:val="4D72280D"/>
    <w:rsid w:val="4D7E17CA"/>
    <w:rsid w:val="4D870D97"/>
    <w:rsid w:val="4D9277A4"/>
    <w:rsid w:val="4DA46721"/>
    <w:rsid w:val="4DA96F2F"/>
    <w:rsid w:val="4DBE52A6"/>
    <w:rsid w:val="4DD72AFA"/>
    <w:rsid w:val="4DE7331F"/>
    <w:rsid w:val="4E1913B4"/>
    <w:rsid w:val="4E321A2F"/>
    <w:rsid w:val="4E3B5AAD"/>
    <w:rsid w:val="4E410F77"/>
    <w:rsid w:val="4E5B5CD3"/>
    <w:rsid w:val="4E8C61B0"/>
    <w:rsid w:val="4E9F0BBA"/>
    <w:rsid w:val="4E9F5B9D"/>
    <w:rsid w:val="4EA47AFD"/>
    <w:rsid w:val="4ECD3847"/>
    <w:rsid w:val="4EDA2212"/>
    <w:rsid w:val="4EE9363D"/>
    <w:rsid w:val="4F1A7D2B"/>
    <w:rsid w:val="4F251805"/>
    <w:rsid w:val="4F316C5A"/>
    <w:rsid w:val="4F606152"/>
    <w:rsid w:val="4F693FFA"/>
    <w:rsid w:val="4F6A36A0"/>
    <w:rsid w:val="4F9E7B70"/>
    <w:rsid w:val="4FB026E7"/>
    <w:rsid w:val="4FB10F6F"/>
    <w:rsid w:val="4FE27C25"/>
    <w:rsid w:val="4FE441A2"/>
    <w:rsid w:val="4FF04294"/>
    <w:rsid w:val="4FF046F3"/>
    <w:rsid w:val="500414E3"/>
    <w:rsid w:val="50102045"/>
    <w:rsid w:val="5010458A"/>
    <w:rsid w:val="50182D92"/>
    <w:rsid w:val="501B4C26"/>
    <w:rsid w:val="502A43C0"/>
    <w:rsid w:val="5040641A"/>
    <w:rsid w:val="50455DD0"/>
    <w:rsid w:val="50581253"/>
    <w:rsid w:val="50942388"/>
    <w:rsid w:val="509962DA"/>
    <w:rsid w:val="509F189A"/>
    <w:rsid w:val="50AE5DB8"/>
    <w:rsid w:val="50DA096E"/>
    <w:rsid w:val="50EF40DE"/>
    <w:rsid w:val="51043892"/>
    <w:rsid w:val="512340BA"/>
    <w:rsid w:val="5154598D"/>
    <w:rsid w:val="516318DE"/>
    <w:rsid w:val="516751A0"/>
    <w:rsid w:val="5168789E"/>
    <w:rsid w:val="5169651E"/>
    <w:rsid w:val="516E7D91"/>
    <w:rsid w:val="51803037"/>
    <w:rsid w:val="51877A8D"/>
    <w:rsid w:val="518C7735"/>
    <w:rsid w:val="519D1CC6"/>
    <w:rsid w:val="51A8706F"/>
    <w:rsid w:val="51D70DF3"/>
    <w:rsid w:val="51DD0EE5"/>
    <w:rsid w:val="51E13D1F"/>
    <w:rsid w:val="51E41954"/>
    <w:rsid w:val="51E473BC"/>
    <w:rsid w:val="51E7470D"/>
    <w:rsid w:val="51F954E1"/>
    <w:rsid w:val="52012F8E"/>
    <w:rsid w:val="520510D7"/>
    <w:rsid w:val="52065863"/>
    <w:rsid w:val="520C156B"/>
    <w:rsid w:val="5215089D"/>
    <w:rsid w:val="52175609"/>
    <w:rsid w:val="521B29DB"/>
    <w:rsid w:val="523D1F42"/>
    <w:rsid w:val="525324AA"/>
    <w:rsid w:val="525348A6"/>
    <w:rsid w:val="525A4608"/>
    <w:rsid w:val="52660B1D"/>
    <w:rsid w:val="52754EDE"/>
    <w:rsid w:val="528300E7"/>
    <w:rsid w:val="5285639D"/>
    <w:rsid w:val="52905A7A"/>
    <w:rsid w:val="529F510A"/>
    <w:rsid w:val="52B616E1"/>
    <w:rsid w:val="52C42A65"/>
    <w:rsid w:val="52DE74D1"/>
    <w:rsid w:val="52FE48BB"/>
    <w:rsid w:val="5307701E"/>
    <w:rsid w:val="530E6E78"/>
    <w:rsid w:val="53100776"/>
    <w:rsid w:val="532124C2"/>
    <w:rsid w:val="53271CC5"/>
    <w:rsid w:val="532C04F4"/>
    <w:rsid w:val="533E4752"/>
    <w:rsid w:val="53540876"/>
    <w:rsid w:val="535B0064"/>
    <w:rsid w:val="53826819"/>
    <w:rsid w:val="53922B9A"/>
    <w:rsid w:val="539607A4"/>
    <w:rsid w:val="53A06917"/>
    <w:rsid w:val="53D06D53"/>
    <w:rsid w:val="53DA2D9D"/>
    <w:rsid w:val="53E9002D"/>
    <w:rsid w:val="53F613B4"/>
    <w:rsid w:val="53F84524"/>
    <w:rsid w:val="54132BC9"/>
    <w:rsid w:val="54292990"/>
    <w:rsid w:val="543F7519"/>
    <w:rsid w:val="544419DB"/>
    <w:rsid w:val="544A1A1F"/>
    <w:rsid w:val="5476099A"/>
    <w:rsid w:val="548736E2"/>
    <w:rsid w:val="549771FA"/>
    <w:rsid w:val="54AD2BEA"/>
    <w:rsid w:val="54B262C2"/>
    <w:rsid w:val="54BC7377"/>
    <w:rsid w:val="54E30DDB"/>
    <w:rsid w:val="54FA4203"/>
    <w:rsid w:val="54FF77AB"/>
    <w:rsid w:val="5537307F"/>
    <w:rsid w:val="55404CD7"/>
    <w:rsid w:val="55660776"/>
    <w:rsid w:val="557871F5"/>
    <w:rsid w:val="55880349"/>
    <w:rsid w:val="558B28E2"/>
    <w:rsid w:val="55927BC3"/>
    <w:rsid w:val="559F5F83"/>
    <w:rsid w:val="55B76EB7"/>
    <w:rsid w:val="55C22FF2"/>
    <w:rsid w:val="55F2159B"/>
    <w:rsid w:val="560240F4"/>
    <w:rsid w:val="5608366F"/>
    <w:rsid w:val="560C1BF8"/>
    <w:rsid w:val="56120F99"/>
    <w:rsid w:val="561436E7"/>
    <w:rsid w:val="563A724F"/>
    <w:rsid w:val="568E28B8"/>
    <w:rsid w:val="569216DC"/>
    <w:rsid w:val="56971CCC"/>
    <w:rsid w:val="56977707"/>
    <w:rsid w:val="56A912E3"/>
    <w:rsid w:val="56CE4A2F"/>
    <w:rsid w:val="56DD63CB"/>
    <w:rsid w:val="56FE75E2"/>
    <w:rsid w:val="572712A7"/>
    <w:rsid w:val="573A095D"/>
    <w:rsid w:val="573A47B0"/>
    <w:rsid w:val="573B43AB"/>
    <w:rsid w:val="573F132B"/>
    <w:rsid w:val="57610999"/>
    <w:rsid w:val="57700B2D"/>
    <w:rsid w:val="57742CB8"/>
    <w:rsid w:val="5776326A"/>
    <w:rsid w:val="579217CA"/>
    <w:rsid w:val="57A22D28"/>
    <w:rsid w:val="57BD5E33"/>
    <w:rsid w:val="57D66244"/>
    <w:rsid w:val="57EA3593"/>
    <w:rsid w:val="57F55558"/>
    <w:rsid w:val="582B3838"/>
    <w:rsid w:val="584B4105"/>
    <w:rsid w:val="58510D86"/>
    <w:rsid w:val="5873013E"/>
    <w:rsid w:val="588A19AF"/>
    <w:rsid w:val="58A32047"/>
    <w:rsid w:val="58AF4745"/>
    <w:rsid w:val="58B345CA"/>
    <w:rsid w:val="58D24A45"/>
    <w:rsid w:val="58D757F1"/>
    <w:rsid w:val="58D96C0B"/>
    <w:rsid w:val="58DF77A4"/>
    <w:rsid w:val="58F9045F"/>
    <w:rsid w:val="59022DA9"/>
    <w:rsid w:val="590D62B0"/>
    <w:rsid w:val="5914205F"/>
    <w:rsid w:val="591C4774"/>
    <w:rsid w:val="592C1334"/>
    <w:rsid w:val="59376C7C"/>
    <w:rsid w:val="59397579"/>
    <w:rsid w:val="59467C0F"/>
    <w:rsid w:val="59657C7F"/>
    <w:rsid w:val="59714CA8"/>
    <w:rsid w:val="59734FFF"/>
    <w:rsid w:val="597A4411"/>
    <w:rsid w:val="598F3E5C"/>
    <w:rsid w:val="59A10CC3"/>
    <w:rsid w:val="59AE1F73"/>
    <w:rsid w:val="59CF4EAE"/>
    <w:rsid w:val="59E85D78"/>
    <w:rsid w:val="59F8461E"/>
    <w:rsid w:val="5A0C75D9"/>
    <w:rsid w:val="5A3C7044"/>
    <w:rsid w:val="5A3D5FE6"/>
    <w:rsid w:val="5A4319CF"/>
    <w:rsid w:val="5A492E12"/>
    <w:rsid w:val="5A505652"/>
    <w:rsid w:val="5A5A0111"/>
    <w:rsid w:val="5A6F4564"/>
    <w:rsid w:val="5A975EAD"/>
    <w:rsid w:val="5A9E1FF5"/>
    <w:rsid w:val="5ACC64F9"/>
    <w:rsid w:val="5AD47E54"/>
    <w:rsid w:val="5ADC32C6"/>
    <w:rsid w:val="5AF743D0"/>
    <w:rsid w:val="5AFE06A5"/>
    <w:rsid w:val="5B426807"/>
    <w:rsid w:val="5B525C92"/>
    <w:rsid w:val="5B541F48"/>
    <w:rsid w:val="5B586DC9"/>
    <w:rsid w:val="5B5E0D95"/>
    <w:rsid w:val="5B677BD9"/>
    <w:rsid w:val="5BBA53E4"/>
    <w:rsid w:val="5BBC19F6"/>
    <w:rsid w:val="5BBF2253"/>
    <w:rsid w:val="5BE44B28"/>
    <w:rsid w:val="5BFF67E8"/>
    <w:rsid w:val="5C1006E7"/>
    <w:rsid w:val="5C202604"/>
    <w:rsid w:val="5C33788D"/>
    <w:rsid w:val="5C3A153E"/>
    <w:rsid w:val="5C3B0D16"/>
    <w:rsid w:val="5C5A1B69"/>
    <w:rsid w:val="5C835CA8"/>
    <w:rsid w:val="5C8F69F4"/>
    <w:rsid w:val="5CBD0A84"/>
    <w:rsid w:val="5CC745C9"/>
    <w:rsid w:val="5CDD35A4"/>
    <w:rsid w:val="5D0F3D1A"/>
    <w:rsid w:val="5D166E9C"/>
    <w:rsid w:val="5D1D4AF7"/>
    <w:rsid w:val="5D2C6CFD"/>
    <w:rsid w:val="5D5A34DD"/>
    <w:rsid w:val="5D674D54"/>
    <w:rsid w:val="5D753FC5"/>
    <w:rsid w:val="5D7B7BAC"/>
    <w:rsid w:val="5D7F2143"/>
    <w:rsid w:val="5D891F40"/>
    <w:rsid w:val="5D9C411B"/>
    <w:rsid w:val="5DC04F1D"/>
    <w:rsid w:val="5DD40C59"/>
    <w:rsid w:val="5DDE4388"/>
    <w:rsid w:val="5DE17A9D"/>
    <w:rsid w:val="5DFA424B"/>
    <w:rsid w:val="5E142636"/>
    <w:rsid w:val="5E2614FC"/>
    <w:rsid w:val="5E423D86"/>
    <w:rsid w:val="5E563925"/>
    <w:rsid w:val="5E72088C"/>
    <w:rsid w:val="5EB1696F"/>
    <w:rsid w:val="5EB36150"/>
    <w:rsid w:val="5EBF3FD6"/>
    <w:rsid w:val="5EC564D4"/>
    <w:rsid w:val="5EC862F7"/>
    <w:rsid w:val="5EF33B9B"/>
    <w:rsid w:val="5EF83D19"/>
    <w:rsid w:val="5F0C62BE"/>
    <w:rsid w:val="5F0D178B"/>
    <w:rsid w:val="5F542C03"/>
    <w:rsid w:val="5F6A2DB6"/>
    <w:rsid w:val="5F851D2F"/>
    <w:rsid w:val="5FA0293F"/>
    <w:rsid w:val="5FB63557"/>
    <w:rsid w:val="5FCB029E"/>
    <w:rsid w:val="5FD16603"/>
    <w:rsid w:val="5FFC6839"/>
    <w:rsid w:val="60040858"/>
    <w:rsid w:val="60221B23"/>
    <w:rsid w:val="603163E7"/>
    <w:rsid w:val="60502C2B"/>
    <w:rsid w:val="605C0C2F"/>
    <w:rsid w:val="608C2567"/>
    <w:rsid w:val="60936748"/>
    <w:rsid w:val="60B8660E"/>
    <w:rsid w:val="60C97F2B"/>
    <w:rsid w:val="60D94C85"/>
    <w:rsid w:val="60E31821"/>
    <w:rsid w:val="60E61DCA"/>
    <w:rsid w:val="60E76E4A"/>
    <w:rsid w:val="61154667"/>
    <w:rsid w:val="612651D1"/>
    <w:rsid w:val="612A3EFE"/>
    <w:rsid w:val="613F0C34"/>
    <w:rsid w:val="61A82F32"/>
    <w:rsid w:val="61C32A21"/>
    <w:rsid w:val="61D42218"/>
    <w:rsid w:val="61E27654"/>
    <w:rsid w:val="61F81CC7"/>
    <w:rsid w:val="61FC7C88"/>
    <w:rsid w:val="62050267"/>
    <w:rsid w:val="621E112A"/>
    <w:rsid w:val="6224193C"/>
    <w:rsid w:val="623607ED"/>
    <w:rsid w:val="623A7FBC"/>
    <w:rsid w:val="623F761E"/>
    <w:rsid w:val="62407651"/>
    <w:rsid w:val="62465D1E"/>
    <w:rsid w:val="624A00AF"/>
    <w:rsid w:val="624A7B95"/>
    <w:rsid w:val="625F5F57"/>
    <w:rsid w:val="62620CE3"/>
    <w:rsid w:val="626E2229"/>
    <w:rsid w:val="62700B3E"/>
    <w:rsid w:val="628439CF"/>
    <w:rsid w:val="62966234"/>
    <w:rsid w:val="62E05BCC"/>
    <w:rsid w:val="62EC6898"/>
    <w:rsid w:val="62F779B0"/>
    <w:rsid w:val="62FD2953"/>
    <w:rsid w:val="631E3FBF"/>
    <w:rsid w:val="632A0ACC"/>
    <w:rsid w:val="636031BF"/>
    <w:rsid w:val="636801A1"/>
    <w:rsid w:val="63697FF6"/>
    <w:rsid w:val="63790245"/>
    <w:rsid w:val="63835F9C"/>
    <w:rsid w:val="63A43971"/>
    <w:rsid w:val="63B42573"/>
    <w:rsid w:val="63B86238"/>
    <w:rsid w:val="63C744A4"/>
    <w:rsid w:val="63F745F9"/>
    <w:rsid w:val="63F816FF"/>
    <w:rsid w:val="64112641"/>
    <w:rsid w:val="64363B96"/>
    <w:rsid w:val="64411978"/>
    <w:rsid w:val="64497D90"/>
    <w:rsid w:val="645119E9"/>
    <w:rsid w:val="64552FB4"/>
    <w:rsid w:val="645A658D"/>
    <w:rsid w:val="646917C2"/>
    <w:rsid w:val="647A0FEB"/>
    <w:rsid w:val="647A7FEA"/>
    <w:rsid w:val="64982DAC"/>
    <w:rsid w:val="64A87928"/>
    <w:rsid w:val="64AE0090"/>
    <w:rsid w:val="64E132F1"/>
    <w:rsid w:val="6515126B"/>
    <w:rsid w:val="65452770"/>
    <w:rsid w:val="655844CC"/>
    <w:rsid w:val="655D323E"/>
    <w:rsid w:val="6565462B"/>
    <w:rsid w:val="659170AB"/>
    <w:rsid w:val="65941240"/>
    <w:rsid w:val="65961DB1"/>
    <w:rsid w:val="659A6F8C"/>
    <w:rsid w:val="65B00FEE"/>
    <w:rsid w:val="65B161D8"/>
    <w:rsid w:val="65B5200C"/>
    <w:rsid w:val="65D94F17"/>
    <w:rsid w:val="65DC52AB"/>
    <w:rsid w:val="65E457AD"/>
    <w:rsid w:val="65E72E3F"/>
    <w:rsid w:val="65F12381"/>
    <w:rsid w:val="66215DA7"/>
    <w:rsid w:val="66295FC2"/>
    <w:rsid w:val="6643657B"/>
    <w:rsid w:val="66637465"/>
    <w:rsid w:val="66671E49"/>
    <w:rsid w:val="666E772F"/>
    <w:rsid w:val="66785A0C"/>
    <w:rsid w:val="66A04498"/>
    <w:rsid w:val="67017992"/>
    <w:rsid w:val="6726162D"/>
    <w:rsid w:val="67470B79"/>
    <w:rsid w:val="674C3D09"/>
    <w:rsid w:val="6771507B"/>
    <w:rsid w:val="67787D45"/>
    <w:rsid w:val="677E0391"/>
    <w:rsid w:val="678A162C"/>
    <w:rsid w:val="67953637"/>
    <w:rsid w:val="67982053"/>
    <w:rsid w:val="679F45EA"/>
    <w:rsid w:val="67A91C9E"/>
    <w:rsid w:val="67C300B3"/>
    <w:rsid w:val="67C72F21"/>
    <w:rsid w:val="67D45392"/>
    <w:rsid w:val="67D70A2A"/>
    <w:rsid w:val="67D73473"/>
    <w:rsid w:val="67E60459"/>
    <w:rsid w:val="67EA0E53"/>
    <w:rsid w:val="67F35595"/>
    <w:rsid w:val="680850A9"/>
    <w:rsid w:val="681871D3"/>
    <w:rsid w:val="681923CF"/>
    <w:rsid w:val="68273462"/>
    <w:rsid w:val="683839F0"/>
    <w:rsid w:val="683F22F5"/>
    <w:rsid w:val="684A3668"/>
    <w:rsid w:val="685C59FE"/>
    <w:rsid w:val="686D1D0F"/>
    <w:rsid w:val="688D325D"/>
    <w:rsid w:val="68D83D41"/>
    <w:rsid w:val="68EA37F4"/>
    <w:rsid w:val="68FF2B3F"/>
    <w:rsid w:val="6902369C"/>
    <w:rsid w:val="69233924"/>
    <w:rsid w:val="694A02FA"/>
    <w:rsid w:val="695934F3"/>
    <w:rsid w:val="6959795C"/>
    <w:rsid w:val="69641A32"/>
    <w:rsid w:val="69726F9E"/>
    <w:rsid w:val="69742F68"/>
    <w:rsid w:val="69A116D7"/>
    <w:rsid w:val="69BA0BD7"/>
    <w:rsid w:val="69C13081"/>
    <w:rsid w:val="6A016839"/>
    <w:rsid w:val="6A031C6E"/>
    <w:rsid w:val="6A0F3EB0"/>
    <w:rsid w:val="6A1424B4"/>
    <w:rsid w:val="6A1804BF"/>
    <w:rsid w:val="6A18275A"/>
    <w:rsid w:val="6A2E7A57"/>
    <w:rsid w:val="6A2F156A"/>
    <w:rsid w:val="6A344C03"/>
    <w:rsid w:val="6A37334C"/>
    <w:rsid w:val="6A430BC7"/>
    <w:rsid w:val="6A467247"/>
    <w:rsid w:val="6A486668"/>
    <w:rsid w:val="6A584028"/>
    <w:rsid w:val="6A6E4FC9"/>
    <w:rsid w:val="6A8F6F6F"/>
    <w:rsid w:val="6A913B5C"/>
    <w:rsid w:val="6A9C2A26"/>
    <w:rsid w:val="6AA214EA"/>
    <w:rsid w:val="6AC6273F"/>
    <w:rsid w:val="6ACA5C2D"/>
    <w:rsid w:val="6ACE1E24"/>
    <w:rsid w:val="6AD77105"/>
    <w:rsid w:val="6ADE5636"/>
    <w:rsid w:val="6AE31F06"/>
    <w:rsid w:val="6AE402DD"/>
    <w:rsid w:val="6AF73878"/>
    <w:rsid w:val="6B24078E"/>
    <w:rsid w:val="6B3F1667"/>
    <w:rsid w:val="6B5A508E"/>
    <w:rsid w:val="6B614BD0"/>
    <w:rsid w:val="6B657008"/>
    <w:rsid w:val="6B6742D7"/>
    <w:rsid w:val="6B6E1EAA"/>
    <w:rsid w:val="6BA12A84"/>
    <w:rsid w:val="6BA379A6"/>
    <w:rsid w:val="6BAD76C7"/>
    <w:rsid w:val="6BB91C0C"/>
    <w:rsid w:val="6BBF2C4E"/>
    <w:rsid w:val="6BE2604D"/>
    <w:rsid w:val="6BEE23F4"/>
    <w:rsid w:val="6BF430A1"/>
    <w:rsid w:val="6C0D7979"/>
    <w:rsid w:val="6C1A2648"/>
    <w:rsid w:val="6C1A2908"/>
    <w:rsid w:val="6C1D3E3C"/>
    <w:rsid w:val="6C3C4708"/>
    <w:rsid w:val="6C425FCD"/>
    <w:rsid w:val="6C5D0B81"/>
    <w:rsid w:val="6C71186B"/>
    <w:rsid w:val="6C786C92"/>
    <w:rsid w:val="6C8975C1"/>
    <w:rsid w:val="6CCF5BBD"/>
    <w:rsid w:val="6CE66968"/>
    <w:rsid w:val="6CF10001"/>
    <w:rsid w:val="6D032C3F"/>
    <w:rsid w:val="6D0855DD"/>
    <w:rsid w:val="6D2D70D2"/>
    <w:rsid w:val="6D393FAD"/>
    <w:rsid w:val="6D486594"/>
    <w:rsid w:val="6D657F22"/>
    <w:rsid w:val="6D887C96"/>
    <w:rsid w:val="6D896308"/>
    <w:rsid w:val="6D940118"/>
    <w:rsid w:val="6DF542AD"/>
    <w:rsid w:val="6DF83BAC"/>
    <w:rsid w:val="6E115E94"/>
    <w:rsid w:val="6E1B741B"/>
    <w:rsid w:val="6E1C64BD"/>
    <w:rsid w:val="6E397E55"/>
    <w:rsid w:val="6E3D6315"/>
    <w:rsid w:val="6E4214AE"/>
    <w:rsid w:val="6E5C2A0B"/>
    <w:rsid w:val="6E6C05E3"/>
    <w:rsid w:val="6E7079A1"/>
    <w:rsid w:val="6E945F62"/>
    <w:rsid w:val="6EA64455"/>
    <w:rsid w:val="6ECE2A40"/>
    <w:rsid w:val="6ED659FE"/>
    <w:rsid w:val="6EE514DD"/>
    <w:rsid w:val="6EF36482"/>
    <w:rsid w:val="6F0F5EB3"/>
    <w:rsid w:val="6F1C746F"/>
    <w:rsid w:val="6F536B79"/>
    <w:rsid w:val="6F660AF9"/>
    <w:rsid w:val="6F676451"/>
    <w:rsid w:val="6F9D2F72"/>
    <w:rsid w:val="6F9E5139"/>
    <w:rsid w:val="6FAA3691"/>
    <w:rsid w:val="6FB65557"/>
    <w:rsid w:val="6FCF63AA"/>
    <w:rsid w:val="6FE17585"/>
    <w:rsid w:val="6FFE5DDB"/>
    <w:rsid w:val="700E05D3"/>
    <w:rsid w:val="700E5466"/>
    <w:rsid w:val="7037292C"/>
    <w:rsid w:val="707634B1"/>
    <w:rsid w:val="708D05CD"/>
    <w:rsid w:val="709341AF"/>
    <w:rsid w:val="709939B0"/>
    <w:rsid w:val="70A2774E"/>
    <w:rsid w:val="70A4567C"/>
    <w:rsid w:val="70A8488F"/>
    <w:rsid w:val="70A8750F"/>
    <w:rsid w:val="70A956F2"/>
    <w:rsid w:val="70D87413"/>
    <w:rsid w:val="70F33872"/>
    <w:rsid w:val="712A3165"/>
    <w:rsid w:val="712F38B3"/>
    <w:rsid w:val="714F6522"/>
    <w:rsid w:val="715F14C4"/>
    <w:rsid w:val="71605053"/>
    <w:rsid w:val="7188674B"/>
    <w:rsid w:val="719300B2"/>
    <w:rsid w:val="71981F71"/>
    <w:rsid w:val="71990F34"/>
    <w:rsid w:val="71A054ED"/>
    <w:rsid w:val="71A67AB3"/>
    <w:rsid w:val="71E03F2F"/>
    <w:rsid w:val="71F831E1"/>
    <w:rsid w:val="71FD63E2"/>
    <w:rsid w:val="72044EF6"/>
    <w:rsid w:val="720A3DC6"/>
    <w:rsid w:val="721C0910"/>
    <w:rsid w:val="72332C97"/>
    <w:rsid w:val="724C06AF"/>
    <w:rsid w:val="728B217B"/>
    <w:rsid w:val="728B670A"/>
    <w:rsid w:val="72911235"/>
    <w:rsid w:val="72CA1AEC"/>
    <w:rsid w:val="72E50F98"/>
    <w:rsid w:val="72E52F06"/>
    <w:rsid w:val="72F07B88"/>
    <w:rsid w:val="72F61CE6"/>
    <w:rsid w:val="73102240"/>
    <w:rsid w:val="732B5997"/>
    <w:rsid w:val="733E6624"/>
    <w:rsid w:val="73443E4C"/>
    <w:rsid w:val="737D3A42"/>
    <w:rsid w:val="73D26E54"/>
    <w:rsid w:val="73EC0278"/>
    <w:rsid w:val="741D7FB9"/>
    <w:rsid w:val="742855EC"/>
    <w:rsid w:val="746542AC"/>
    <w:rsid w:val="74766E8F"/>
    <w:rsid w:val="74B039A7"/>
    <w:rsid w:val="74BF6F9D"/>
    <w:rsid w:val="74F53D6E"/>
    <w:rsid w:val="752D657A"/>
    <w:rsid w:val="75377C2A"/>
    <w:rsid w:val="756E3B71"/>
    <w:rsid w:val="7571051D"/>
    <w:rsid w:val="75845C23"/>
    <w:rsid w:val="758B3D97"/>
    <w:rsid w:val="75A73BC7"/>
    <w:rsid w:val="75A912F4"/>
    <w:rsid w:val="75AB7CBF"/>
    <w:rsid w:val="75B01F5E"/>
    <w:rsid w:val="75DA0750"/>
    <w:rsid w:val="75DA11D3"/>
    <w:rsid w:val="75DE3BFA"/>
    <w:rsid w:val="76147054"/>
    <w:rsid w:val="76274E31"/>
    <w:rsid w:val="76417BCC"/>
    <w:rsid w:val="764E3707"/>
    <w:rsid w:val="767844DB"/>
    <w:rsid w:val="76814F36"/>
    <w:rsid w:val="768703C0"/>
    <w:rsid w:val="76A14C3B"/>
    <w:rsid w:val="76A34420"/>
    <w:rsid w:val="76EC6381"/>
    <w:rsid w:val="770E76BE"/>
    <w:rsid w:val="772608F4"/>
    <w:rsid w:val="77400D02"/>
    <w:rsid w:val="77631AA4"/>
    <w:rsid w:val="7773162C"/>
    <w:rsid w:val="77751EA3"/>
    <w:rsid w:val="7779785A"/>
    <w:rsid w:val="77887979"/>
    <w:rsid w:val="778D2638"/>
    <w:rsid w:val="77923F40"/>
    <w:rsid w:val="77A86DA2"/>
    <w:rsid w:val="78007CE9"/>
    <w:rsid w:val="7811667E"/>
    <w:rsid w:val="783039D6"/>
    <w:rsid w:val="784A482D"/>
    <w:rsid w:val="784B6BF5"/>
    <w:rsid w:val="784C4FA5"/>
    <w:rsid w:val="78540277"/>
    <w:rsid w:val="785A5C8D"/>
    <w:rsid w:val="786635E4"/>
    <w:rsid w:val="78694B27"/>
    <w:rsid w:val="786D24D3"/>
    <w:rsid w:val="78766514"/>
    <w:rsid w:val="787D7BD9"/>
    <w:rsid w:val="78952C24"/>
    <w:rsid w:val="789E63AE"/>
    <w:rsid w:val="78A052FD"/>
    <w:rsid w:val="78AB7291"/>
    <w:rsid w:val="78BC5E30"/>
    <w:rsid w:val="78C17610"/>
    <w:rsid w:val="78C73D22"/>
    <w:rsid w:val="78E453FF"/>
    <w:rsid w:val="78E60EA6"/>
    <w:rsid w:val="790952E1"/>
    <w:rsid w:val="7913138A"/>
    <w:rsid w:val="79136039"/>
    <w:rsid w:val="791C5056"/>
    <w:rsid w:val="792819F5"/>
    <w:rsid w:val="793D2B6B"/>
    <w:rsid w:val="794E45D3"/>
    <w:rsid w:val="795531A0"/>
    <w:rsid w:val="79571140"/>
    <w:rsid w:val="797441B9"/>
    <w:rsid w:val="79760734"/>
    <w:rsid w:val="79CE5F89"/>
    <w:rsid w:val="79D10B31"/>
    <w:rsid w:val="79DD2187"/>
    <w:rsid w:val="79DE03B0"/>
    <w:rsid w:val="79E636B5"/>
    <w:rsid w:val="79EF683B"/>
    <w:rsid w:val="79F15AE3"/>
    <w:rsid w:val="7A077194"/>
    <w:rsid w:val="7A0E2361"/>
    <w:rsid w:val="7A104447"/>
    <w:rsid w:val="7A161E29"/>
    <w:rsid w:val="7A4D6050"/>
    <w:rsid w:val="7A5507A4"/>
    <w:rsid w:val="7A5B4266"/>
    <w:rsid w:val="7A5F579A"/>
    <w:rsid w:val="7A881EF8"/>
    <w:rsid w:val="7A941CF3"/>
    <w:rsid w:val="7A9720C9"/>
    <w:rsid w:val="7AA14689"/>
    <w:rsid w:val="7AAE2292"/>
    <w:rsid w:val="7AB76001"/>
    <w:rsid w:val="7AD208A4"/>
    <w:rsid w:val="7AE703CB"/>
    <w:rsid w:val="7B121AE7"/>
    <w:rsid w:val="7B160942"/>
    <w:rsid w:val="7B195B54"/>
    <w:rsid w:val="7B2E0E3A"/>
    <w:rsid w:val="7B4B07DD"/>
    <w:rsid w:val="7B500D3C"/>
    <w:rsid w:val="7B615CA3"/>
    <w:rsid w:val="7B894EF2"/>
    <w:rsid w:val="7B972E21"/>
    <w:rsid w:val="7B994384"/>
    <w:rsid w:val="7B9E650D"/>
    <w:rsid w:val="7BB9097E"/>
    <w:rsid w:val="7BCA049A"/>
    <w:rsid w:val="7BE813FD"/>
    <w:rsid w:val="7BF7188B"/>
    <w:rsid w:val="7C24541D"/>
    <w:rsid w:val="7C2C0495"/>
    <w:rsid w:val="7C2E3CA3"/>
    <w:rsid w:val="7C2F5269"/>
    <w:rsid w:val="7C33796D"/>
    <w:rsid w:val="7C364F6D"/>
    <w:rsid w:val="7C3A4B8C"/>
    <w:rsid w:val="7C3D3072"/>
    <w:rsid w:val="7C5D1675"/>
    <w:rsid w:val="7C6A1F98"/>
    <w:rsid w:val="7C852C0B"/>
    <w:rsid w:val="7C8F4A29"/>
    <w:rsid w:val="7C956FE6"/>
    <w:rsid w:val="7C994447"/>
    <w:rsid w:val="7C9F74D6"/>
    <w:rsid w:val="7CAD5142"/>
    <w:rsid w:val="7CC6464E"/>
    <w:rsid w:val="7CCF28FF"/>
    <w:rsid w:val="7CE15437"/>
    <w:rsid w:val="7CEA1BEE"/>
    <w:rsid w:val="7CEC2D73"/>
    <w:rsid w:val="7CED1CED"/>
    <w:rsid w:val="7CF93AEA"/>
    <w:rsid w:val="7CFB5F51"/>
    <w:rsid w:val="7D14288E"/>
    <w:rsid w:val="7D156069"/>
    <w:rsid w:val="7D1C2900"/>
    <w:rsid w:val="7D2277B6"/>
    <w:rsid w:val="7D3F30B6"/>
    <w:rsid w:val="7D5303BB"/>
    <w:rsid w:val="7D543227"/>
    <w:rsid w:val="7D6C14F9"/>
    <w:rsid w:val="7D6E32E1"/>
    <w:rsid w:val="7D703D87"/>
    <w:rsid w:val="7D7F4747"/>
    <w:rsid w:val="7D8E4836"/>
    <w:rsid w:val="7D936456"/>
    <w:rsid w:val="7DA76B7F"/>
    <w:rsid w:val="7DB045A8"/>
    <w:rsid w:val="7DC759B1"/>
    <w:rsid w:val="7DEF780E"/>
    <w:rsid w:val="7E200880"/>
    <w:rsid w:val="7E21518B"/>
    <w:rsid w:val="7E3A6049"/>
    <w:rsid w:val="7EA576F8"/>
    <w:rsid w:val="7EB6177C"/>
    <w:rsid w:val="7EC12CBE"/>
    <w:rsid w:val="7EE04133"/>
    <w:rsid w:val="7EE421BD"/>
    <w:rsid w:val="7EF03DE2"/>
    <w:rsid w:val="7F1621DB"/>
    <w:rsid w:val="7F24389A"/>
    <w:rsid w:val="7F251FE0"/>
    <w:rsid w:val="7F254BEC"/>
    <w:rsid w:val="7F272F02"/>
    <w:rsid w:val="7F2E1302"/>
    <w:rsid w:val="7F2F1C57"/>
    <w:rsid w:val="7F4534E0"/>
    <w:rsid w:val="7F8C5BF6"/>
    <w:rsid w:val="7F8E2C5C"/>
    <w:rsid w:val="7FA12F22"/>
    <w:rsid w:val="7FAD2A4E"/>
    <w:rsid w:val="7FAD3C34"/>
    <w:rsid w:val="7FB31828"/>
    <w:rsid w:val="7FBB6B89"/>
    <w:rsid w:val="7FE53227"/>
  </w:rsids>
  <w:docVars>
    <w:docVar w:name="commondata" w:val="eyJoZGlkIjoiYmJkMzFlZDU1MGY3MWIxY2MyMjhkMTlhNGVhMDBjO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0" w:unhideWhenUsed="0" w:qFormat="1"/>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qFormat/>
    <w:pPr>
      <w:ind w:left="840" w:leftChars="400"/>
    </w:pPr>
  </w:style>
  <w:style w:type="paragraph" w:styleId="BalloonText">
    <w:name w:val="Balloon Text"/>
    <w:basedOn w:val="Normal"/>
    <w:link w:val="Char"/>
    <w:uiPriority w:val="99"/>
    <w:semiHidden/>
    <w:unhideWhenUsed/>
    <w:rPr>
      <w:sz w:val="18"/>
      <w:szCs w:val="18"/>
    </w:rPr>
  </w:style>
  <w:style w:type="paragraph" w:styleId="Footer">
    <w:name w:val="footer"/>
    <w:basedOn w:val="Normal"/>
    <w:autoRedefine/>
    <w:qFormat/>
    <w:pPr>
      <w:tabs>
        <w:tab w:val="center" w:pos="4153"/>
        <w:tab w:val="right" w:pos="8306"/>
      </w:tabs>
      <w:snapToGrid w:val="0"/>
      <w:jc w:val="left"/>
    </w:pPr>
    <w:rPr>
      <w:rFonts w:ascii="Times New Roman" w:hAnsi="Times New Roman" w:cs="Times New Roman"/>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BodyTextFirstIndent">
    <w:name w:val="Body Text First Indent"/>
    <w:basedOn w:val="Normal"/>
    <w:qFormat/>
    <w:pPr>
      <w:ind w:firstLine="498" w:firstLine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rPr>
      <w:rFonts w:ascii="Times New Roman" w:eastAsia="宋体" w:hAnsi="Times New Roman" w:cs="Times New Roman"/>
    </w:rPr>
  </w:style>
  <w:style w:type="character" w:styleId="Hyperlink">
    <w:name w:val="Hyperlink"/>
    <w:basedOn w:val="DefaultParagraphFont"/>
    <w:qFormat/>
    <w:rPr>
      <w:color w:val="0000FF"/>
      <w:u w:val="single"/>
    </w:rPr>
  </w:style>
  <w:style w:type="character" w:styleId="FootnoteReference">
    <w:name w:val="footnote reference"/>
    <w:basedOn w:val="DefaultParagraphFont"/>
    <w:qFormat/>
    <w:rPr>
      <w:rFonts w:ascii="Times New Roman" w:eastAsia="宋体" w:hAnsi="Times New Roman"/>
      <w:sz w:val="18"/>
      <w:vertAlign w:val="superscript"/>
    </w:rPr>
  </w:style>
  <w:style w:type="paragraph" w:customStyle="1" w:styleId="WPSOffice1">
    <w:name w:val="WPSOffice手动目录 1"/>
    <w:qFormat/>
    <w:rPr>
      <w:rFonts w:ascii="Times New Roman" w:eastAsia="宋体" w:hAnsi="Times New Roman" w:cs="Times New Roman"/>
      <w:lang w:val="en-US" w:eastAsia="zh-CN" w:bidi="ar-SA"/>
    </w:rPr>
  </w:style>
  <w:style w:type="character" w:customStyle="1" w:styleId="Char">
    <w:name w:val="批注框文本 Char"/>
    <w:basedOn w:val="DefaultParagraphFont"/>
    <w:link w:val="BalloonText"/>
    <w:uiPriority w:val="99"/>
    <w:semiHidden/>
    <w:rPr>
      <w:rFonts w:ascii="Calibri" w:hAnsi="Calibri" w:cs="宋体"/>
      <w:kern w:val="2"/>
      <w:sz w:val="18"/>
      <w:szCs w:val="18"/>
    </w:rPr>
  </w:style>
  <w:style w:type="character" w:customStyle="1" w:styleId="Char0">
    <w:name w:val="引用 Char"/>
    <w:basedOn w:val="DefaultParagraphFont"/>
    <w:uiPriority w:val="29"/>
    <w:qFormat/>
    <w:rPr>
      <w:rFonts w:ascii="Tahoma" w:hAnsi="Tahoma"/>
      <w:iCs/>
      <w:color w:val="000000"/>
      <w:sz w:val="21"/>
    </w:rPr>
  </w:style>
  <w:style w:type="paragraph" w:styleId="Quote">
    <w:name w:val="Quote"/>
    <w:basedOn w:val="Normal"/>
    <w:next w:val="Normal"/>
    <w:link w:val="Char1"/>
    <w:uiPriority w:val="29"/>
    <w:qFormat/>
    <w:pPr>
      <w:widowControl/>
      <w:adjustRightInd w:val="0"/>
      <w:snapToGrid w:val="0"/>
      <w:spacing w:line="400" w:lineRule="exact"/>
      <w:ind w:firstLine="200" w:firstLineChars="200"/>
    </w:pPr>
    <w:rPr>
      <w:rFonts w:ascii="Tahoma" w:hAnsi="Tahoma" w:cs="Times New Roman"/>
      <w:iCs/>
      <w:color w:val="000000"/>
      <w:kern w:val="0"/>
      <w:szCs w:val="20"/>
    </w:rPr>
  </w:style>
  <w:style w:type="character" w:customStyle="1" w:styleId="Char1">
    <w:name w:val="引用 Char1"/>
    <w:basedOn w:val="DefaultParagraphFont"/>
    <w:link w:val="Quote"/>
    <w:autoRedefine/>
    <w:uiPriority w:val="29"/>
    <w:rPr>
      <w:rFonts w:ascii="Calibri" w:hAnsi="Calibri" w:cs="宋体"/>
      <w:i/>
      <w:iCs/>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835200013222011102"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2049"/>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12</Pages>
  <Words>2787</Words>
  <Characters>15888</Characters>
  <Application>Microsoft Office Word</Application>
  <DocSecurity>0</DocSecurity>
  <Lines>132</Lines>
  <Paragraphs>37</Paragraphs>
  <ScaleCrop>false</ScaleCrop>
  <Company/>
  <LinksUpToDate>false</LinksUpToDate>
  <CharactersWithSpaces>18638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生活安安静静、没问题</dc:creator>
  <cp:lastModifiedBy>浮城</cp:lastModifiedBy>
  <cp:revision>3</cp:revision>
  <cp:lastPrinted>2019-05-16T06:06:00Z</cp:lastPrinted>
  <dcterms:created xsi:type="dcterms:W3CDTF">2018-12-04T09:20:00Z</dcterms:created>
  <dcterms:modified xsi:type="dcterms:W3CDTF">2024-02-03T08:00:02Z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8C4A80034DC746DF845186D6B420B64E_12</vt:lpwstr>
  </property>
  <property fmtid="{D5CDD505-2E9C-101B-9397-08002B2CF9AE}" pid="3" name="KSOProductBuildVer">
    <vt:lpwstr>2052-12.1.0.16250</vt:lpwstr>
  </property>
  <property fmtid="{D5CDD505-2E9C-101B-9397-08002B2CF9AE}" pid="4" name="KSORubyTemplateID" linkTarget="0">
    <vt:lpwstr>6</vt:lpwstr>
  </property>
</Properties>
</file>