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  <w:bookmarkStart w:id="0" w:name="_GoBack"/>
      <w:bookmarkEnd w:id="0"/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  <w:r>
        <w:rPr>
          <w:rFonts w:ascii="微软雅黑" w:eastAsia="微软雅黑" w:hAnsi="微软雅黑" w:cs="微软雅黑"/>
          <w:b/>
          <w:bCs/>
          <w:color w:val="2D54A0"/>
          <w:spacing w:val="9"/>
          <w:sz w:val="59"/>
          <w:szCs w:val="59"/>
        </w:rPr>
        <w:t>2024年冲床行业趋势报告</w:t>
      </w: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/>
          <w:b/>
          <w:bCs/>
          <w:color w:val="2D54A0"/>
          <w:spacing w:val="8"/>
          <w:sz w:val="59"/>
          <w:szCs w:val="59"/>
        </w:rPr>
      </w:pPr>
    </w:p>
    <w:p>
      <w:pPr>
        <w:spacing w:before="254" w:line="360" w:lineRule="auto"/>
        <w:ind w:left="273"/>
        <w:jc w:val="center"/>
        <w:outlineLvl w:val="0"/>
        <w:rPr>
          <w:rFonts w:ascii="微软雅黑" w:eastAsia="微软雅黑" w:hAnsi="微软雅黑" w:cs="微软雅黑" w:hint="default"/>
          <w:b/>
          <w:bCs/>
          <w:color w:val="2D54A0"/>
          <w:spacing w:val="8"/>
          <w:sz w:val="44"/>
          <w:szCs w:val="44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b/>
          <w:bCs/>
          <w:color w:val="2D54A0"/>
          <w:spacing w:val="8"/>
          <w:sz w:val="44"/>
          <w:szCs w:val="44"/>
          <w:lang w:val="en-US" w:eastAsia="zh-CN"/>
        </w:rPr>
        <w:t>《2024年最新评估分析》</w:t>
      </w:r>
    </w:p>
    <w:p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</w:rPr>
      </w:pPr>
      <w:r>
        <w:rPr>
          <w:rFonts w:ascii="微软雅黑" w:eastAsia="微软雅黑" w:hAnsi="微软雅黑" w:cs="微软雅黑" w:hint="eastAsia"/>
          <w:b/>
          <w:bCs w:val="0"/>
          <w:color w:val="2E54A1" w:themeColor="accent1" w:themeShade="BF"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89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_Toc19897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05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一、制度运行与优化</w:t>
        </w:r>
        <w:r>
          <w:tab/>
        </w:r>
        <w:r>
          <w:fldChar w:fldCharType="begin"/>
        </w:r>
        <w:r>
          <w:instrText xml:space="preserve"> PAGEREF _Toc7905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_Toc20994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9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_Toc4099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4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二、冲床行业质量管理方案</w:t>
        </w:r>
        <w:r>
          <w:tab/>
        </w:r>
        <w:r>
          <w:fldChar w:fldCharType="begin"/>
        </w:r>
        <w:r>
          <w:instrText xml:space="preserve"> PAGEREF _Toc11843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(一)、冲床行业质量管理要求</w:t>
        </w:r>
        <w:r>
          <w:tab/>
        </w:r>
        <w:r>
          <w:fldChar w:fldCharType="begin"/>
        </w:r>
        <w:r>
          <w:instrText xml:space="preserve"> PAGEREF _Toc28526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7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(二)、冲床行业服务质量管理方案</w:t>
        </w:r>
        <w:r>
          <w:tab/>
        </w:r>
        <w:r>
          <w:fldChar w:fldCharType="begin"/>
        </w:r>
        <w:r>
          <w:instrText xml:space="preserve"> PAGEREF _Toc10777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(三)、冲床行业质量成本管理方案</w:t>
        </w:r>
        <w:r>
          <w:tab/>
        </w:r>
        <w:r>
          <w:fldChar w:fldCharType="begin"/>
        </w:r>
        <w:r>
          <w:instrText xml:space="preserve"> PAGEREF _Toc18881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69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三、可持续发展与绿色经营</w:t>
        </w:r>
        <w:r>
          <w:tab/>
        </w:r>
        <w:r>
          <w:fldChar w:fldCharType="begin"/>
        </w:r>
        <w:r>
          <w:instrText xml:space="preserve"> PAGEREF _Toc23869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(一)、可持续发展战略与目标</w:t>
        </w:r>
        <w:r>
          <w:tab/>
        </w:r>
        <w:r>
          <w:fldChar w:fldCharType="begin"/>
        </w:r>
        <w:r>
          <w:instrText xml:space="preserve"> PAGEREF _Toc26400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7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(二)、环保政策与实践</w:t>
        </w:r>
        <w:r>
          <w:tab/>
        </w:r>
        <w:r>
          <w:fldChar w:fldCharType="begin"/>
        </w:r>
        <w:r>
          <w:instrText xml:space="preserve"> PAGEREF _Toc26979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(三)、资源利用与循环经济</w:t>
        </w:r>
        <w:r>
          <w:tab/>
        </w:r>
        <w:r>
          <w:fldChar w:fldCharType="begin"/>
        </w:r>
        <w:r>
          <w:instrText xml:space="preserve"> PAGEREF _Toc31748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(四)、碳中和与生态足迹</w:t>
        </w:r>
        <w:r>
          <w:tab/>
        </w:r>
        <w:r>
          <w:fldChar w:fldCharType="begin"/>
        </w:r>
        <w:r>
          <w:instrText xml:space="preserve"> PAGEREF _Toc19539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四、项目背景与概况</w:t>
        </w:r>
        <w:r>
          <w:tab/>
        </w:r>
        <w:r>
          <w:fldChar w:fldCharType="begin"/>
        </w:r>
        <w:r>
          <w:instrText xml:space="preserve"> PAGEREF _Toc1411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(一)、项目背景介绍</w:t>
        </w:r>
        <w:r>
          <w:tab/>
        </w:r>
        <w:r>
          <w:fldChar w:fldCharType="begin"/>
        </w:r>
        <w:r>
          <w:instrText xml:space="preserve"> PAGEREF _Toc21387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(二)、项目概况与目标</w:t>
        </w:r>
        <w:r>
          <w:tab/>
        </w:r>
        <w:r>
          <w:fldChar w:fldCharType="begin"/>
        </w:r>
        <w:r>
          <w:instrText xml:space="preserve"> PAGEREF _Toc21722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(三)、冲床行业及市场分析</w:t>
        </w:r>
        <w:r>
          <w:tab/>
        </w:r>
        <w:r>
          <w:fldChar w:fldCharType="begin"/>
        </w:r>
        <w:r>
          <w:instrText xml:space="preserve"> PAGEREF _Toc17960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2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五、项目实施与进度安排</w:t>
        </w:r>
        <w:r>
          <w:tab/>
        </w:r>
        <w:r>
          <w:fldChar w:fldCharType="begin"/>
        </w:r>
        <w:r>
          <w:instrText xml:space="preserve"> PAGEREF _Toc11326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(一)、项目计划与时间节点</w:t>
        </w:r>
        <w:r>
          <w:tab/>
        </w:r>
        <w:r>
          <w:fldChar w:fldCharType="begin"/>
        </w:r>
        <w:r>
          <w:instrText xml:space="preserve"> PAGEREF _Toc16109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(二)、项目进度安排</w:t>
        </w:r>
        <w:r>
          <w:tab/>
        </w:r>
        <w:r>
          <w:fldChar w:fldCharType="begin"/>
        </w:r>
        <w:r>
          <w:instrText xml:space="preserve"> PAGEREF _Toc7998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(三)、风险管理与对策</w:t>
        </w:r>
        <w:r>
          <w:tab/>
        </w:r>
        <w:r>
          <w:fldChar w:fldCharType="begin"/>
        </w:r>
        <w:r>
          <w:instrText xml:space="preserve"> PAGEREF _Toc16283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73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六、制度运行与优化</w:t>
        </w:r>
        <w:r>
          <w:tab/>
        </w:r>
        <w:r>
          <w:fldChar w:fldCharType="begin"/>
        </w:r>
        <w:r>
          <w:instrText xml:space="preserve"> PAGEREF _Toc15173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9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_Toc4091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_Toc24813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4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七、制度建设与管理</w:t>
        </w:r>
        <w:r>
          <w:tab/>
        </w:r>
        <w:r>
          <w:fldChar w:fldCharType="begin"/>
        </w:r>
        <w:r>
          <w:instrText xml:space="preserve"> PAGEREF _Toc20041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(一)、公司治理结构</w:t>
        </w:r>
        <w:r>
          <w:tab/>
        </w:r>
        <w:r>
          <w:fldChar w:fldCharType="begin"/>
        </w:r>
        <w:r>
          <w:instrText xml:space="preserve"> PAGEREF _Toc15695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(二)、内部控制与审计</w:t>
        </w:r>
        <w:r>
          <w:tab/>
        </w:r>
        <w:r>
          <w:fldChar w:fldCharType="begin"/>
        </w:r>
        <w:r>
          <w:instrText xml:space="preserve"> PAGEREF _Toc991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(三)、法律法规合规体系</w:t>
        </w:r>
        <w:r>
          <w:tab/>
        </w:r>
        <w:r>
          <w:fldChar w:fldCharType="begin"/>
        </w:r>
        <w:r>
          <w:instrText xml:space="preserve"> PAGEREF _Toc2677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06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八、质量与技术管理</w:t>
        </w:r>
        <w:r>
          <w:tab/>
        </w:r>
        <w:r>
          <w:fldChar w:fldCharType="begin"/>
        </w:r>
        <w:r>
          <w:instrText xml:space="preserve"> PAGEREF _Toc26706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75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_Toc14475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(二)、技术标准与创新</w:t>
        </w:r>
        <w:r>
          <w:tab/>
        </w:r>
        <w:r>
          <w:fldChar w:fldCharType="begin"/>
        </w:r>
        <w:r>
          <w:instrText xml:space="preserve"> PAGEREF _Toc3682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047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九、冲床行业选址方案分析</w:t>
        </w:r>
        <w:r>
          <w:tab/>
        </w:r>
        <w:r>
          <w:fldChar w:fldCharType="begin"/>
        </w:r>
        <w:r>
          <w:instrText xml:space="preserve"> PAGEREF _Toc28047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3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(一)、冲床行业选址影响因素</w:t>
        </w:r>
        <w:r>
          <w:tab/>
        </w:r>
        <w:r>
          <w:fldChar w:fldCharType="begin"/>
        </w:r>
        <w:r>
          <w:instrText xml:space="preserve"> PAGEREF _Toc20833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(二)、冲床行业选址原则</w:t>
        </w:r>
        <w:r>
          <w:tab/>
        </w:r>
        <w:r>
          <w:fldChar w:fldCharType="begin"/>
        </w:r>
        <w:r>
          <w:instrText xml:space="preserve"> PAGEREF _Toc30606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(三)、消费习惯对冲床行业选址的影响</w:t>
        </w:r>
        <w:r>
          <w:tab/>
        </w:r>
        <w:r>
          <w:fldChar w:fldCharType="begin"/>
        </w:r>
        <w:r>
          <w:instrText xml:space="preserve"> PAGEREF _Toc20236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7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(四)、消费能力对冲床行业选址的影响</w:t>
        </w:r>
        <w:r>
          <w:tab/>
        </w:r>
        <w:r>
          <w:fldChar w:fldCharType="begin"/>
        </w:r>
        <w:r>
          <w:instrText xml:space="preserve"> PAGEREF _Toc28078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(五)、经营成本对冲床行业选址的影响</w:t>
        </w:r>
        <w:r>
          <w:tab/>
        </w:r>
        <w:r>
          <w:fldChar w:fldCharType="begin"/>
        </w:r>
        <w:r>
          <w:instrText xml:space="preserve"> PAGEREF _Toc22758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(六)、交通条件对冲床行业选址的影响</w:t>
        </w:r>
        <w:r>
          <w:tab/>
        </w:r>
        <w:r>
          <w:fldChar w:fldCharType="begin"/>
        </w:r>
        <w:r>
          <w:instrText xml:space="preserve"> PAGEREF _Toc24208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72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十、质量管理与持续改进</w:t>
        </w:r>
        <w:r>
          <w:tab/>
        </w:r>
        <w:r>
          <w:fldChar w:fldCharType="begin"/>
        </w:r>
        <w:r>
          <w:instrText xml:space="preserve"> PAGEREF _Toc24972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96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_Toc7896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7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_Toc19878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0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_Toc8409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9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_Toc3419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01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十一、市场营销与推广策略</w:t>
        </w:r>
        <w:r>
          <w:tab/>
        </w:r>
        <w:r>
          <w:fldChar w:fldCharType="begin"/>
        </w:r>
        <w:r>
          <w:instrText xml:space="preserve"> PAGEREF _Toc18101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62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_Toc19062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4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_Toc27254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(三)、推广与宣传策略</w:t>
        </w:r>
        <w:r>
          <w:tab/>
        </w:r>
        <w:r>
          <w:fldChar w:fldCharType="begin"/>
        </w:r>
        <w:r>
          <w:instrText xml:space="preserve"> PAGEREF _Toc6301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70" w:history="1">
        <w:r>
          <w:rPr>
            <w:rFonts w:ascii="微软雅黑" w:eastAsia="微软雅黑" w:hAnsi="微软雅黑" w:cs="微软雅黑" w:hint="eastAsia"/>
            <w:color w:val="001CAC" w:themeColor="hyperlink" w:themeShade="BF"/>
            <w:szCs w:val="32"/>
            <w:lang w:eastAsia="zh-CN"/>
          </w:rPr>
          <w:t>十二、冲床行业投资管理策略</w:t>
        </w:r>
        <w:r>
          <w:tab/>
        </w:r>
        <w:r>
          <w:fldChar w:fldCharType="begin"/>
        </w:r>
        <w:r>
          <w:instrText xml:space="preserve"> PAGEREF _Toc29670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1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(一)、冲床行业投资估算主要内容</w:t>
        </w:r>
        <w:r>
          <w:tab/>
        </w:r>
        <w:r>
          <w:fldChar w:fldCharType="begin"/>
        </w:r>
        <w:r>
          <w:instrText xml:space="preserve"> PAGEREF _Toc16451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40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(二)、冲床行业设备购置投资费用管理</w:t>
        </w:r>
        <w:r>
          <w:tab/>
        </w:r>
        <w:r>
          <w:fldChar w:fldCharType="begin"/>
        </w:r>
        <w:r>
          <w:instrText xml:space="preserve"> PAGEREF _Toc21040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8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(三)、冲床行业装修施工投资费用管理</w:t>
        </w:r>
        <w:r>
          <w:tab/>
        </w:r>
        <w:r>
          <w:fldChar w:fldCharType="begin"/>
        </w:r>
        <w:r>
          <w:instrText xml:space="preserve"> PAGEREF _Toc16968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7" w:history="1">
        <w:r>
          <w:rPr>
            <w:rFonts w:ascii="宋体" w:eastAsia="宋体" w:hAnsi="宋体" w:cs="宋体" w:hint="eastAsia"/>
            <w:bCs w:val="0"/>
            <w:szCs w:val="28"/>
            <w:lang w:eastAsia="zh-CN"/>
          </w:rPr>
          <w:t>(四)、冲床行业流动资金管理</w:t>
        </w:r>
        <w:r>
          <w:tab/>
        </w:r>
        <w:r>
          <w:fldChar w:fldCharType="begin"/>
        </w:r>
        <w:r>
          <w:instrText xml:space="preserve"> PAGEREF _Toc8087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r>
        <w:fldChar w:fldCharType="end"/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https://d.book118.com/835232103133011043</w:t>
        </w:r>
      </w:hyperlink>
    </w:p>
    <w:p/>
    <w:sectPr>
      <w:headerReference w:type="default" r:id="rId9"/>
      <w:footerReference w:type="default" r:id="rId10"/>
      <w:type w:val="nextPage"/>
      <w:pgSz w:w="11906" w:h="16838"/>
      <w:pgMar w:top="1440" w:right="1800" w:bottom="1440" w:left="1800" w:header="851" w:footer="992" w:gutter="0"/>
      <w:pgNumType w:start="3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2775B3"/>
    <w:rsid w:val="02623C3C"/>
    <w:rsid w:val="03734037"/>
    <w:rsid w:val="13614867"/>
    <w:rsid w:val="215B4D1F"/>
    <w:rsid w:val="3DAC44EE"/>
    <w:rsid w:val="453746B4"/>
    <w:rsid w:val="482775B3"/>
    <w:rsid w:val="49C53810"/>
    <w:rsid w:val="4E155AC7"/>
    <w:rsid w:val="50930768"/>
    <w:rsid w:val="62A91464"/>
    <w:rsid w:val="692E1C42"/>
  </w:rsids>
  <w:docVars>
    <w:docVar w:name="commondata" w:val="eyJoZGlkIjoiYjEzZTI3MzIxYzUxM2E3Y2YyMDVhZDRkMWU5YjExZ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 w:qFormat="1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autoRedefine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autoRedefine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  <w:autoRedefine/>
    <w:qFormat/>
  </w:style>
  <w:style w:type="paragraph" w:styleId="TOC2">
    <w:name w:val="toc 2"/>
    <w:basedOn w:val="Normal"/>
    <w:next w:val="Normal"/>
    <w:autoRedefine/>
    <w:qFormat/>
    <w:pPr>
      <w:ind w:left="420" w:leftChars="200"/>
    </w:pPr>
  </w:style>
  <w:style w:type="character" w:styleId="PageNumber">
    <w:name w:val="page number"/>
    <w:basedOn w:val="DefaultParagraphFont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yperlink" Target="https://d.book118.com/835232103133011043" TargetMode="Externa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小海豹</cp:lastModifiedBy>
  <cp:revision>1</cp:revision>
  <dcterms:created xsi:type="dcterms:W3CDTF">2023-12-10T12:06:00Z</dcterms:created>
  <dcterms:modified xsi:type="dcterms:W3CDTF">2024-01-17T05:50:57Z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1E39AA5D4B7F4B19B7D16FD992F8235D_13</vt:lpwstr>
  </property>
  <property fmtid="{D5CDD505-2E9C-101B-9397-08002B2CF9AE}" pid="3" name="KSOProductBuildVer">
    <vt:lpwstr>2052-12.1.0.16120</vt:lpwstr>
  </property>
</Properties>
</file>