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59" w:line="218" w:lineRule="auto"/>
        <w:ind w:left="145"/>
        <w:rPr>
          <w:rFonts w:ascii="SimHei" w:eastAsia="SimHei" w:hAnsi="SimHei" w:cs="SimHei"/>
          <w:sz w:val="18"/>
          <w:szCs w:val="18"/>
        </w:rPr>
      </w:pPr>
      <w:r>
        <mc:AlternateContent>
          <mc:Choice Requires="wps">
            <w:drawing>
              <wp:anchor distT="0" distB="0" distL="0" distR="0" simplePos="0" relativeHeight="251659264" behindDoc="1" locked="0" layoutInCell="1" allowOverlap="1">
                <wp:simplePos x="0" y="0"/>
                <wp:positionH relativeFrom="column">
                  <wp:posOffset>18287</wp:posOffset>
                </wp:positionH>
                <wp:positionV relativeFrom="paragraph">
                  <wp:posOffset>-69960</wp:posOffset>
                </wp:positionV>
                <wp:extent cx="6122034" cy="29273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18287" y="-69960"/>
                          <a:ext cx="6122034" cy="292734"/>
                        </a:xfrm>
                        <a:prstGeom prst="rect">
                          <a:avLst/>
                        </a:prstGeom>
                        <a:solidFill>
                          <a:srgbClr val="B8CCE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482.05pt;height:23.05pt;margin-top:-5.51pt;margin-left:1.44pt;mso-wrap-distance-bottom:0;mso-wrap-distance-left:0;mso-wrap-distance-right:0;mso-wrap-distance-top:0;position:absolute;v-text-anchor:top;z-index:-251658240" fillcolor="#b8cce4" stroked="f"/>
            </w:pict>
          </mc:Fallback>
        </mc:AlternateContent>
      </w:r>
      <w:r>
        <w:pict>
          <v:shapetype id="_x0000_t202" coordsize="21600,21600" o:spt="202" path="m,l,21600r21600,l21600,xe">
            <v:stroke joinstyle="miter"/>
            <v:path gradientshapeok="t" o:connecttype="rect"/>
          </v:shapetype>
          <v:shape id="_x0000_s1026" type="#_x0000_t202" style="width:19.8pt;height:12.75pt;margin-top:1.96pt;margin-left:459.42pt;position:absolute;z-index:251660288" filled="f" stroked="f">
            <o:lock v:ext="edit" aspectratio="f"/>
            <v:textbox inset="0,0,0,0">
              <w:txbxContent>
                <w:p>
                  <w:pPr>
                    <w:spacing w:before="20" w:line="220" w:lineRule="auto"/>
                    <w:ind w:left="20"/>
                    <w:rPr>
                      <w:rFonts w:ascii="SimHei" w:eastAsia="SimHei" w:hAnsi="SimHei" w:cs="SimHei"/>
                      <w:sz w:val="18"/>
                      <w:szCs w:val="18"/>
                    </w:rPr>
                  </w:pPr>
                  <w:r>
                    <w:rPr>
                      <w:rFonts w:ascii="SimHei" w:eastAsia="SimHei" w:hAnsi="SimHei" w:cs="SimHei"/>
                      <w:spacing w:val="-2"/>
                      <w:sz w:val="18"/>
                      <w:szCs w:val="18"/>
                    </w:rPr>
                    <w:t>稳定</w:t>
                  </w:r>
                </w:p>
              </w:txbxContent>
            </v:textbox>
          </v:shape>
        </w:pict>
      </w:r>
      <w:r>
        <w:rPr>
          <w:rFonts w:ascii="SimHei" w:eastAsia="SimHei" w:hAnsi="SimHei" w:cs="SimHei"/>
          <w:spacing w:val="-1"/>
          <w:sz w:val="18"/>
          <w:szCs w:val="18"/>
        </w:rPr>
        <w:t>软件与服务行业信用展望：</w:t>
      </w:r>
    </w:p>
    <w:p>
      <w:pPr>
        <w:spacing w:line="316" w:lineRule="auto"/>
        <w:rPr>
          <w:rFonts w:ascii="Arial"/>
          <w:sz w:val="21"/>
        </w:rPr>
      </w:pPr>
    </w:p>
    <w:p>
      <w:pPr>
        <w:spacing w:line="316" w:lineRule="auto"/>
        <w:rPr>
          <w:rFonts w:ascii="Arial"/>
          <w:sz w:val="21"/>
        </w:rPr>
      </w:pPr>
    </w:p>
    <w:p>
      <w:pPr>
        <w:spacing w:line="316" w:lineRule="auto"/>
        <w:rPr>
          <w:rFonts w:ascii="Arial"/>
          <w:sz w:val="21"/>
        </w:rPr>
      </w:pPr>
    </w:p>
    <w:p>
      <w:pPr>
        <w:spacing w:before="91" w:line="359" w:lineRule="auto"/>
        <w:ind w:left="3866" w:right="1980" w:hanging="1919"/>
        <w:outlineLvl w:val="0"/>
        <w:rPr>
          <w:rFonts w:ascii="SimSun" w:eastAsia="SimSun" w:hAnsi="SimSun" w:cs="SimSun"/>
          <w:sz w:val="18"/>
          <w:szCs w:val="18"/>
        </w:rPr>
      </w:pPr>
      <w:r>
        <w:rPr>
          <w:rFonts w:ascii="Times New Roman" w:eastAsia="Times New Roman" w:hAnsi="Times New Roman" w:cs="Times New Roman"/>
          <w:spacing w:val="-1"/>
          <w:sz w:val="28"/>
          <w:szCs w:val="28"/>
        </w:rPr>
        <w:t xml:space="preserve">2023 </w:t>
      </w:r>
      <w:r>
        <w:rPr>
          <w:rFonts w:ascii="SimHei" w:eastAsia="SimHei" w:hAnsi="SimHei" w:cs="SimHei"/>
          <w:spacing w:val="-1"/>
          <w:sz w:val="28"/>
          <w:szCs w:val="28"/>
        </w:rPr>
        <w:t>年软件与服务行业信用回顾与</w:t>
      </w:r>
      <w:r>
        <w:rPr>
          <w:rFonts w:ascii="SimHei" w:eastAsia="SimHei" w:hAnsi="SimHei" w:cs="SimHei"/>
          <w:spacing w:val="-48"/>
          <w:sz w:val="28"/>
          <w:szCs w:val="28"/>
        </w:rPr>
        <w:t xml:space="preserve"> </w:t>
      </w:r>
      <w:r>
        <w:rPr>
          <w:rFonts w:ascii="Times New Roman" w:eastAsia="Times New Roman" w:hAnsi="Times New Roman" w:cs="Times New Roman"/>
          <w:spacing w:val="-1"/>
          <w:sz w:val="28"/>
          <w:szCs w:val="28"/>
        </w:rPr>
        <w:t xml:space="preserve">2024 </w:t>
      </w:r>
      <w:r>
        <w:rPr>
          <w:rFonts w:ascii="SimHei" w:eastAsia="SimHei" w:hAnsi="SimHei" w:cs="SimHei"/>
          <w:spacing w:val="-1"/>
          <w:sz w:val="28"/>
          <w:szCs w:val="28"/>
        </w:rPr>
        <w:t>年展望</w:t>
      </w:r>
      <w:r>
        <w:rPr>
          <w:rFonts w:ascii="SimHei" w:eastAsia="SimHei" w:hAnsi="SimHei" w:cs="SimHei"/>
          <w:sz w:val="28"/>
          <w:szCs w:val="28"/>
        </w:rPr>
        <w:t xml:space="preserve"> </w:t>
      </w:r>
      <w:r>
        <w:rPr>
          <w:rFonts w:ascii="SimSun" w:eastAsia="SimSun" w:hAnsi="SimSun" w:cs="SimSun"/>
          <w:spacing w:val="-1"/>
          <w:sz w:val="18"/>
          <w:szCs w:val="18"/>
        </w:rPr>
        <w:t>工商企业评级部  王科柯</w:t>
      </w:r>
    </w:p>
    <w:p>
      <w:pPr>
        <w:spacing w:line="270" w:lineRule="auto"/>
        <w:rPr>
          <w:rFonts w:ascii="Arial"/>
          <w:sz w:val="21"/>
        </w:rPr>
      </w:pPr>
    </w:p>
    <w:p>
      <w:pPr>
        <w:spacing w:line="270" w:lineRule="auto"/>
        <w:rPr>
          <w:rFonts w:ascii="Arial"/>
          <w:sz w:val="21"/>
        </w:rPr>
      </w:pPr>
    </w:p>
    <w:p>
      <w:pPr>
        <w:spacing w:before="91" w:line="220" w:lineRule="auto"/>
        <w:ind w:left="38"/>
        <w:rPr>
          <w:rFonts w:ascii="SimHei" w:eastAsia="SimHei" w:hAnsi="SimHei" w:cs="SimHei"/>
          <w:sz w:val="28"/>
          <w:szCs w:val="28"/>
        </w:rPr>
      </w:pPr>
      <w:r>
        <w:rPr>
          <w:rFonts w:ascii="SimHei" w:eastAsia="SimHei" w:hAnsi="SimHei" w:cs="SimHei"/>
          <w:spacing w:val="-3"/>
          <w:sz w:val="28"/>
          <w:szCs w:val="28"/>
        </w:rPr>
        <w:t>摘要</w:t>
      </w:r>
    </w:p>
    <w:p>
      <w:pPr>
        <w:pStyle w:val="BodyText"/>
        <w:spacing w:before="271" w:line="234" w:lineRule="auto"/>
        <w:ind w:left="34" w:firstLine="12"/>
        <w:jc w:val="both"/>
      </w:pPr>
      <w:r>
        <w:rPr>
          <w:spacing w:val="-3"/>
        </w:rPr>
        <w:t>软件与服务行业主要细分为互联网</w:t>
      </w:r>
      <w:r>
        <w:rPr>
          <w:spacing w:val="-26"/>
        </w:rPr>
        <w:t xml:space="preserve"> </w:t>
      </w:r>
      <w:r>
        <w:rPr>
          <w:spacing w:val="-3"/>
        </w:rPr>
        <w:t>、软件和数据中心等</w:t>
      </w:r>
      <w:r>
        <w:rPr>
          <w:spacing w:val="24"/>
          <w:w w:val="101"/>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6"/>
        </w:rPr>
        <w:t xml:space="preserve"> </w:t>
      </w:r>
      <w:r>
        <w:rPr>
          <w:spacing w:val="-3"/>
        </w:rPr>
        <w:t>个子行业。</w:t>
      </w:r>
      <w:r>
        <w:rPr>
          <w:spacing w:val="14"/>
        </w:rPr>
        <w:t xml:space="preserve">  </w:t>
      </w:r>
      <w:r>
        <w:rPr>
          <w:rFonts w:ascii="Times New Roman" w:eastAsia="Times New Roman" w:hAnsi="Times New Roman" w:cs="Times New Roman"/>
          <w:spacing w:val="-4"/>
        </w:rPr>
        <w:t>2023</w:t>
      </w:r>
      <w:r>
        <w:rPr>
          <w:rFonts w:ascii="Times New Roman" w:eastAsia="Times New Roman" w:hAnsi="Times New Roman" w:cs="Times New Roman"/>
          <w:spacing w:val="34"/>
          <w:w w:val="102"/>
        </w:rPr>
        <w:t xml:space="preserve"> </w:t>
      </w:r>
      <w:r>
        <w:rPr>
          <w:spacing w:val="-4"/>
        </w:rPr>
        <w:t xml:space="preserve">年以来受益于管控放开和国家消费刺激政策等影  </w:t>
      </w:r>
      <w:r>
        <w:rPr>
          <w:spacing w:val="-5"/>
        </w:rPr>
        <w:t>响，互联网行业收入有小幅增长，又因互联网企业继续实施降本增效策略，   加之研发投入趋于谨慎，   盈利仍实现较好增长。</w:t>
      </w:r>
      <w:r>
        <w:rPr>
          <w:spacing w:val="11"/>
        </w:rPr>
        <w:t xml:space="preserve"> </w:t>
      </w:r>
      <w:r>
        <w:rPr>
          <w:spacing w:val="-7"/>
        </w:rPr>
        <w:t>受益于国家政策推动以及新一代信息技术和传统产业的融合渗透，信息化需求持续上升，我国软件行业市场规模持续较快增长，</w:t>
      </w:r>
      <w:r>
        <w:rPr>
          <w:spacing w:val="13"/>
        </w:rPr>
        <w:t xml:space="preserve"> </w:t>
      </w:r>
      <w:r>
        <w:rPr>
          <w:spacing w:val="-5"/>
        </w:rPr>
        <w:t>但软件行业企业数量多且分散，普遍偏小偏弱且缺乏核心竞争</w:t>
      </w:r>
      <w:r>
        <w:rPr>
          <w:spacing w:val="-6"/>
        </w:rPr>
        <w:t>力，  同质化竞争严重，   整体盈利能力仍较弱</w:t>
      </w:r>
      <w:r>
        <w:rPr>
          <w:spacing w:val="-20"/>
        </w:rPr>
        <w:t xml:space="preserve"> </w:t>
      </w:r>
      <w:r>
        <w:rPr>
          <w:spacing w:val="-6"/>
        </w:rPr>
        <w:t xml:space="preserve">。受益于新技术应  </w:t>
      </w:r>
      <w:r>
        <w:rPr>
          <w:spacing w:val="-5"/>
        </w:rPr>
        <w:t xml:space="preserve">用和信息数据量膨胀以及新基建系列政策推动，全球和国内 </w:t>
      </w:r>
      <w:r>
        <w:rPr>
          <w:rFonts w:ascii="Times New Roman" w:eastAsia="Times New Roman" w:hAnsi="Times New Roman" w:cs="Times New Roman"/>
          <w:spacing w:val="-5"/>
        </w:rPr>
        <w:t>I</w:t>
      </w:r>
      <w:r>
        <w:rPr>
          <w:rFonts w:ascii="Times New Roman" w:eastAsia="Times New Roman" w:hAnsi="Times New Roman" w:cs="Times New Roman"/>
          <w:spacing w:val="-6"/>
        </w:rPr>
        <w:t>DC</w:t>
      </w:r>
      <w:r>
        <w:rPr>
          <w:rFonts w:ascii="Times New Roman" w:eastAsia="Times New Roman" w:hAnsi="Times New Roman" w:cs="Times New Roman"/>
          <w:spacing w:val="17"/>
        </w:rPr>
        <w:t xml:space="preserve"> </w:t>
      </w:r>
      <w:r>
        <w:rPr>
          <w:spacing w:val="-6"/>
        </w:rPr>
        <w:t xml:space="preserve">市场规模继续增长，但增速有所放缓，加之供给增长较快，数  </w:t>
      </w:r>
      <w:r>
        <w:rPr>
          <w:spacing w:val="-4"/>
        </w:rPr>
        <w:t>据中心行业竞争日趋激烈，</w:t>
      </w:r>
      <w:r>
        <w:rPr>
          <w:rFonts w:ascii="Times New Roman" w:eastAsia="Times New Roman" w:hAnsi="Times New Roman" w:cs="Times New Roman"/>
          <w:spacing w:val="-4"/>
        </w:rPr>
        <w:t xml:space="preserve">IDC </w:t>
      </w:r>
      <w:r>
        <w:rPr>
          <w:spacing w:val="-4"/>
        </w:rPr>
        <w:t>租金价格近年不断下降。</w:t>
      </w:r>
    </w:p>
    <w:p>
      <w:pPr>
        <w:pStyle w:val="BodyText"/>
        <w:spacing w:before="160" w:line="228" w:lineRule="auto"/>
        <w:ind w:left="45" w:right="67" w:hanging="2"/>
        <w:jc w:val="both"/>
      </w:pPr>
      <w:r>
        <w:rPr>
          <w:spacing w:val="-1"/>
        </w:rPr>
        <w:t xml:space="preserve">政策方面，  </w:t>
      </w:r>
      <w:r>
        <w:rPr>
          <w:rFonts w:ascii="Times New Roman" w:eastAsia="Times New Roman" w:hAnsi="Times New Roman" w:cs="Times New Roman"/>
          <w:spacing w:val="-1"/>
        </w:rPr>
        <w:t xml:space="preserve">2021  </w:t>
      </w:r>
      <w:r>
        <w:rPr>
          <w:spacing w:val="-1"/>
        </w:rPr>
        <w:t>年以来国家出台了较</w:t>
      </w:r>
      <w:r>
        <w:rPr>
          <w:spacing w:val="-2"/>
        </w:rPr>
        <w:t>多监管政策，对互联网行业进行规范和整顿，短期内对行业发展产生一定约束，但有</w:t>
      </w:r>
      <w:r>
        <w:t xml:space="preserve"> </w:t>
      </w:r>
      <w:r>
        <w:rPr>
          <w:spacing w:val="-2"/>
        </w:rPr>
        <w:t>利于行业的长期有序创新健康发展；与此同时</w:t>
      </w:r>
      <w:r>
        <w:rPr>
          <w:spacing w:val="-13"/>
        </w:rPr>
        <w:t xml:space="preserve"> </w:t>
      </w:r>
      <w:r>
        <w:rPr>
          <w:spacing w:val="-3"/>
        </w:rPr>
        <w:t>，国家继续出台了《</w:t>
      </w:r>
      <w:r>
        <w:rPr>
          <w:rFonts w:ascii="Times New Roman" w:eastAsia="Times New Roman" w:hAnsi="Times New Roman" w:cs="Times New Roman"/>
          <w:spacing w:val="-3"/>
        </w:rPr>
        <w:t>“</w:t>
      </w:r>
      <w:r>
        <w:rPr>
          <w:rFonts w:ascii="Times New Roman" w:eastAsia="Times New Roman" w:hAnsi="Times New Roman" w:cs="Times New Roman"/>
          <w:spacing w:val="-26"/>
        </w:rPr>
        <w:t xml:space="preserve"> </w:t>
      </w:r>
      <w:r>
        <w:rPr>
          <w:spacing w:val="-3"/>
        </w:rPr>
        <w:t>十四五</w:t>
      </w:r>
      <w:r>
        <w:rPr>
          <w:rFonts w:ascii="Times New Roman" w:eastAsia="Times New Roman" w:hAnsi="Times New Roman" w:cs="Times New Roman"/>
          <w:spacing w:val="-3"/>
        </w:rPr>
        <w:t>”</w:t>
      </w:r>
      <w:r>
        <w:rPr>
          <w:rFonts w:ascii="Times New Roman" w:eastAsia="Times New Roman" w:hAnsi="Times New Roman" w:cs="Times New Roman"/>
          <w:spacing w:val="-30"/>
        </w:rPr>
        <w:t xml:space="preserve"> </w:t>
      </w:r>
      <w:r>
        <w:rPr>
          <w:spacing w:val="-3"/>
        </w:rPr>
        <w:t>数字经济发展规划》等一系列产业政策和税收优</w:t>
      </w:r>
      <w:r>
        <w:t xml:space="preserve"> </w:t>
      </w:r>
      <w:r>
        <w:rPr>
          <w:spacing w:val="-2"/>
        </w:rPr>
        <w:t>惠政策，</w:t>
      </w:r>
      <w:r>
        <w:rPr>
          <w:spacing w:val="-11"/>
        </w:rPr>
        <w:t xml:space="preserve"> </w:t>
      </w:r>
      <w:r>
        <w:rPr>
          <w:spacing w:val="-2"/>
        </w:rPr>
        <w:t>支持互联网和数据中心尤其是软件等产业的发展。</w:t>
      </w:r>
    </w:p>
    <w:p>
      <w:pPr>
        <w:pStyle w:val="BodyText"/>
        <w:spacing w:before="163" w:line="235" w:lineRule="auto"/>
        <w:ind w:left="38" w:right="7" w:firstLine="6"/>
      </w:pPr>
      <w:r>
        <w:rPr>
          <w:spacing w:val="-6"/>
        </w:rPr>
        <w:t xml:space="preserve">从样本企业经营状况看， </w:t>
      </w:r>
      <w:r>
        <w:rPr>
          <w:rFonts w:ascii="Times New Roman" w:eastAsia="Times New Roman" w:hAnsi="Times New Roman" w:cs="Times New Roman"/>
          <w:spacing w:val="-6"/>
        </w:rPr>
        <w:t>2023</w:t>
      </w:r>
      <w:r>
        <w:rPr>
          <w:rFonts w:ascii="Times New Roman" w:eastAsia="Times New Roman" w:hAnsi="Times New Roman" w:cs="Times New Roman"/>
          <w:spacing w:val="15"/>
          <w:w w:val="101"/>
        </w:rPr>
        <w:t xml:space="preserve"> </w:t>
      </w:r>
      <w:r>
        <w:rPr>
          <w:spacing w:val="-6"/>
        </w:rPr>
        <w:t>年（</w:t>
      </w:r>
      <w:r>
        <w:rPr>
          <w:rFonts w:ascii="Times New Roman" w:eastAsia="Times New Roman" w:hAnsi="Times New Roman" w:cs="Times New Roman"/>
          <w:spacing w:val="-6"/>
        </w:rPr>
        <w:t>TTM</w:t>
      </w:r>
      <w:r>
        <w:rPr>
          <w:spacing w:val="-49"/>
          <w:w w:val="98"/>
        </w:rPr>
        <w:t>），</w:t>
      </w:r>
      <w:r>
        <w:rPr>
          <w:spacing w:val="-19"/>
        </w:rPr>
        <w:t xml:space="preserve"> </w:t>
      </w:r>
      <w:r>
        <w:rPr>
          <w:spacing w:val="-6"/>
        </w:rPr>
        <w:t>受整</w:t>
      </w:r>
      <w:r>
        <w:rPr>
          <w:spacing w:val="-7"/>
        </w:rPr>
        <w:t>体经营环境仍承压影响，   互联网行业样本企业收入继续下滑，</w:t>
      </w:r>
      <w:r>
        <w:rPr>
          <w:spacing w:val="12"/>
          <w:w w:val="101"/>
        </w:rPr>
        <w:t xml:space="preserve">  </w:t>
      </w:r>
      <w:r>
        <w:rPr>
          <w:spacing w:val="-7"/>
        </w:rPr>
        <w:t xml:space="preserve">但下滑幅度显  </w:t>
      </w:r>
      <w:r>
        <w:rPr>
          <w:spacing w:val="-3"/>
        </w:rPr>
        <w:t>著收窄，并因持续进行降本增效以及资产减值因素大幅减弱，  盈利情况显著改善但整体盈</w:t>
      </w:r>
      <w:r>
        <w:rPr>
          <w:spacing w:val="-4"/>
        </w:rPr>
        <w:t xml:space="preserve">利能力仍较弱；营销投入力度继续  </w:t>
      </w:r>
      <w:r>
        <w:rPr>
          <w:spacing w:val="-7"/>
        </w:rPr>
        <w:t>加大</w:t>
      </w:r>
      <w:r>
        <w:rPr>
          <w:spacing w:val="-12"/>
        </w:rPr>
        <w:t xml:space="preserve"> </w:t>
      </w:r>
      <w:r>
        <w:rPr>
          <w:spacing w:val="-7"/>
        </w:rPr>
        <w:t>，而研发投入则小幅下滑。</w:t>
      </w:r>
      <w:r>
        <w:rPr>
          <w:spacing w:val="16"/>
        </w:rPr>
        <w:t xml:space="preserve">  </w:t>
      </w:r>
      <w:r>
        <w:rPr>
          <w:spacing w:val="-7"/>
        </w:rPr>
        <w:t>软件行业样本企业收入增长很小，</w:t>
      </w:r>
      <w:r>
        <w:rPr>
          <w:spacing w:val="13"/>
        </w:rPr>
        <w:t xml:space="preserve">  </w:t>
      </w:r>
      <w:r>
        <w:rPr>
          <w:spacing w:val="-7"/>
        </w:rPr>
        <w:t xml:space="preserve">但随着 </w:t>
      </w:r>
      <w:r>
        <w:rPr>
          <w:rFonts w:ascii="Times New Roman" w:eastAsia="Times New Roman" w:hAnsi="Times New Roman" w:cs="Times New Roman"/>
          <w:spacing w:val="-7"/>
        </w:rPr>
        <w:t>2022</w:t>
      </w:r>
      <w:r>
        <w:rPr>
          <w:rFonts w:ascii="Times New Roman" w:eastAsia="Times New Roman" w:hAnsi="Times New Roman" w:cs="Times New Roman"/>
          <w:spacing w:val="17"/>
          <w:w w:val="101"/>
        </w:rPr>
        <w:t xml:space="preserve"> </w:t>
      </w:r>
      <w:r>
        <w:rPr>
          <w:spacing w:val="-7"/>
        </w:rPr>
        <w:t>年四季度管控</w:t>
      </w:r>
      <w:r>
        <w:rPr>
          <w:spacing w:val="-8"/>
        </w:rPr>
        <w:t xml:space="preserve">放开，  </w:t>
      </w:r>
      <w:r>
        <w:rPr>
          <w:rFonts w:ascii="Times New Roman" w:eastAsia="Times New Roman" w:hAnsi="Times New Roman" w:cs="Times New Roman"/>
          <w:spacing w:val="-8"/>
        </w:rPr>
        <w:t>2023</w:t>
      </w:r>
      <w:r>
        <w:rPr>
          <w:rFonts w:ascii="Times New Roman" w:eastAsia="Times New Roman" w:hAnsi="Times New Roman" w:cs="Times New Roman"/>
          <w:spacing w:val="18"/>
          <w:w w:val="101"/>
        </w:rPr>
        <w:t xml:space="preserve"> </w:t>
      </w:r>
      <w:r>
        <w:rPr>
          <w:spacing w:val="-8"/>
        </w:rPr>
        <w:t xml:space="preserve">年以来收入增速已  </w:t>
      </w:r>
      <w:r>
        <w:rPr>
          <w:spacing w:val="-7"/>
        </w:rPr>
        <w:t>有所回升，</w:t>
      </w:r>
      <w:r>
        <w:rPr>
          <w:spacing w:val="13"/>
        </w:rPr>
        <w:t xml:space="preserve">  </w:t>
      </w:r>
      <w:r>
        <w:rPr>
          <w:spacing w:val="-7"/>
        </w:rPr>
        <w:t>整体毛利率保持相对稳定，</w:t>
      </w:r>
      <w:r>
        <w:rPr>
          <w:spacing w:val="19"/>
        </w:rPr>
        <w:t xml:space="preserve">  </w:t>
      </w:r>
      <w:r>
        <w:rPr>
          <w:spacing w:val="-7"/>
        </w:rPr>
        <w:t>因继续加大研发投入力度和</w:t>
      </w:r>
      <w:r>
        <w:rPr>
          <w:spacing w:val="-8"/>
        </w:rPr>
        <w:t xml:space="preserve">营销推广力度，  加之应收账款产生的资产减值损失规模增  </w:t>
      </w:r>
      <w:r>
        <w:rPr>
          <w:spacing w:val="-5"/>
        </w:rPr>
        <w:t>加，</w:t>
      </w:r>
      <w:r>
        <w:rPr>
          <w:spacing w:val="11"/>
        </w:rPr>
        <w:t xml:space="preserve"> </w:t>
      </w:r>
      <w:r>
        <w:rPr>
          <w:spacing w:val="-5"/>
        </w:rPr>
        <w:t>经营收益大幅下滑并出现一定亏损，  整体盈利能力仍较弱，</w:t>
      </w:r>
      <w:r>
        <w:rPr>
          <w:spacing w:val="13"/>
        </w:rPr>
        <w:t xml:space="preserve"> </w:t>
      </w:r>
      <w:r>
        <w:rPr>
          <w:spacing w:val="-5"/>
        </w:rPr>
        <w:t>主业盈利状况进一步弱化，盈</w:t>
      </w:r>
      <w:r>
        <w:rPr>
          <w:spacing w:val="-6"/>
        </w:rPr>
        <w:t xml:space="preserve">利仍主要依赖增值税退税收入  </w:t>
      </w:r>
      <w:r>
        <w:rPr>
          <w:spacing w:val="-5"/>
        </w:rPr>
        <w:t>实现；受宏观经济增长放缓背景下弱势产业链地位进一步显现等因素影响，整体营业周期进一步延长，整体经营效率仍较低</w:t>
      </w:r>
      <w:r>
        <w:rPr>
          <w:spacing w:val="-15"/>
        </w:rPr>
        <w:t xml:space="preserve"> </w:t>
      </w:r>
      <w:r>
        <w:rPr>
          <w:spacing w:val="-5"/>
        </w:rPr>
        <w:t>。</w:t>
      </w:r>
      <w:r>
        <w:t xml:space="preserve">  </w:t>
      </w:r>
      <w:r>
        <w:t>数据中心行业样本企业收入规模继续增长，但因需求</w:t>
      </w:r>
      <w:r>
        <w:rPr>
          <w:spacing w:val="-1"/>
        </w:rPr>
        <w:t>增速放缓而增速有所回落，剔除个别样本企业大额商誉减值因素影响，</w:t>
      </w:r>
      <w:r>
        <w:t xml:space="preserve"> </w:t>
      </w:r>
      <w:r>
        <w:t>盈利规模则继续增加，盈利情况总体仍较好；整体收现情况保持良好，经营效率</w:t>
      </w:r>
      <w:r>
        <w:rPr>
          <w:spacing w:val="-1"/>
        </w:rPr>
        <w:t>有一定提升但仍较低。</w:t>
      </w:r>
    </w:p>
    <w:p>
      <w:pPr>
        <w:pStyle w:val="BodyText"/>
        <w:spacing w:before="161" w:line="234" w:lineRule="auto"/>
        <w:ind w:left="45" w:right="8" w:hanging="1"/>
      </w:pPr>
      <w:r>
        <w:rPr>
          <w:spacing w:val="-4"/>
        </w:rPr>
        <w:t>从样本企业财务状况看，</w:t>
      </w:r>
      <w:r>
        <w:rPr>
          <w:spacing w:val="23"/>
        </w:rPr>
        <w:t xml:space="preserve">  </w:t>
      </w:r>
      <w:r>
        <w:rPr>
          <w:rFonts w:ascii="Times New Roman" w:eastAsia="Times New Roman" w:hAnsi="Times New Roman" w:cs="Times New Roman"/>
          <w:spacing w:val="-4"/>
        </w:rPr>
        <w:t xml:space="preserve">2023  </w:t>
      </w:r>
      <w:r>
        <w:rPr>
          <w:spacing w:val="-4"/>
        </w:rPr>
        <w:t xml:space="preserve">年以来互联网行业样本企业和软件行业样本企业的整体财务杠杆仍较低，  且债务主要集中于  </w:t>
      </w:r>
      <w:r>
        <w:rPr>
          <w:spacing w:val="-3"/>
        </w:rPr>
        <w:t>经营性负债，整体财务结构保持稳健；现金类资产较为充裕，整体资产流动性水平较好，   经营环节现金流持续较多</w:t>
      </w:r>
      <w:r>
        <w:rPr>
          <w:spacing w:val="-4"/>
        </w:rPr>
        <w:t>净流入，</w:t>
      </w:r>
      <w:r>
        <w:t xml:space="preserve"> </w:t>
      </w:r>
      <w:r>
        <w:rPr>
          <w:spacing w:val="-5"/>
        </w:rPr>
        <w:t xml:space="preserve">经营创现能力较强，   虽然偿债能力指标因盈利下滑有所下降， </w:t>
      </w:r>
      <w:r>
        <w:rPr>
          <w:spacing w:val="-6"/>
        </w:rPr>
        <w:t xml:space="preserve"> 但整体偿债能力仍保持良好。数据中心行业样本企业因权益资  </w:t>
      </w:r>
      <w:r>
        <w:rPr>
          <w:spacing w:val="-6"/>
        </w:rPr>
        <w:t xml:space="preserve">本增加和投资支出放缓，负债率有一定回落，债务期限结构也有大幅改善；资产主要集中于数据中心等固定资产和无形资产，   </w:t>
      </w:r>
      <w:r>
        <w:rPr>
          <w:spacing w:val="-8"/>
        </w:rPr>
        <w:t>现金类资产也较多，</w:t>
      </w:r>
      <w:r>
        <w:rPr>
          <w:spacing w:val="15"/>
          <w:w w:val="101"/>
        </w:rPr>
        <w:t xml:space="preserve">  </w:t>
      </w:r>
      <w:r>
        <w:rPr>
          <w:spacing w:val="-8"/>
        </w:rPr>
        <w:t>整体流动性较为充裕，经营净现金流入稳定增</w:t>
      </w:r>
      <w:r>
        <w:rPr>
          <w:spacing w:val="-9"/>
        </w:rPr>
        <w:t>加，</w:t>
      </w:r>
      <w:r>
        <w:rPr>
          <w:spacing w:val="15"/>
          <w:w w:val="101"/>
        </w:rPr>
        <w:t xml:space="preserve">  </w:t>
      </w:r>
      <w:r>
        <w:rPr>
          <w:spacing w:val="-9"/>
        </w:rPr>
        <w:t>经营创现能力强，</w:t>
      </w:r>
      <w:r>
        <w:rPr>
          <w:spacing w:val="17"/>
        </w:rPr>
        <w:t xml:space="preserve">  </w:t>
      </w:r>
      <w:r>
        <w:rPr>
          <w:spacing w:val="-9"/>
        </w:rPr>
        <w:t xml:space="preserve">整体偿债能力指标因盈利下滑和债  </w:t>
      </w:r>
      <w:r>
        <w:rPr>
          <w:spacing w:val="-2"/>
        </w:rPr>
        <w:t>务增加而有所弱化，但整体偿债能力仍尚可。</w:t>
      </w:r>
    </w:p>
    <w:p>
      <w:pPr>
        <w:pStyle w:val="BodyText"/>
        <w:spacing w:before="160" w:line="227" w:lineRule="auto"/>
        <w:ind w:left="47" w:right="67" w:hanging="1"/>
        <w:jc w:val="both"/>
      </w:pPr>
      <w:r>
        <w:rPr>
          <w:spacing w:val="-4"/>
        </w:rPr>
        <w:t>软件与服务行业整体轻资产经营特征明显，  数据中心子行业虽为重资产运营但企业规模普遍较小， 信用资质和</w:t>
      </w:r>
      <w:r>
        <w:rPr>
          <w:spacing w:val="-5"/>
        </w:rPr>
        <w:t>债券市场融资</w:t>
      </w:r>
      <w:r>
        <w:t xml:space="preserve"> </w:t>
      </w:r>
      <w:r>
        <w:rPr>
          <w:spacing w:val="-3"/>
        </w:rPr>
        <w:t>能力偏弱，以权益融资为主，   债务融资则以银行借款为主，债券融资较少且主要为可转债</w:t>
      </w:r>
      <w:r>
        <w:rPr>
          <w:spacing w:val="-10"/>
        </w:rPr>
        <w:t xml:space="preserve"> </w:t>
      </w:r>
      <w:r>
        <w:rPr>
          <w:spacing w:val="-3"/>
        </w:rPr>
        <w:t>。</w:t>
      </w:r>
      <w:r>
        <w:rPr>
          <w:rFonts w:ascii="Times New Roman" w:eastAsia="Times New Roman" w:hAnsi="Times New Roman" w:cs="Times New Roman"/>
          <w:spacing w:val="-3"/>
        </w:rPr>
        <w:t xml:space="preserve">2023  </w:t>
      </w:r>
      <w:r>
        <w:rPr>
          <w:spacing w:val="-3"/>
        </w:rPr>
        <w:t>年以来债券发行主体和数</w:t>
      </w:r>
      <w:r>
        <w:t xml:space="preserve"> </w:t>
      </w:r>
      <w:r>
        <w:rPr>
          <w:spacing w:val="-3"/>
        </w:rPr>
        <w:t xml:space="preserve">量仍较少，主体信用等级主要集中于 </w:t>
      </w:r>
      <w:r>
        <w:rPr>
          <w:rFonts w:ascii="Times New Roman" w:eastAsia="Times New Roman" w:hAnsi="Times New Roman" w:cs="Times New Roman"/>
          <w:spacing w:val="-3"/>
        </w:rPr>
        <w:t>AA</w:t>
      </w:r>
      <w:r>
        <w:rPr>
          <w:rFonts w:ascii="Times New Roman" w:eastAsia="Times New Roman" w:hAnsi="Times New Roman" w:cs="Times New Roman"/>
          <w:spacing w:val="-3"/>
          <w:position w:val="5"/>
          <w:sz w:val="12"/>
          <w:szCs w:val="12"/>
        </w:rPr>
        <w:t>-</w:t>
      </w:r>
      <w:r>
        <w:rPr>
          <w:rFonts w:ascii="Times New Roman" w:eastAsia="Times New Roman" w:hAnsi="Times New Roman" w:cs="Times New Roman"/>
          <w:spacing w:val="8"/>
          <w:w w:val="102"/>
          <w:position w:val="5"/>
          <w:sz w:val="12"/>
          <w:szCs w:val="12"/>
        </w:rPr>
        <w:t xml:space="preserve"> </w:t>
      </w:r>
      <w:r>
        <w:rPr>
          <w:spacing w:val="-3"/>
        </w:rPr>
        <w:t xml:space="preserve">级和 </w:t>
      </w:r>
      <w:r>
        <w:rPr>
          <w:rFonts w:ascii="Times New Roman" w:eastAsia="Times New Roman" w:hAnsi="Times New Roman" w:cs="Times New Roman"/>
          <w:spacing w:val="-3"/>
        </w:rPr>
        <w:t>A</w:t>
      </w:r>
      <w:r>
        <w:rPr>
          <w:rFonts w:ascii="Times New Roman" w:eastAsia="Times New Roman" w:hAnsi="Times New Roman" w:cs="Times New Roman"/>
          <w:spacing w:val="-3"/>
          <w:position w:val="5"/>
          <w:sz w:val="12"/>
          <w:szCs w:val="12"/>
        </w:rPr>
        <w:t>+</w:t>
      </w:r>
      <w:r>
        <w:rPr>
          <w:rFonts w:ascii="Times New Roman" w:eastAsia="Times New Roman" w:hAnsi="Times New Roman" w:cs="Times New Roman"/>
          <w:spacing w:val="-11"/>
          <w:position w:val="5"/>
          <w:sz w:val="12"/>
          <w:szCs w:val="12"/>
        </w:rPr>
        <w:t xml:space="preserve"> </w:t>
      </w:r>
      <w:r>
        <w:rPr>
          <w:spacing w:val="-3"/>
        </w:rPr>
        <w:t>级。</w:t>
      </w:r>
    </w:p>
    <w:p>
      <w:pPr>
        <w:pStyle w:val="BodyText"/>
        <w:spacing w:before="157" w:line="236" w:lineRule="auto"/>
        <w:ind w:left="35" w:right="63"/>
        <w:sectPr>
          <w:headerReference w:type="default" r:id="rId4"/>
          <w:footerReference w:type="default" r:id="rId5"/>
          <w:pgSz w:w="11907" w:h="16839"/>
          <w:pgMar w:top="1053" w:right="1065" w:bottom="1187" w:left="1104" w:header="867" w:footer="993" w:gutter="0"/>
          <w:cols w:space="708"/>
        </w:sectPr>
      </w:pPr>
      <w:r>
        <w:rPr>
          <w:spacing w:val="-8"/>
        </w:rPr>
        <w:t xml:space="preserve">展望 </w:t>
      </w:r>
      <w:r>
        <w:rPr>
          <w:rFonts w:ascii="Times New Roman" w:eastAsia="Times New Roman" w:hAnsi="Times New Roman" w:cs="Times New Roman"/>
          <w:spacing w:val="-8"/>
        </w:rPr>
        <w:t>2024</w:t>
      </w:r>
      <w:r>
        <w:rPr>
          <w:rFonts w:ascii="Times New Roman" w:eastAsia="Times New Roman" w:hAnsi="Times New Roman" w:cs="Times New Roman"/>
          <w:spacing w:val="18"/>
        </w:rPr>
        <w:t xml:space="preserve"> </w:t>
      </w:r>
      <w:r>
        <w:rPr>
          <w:spacing w:val="-8"/>
        </w:rPr>
        <w:t>年，在国家政策的规范和推动下，</w:t>
      </w:r>
      <w:r>
        <w:rPr>
          <w:spacing w:val="13"/>
          <w:w w:val="101"/>
        </w:rPr>
        <w:t xml:space="preserve">  </w:t>
      </w:r>
      <w:r>
        <w:rPr>
          <w:spacing w:val="-8"/>
        </w:rPr>
        <w:t>随着经济转型、产业升级进程的不断深入，</w:t>
      </w:r>
      <w:r>
        <w:rPr>
          <w:spacing w:val="11"/>
          <w:w w:val="101"/>
        </w:rPr>
        <w:t xml:space="preserve">  </w:t>
      </w:r>
      <w:r>
        <w:rPr>
          <w:spacing w:val="-8"/>
        </w:rPr>
        <w:t>尤其是大数据、云计算、人工智</w:t>
      </w:r>
      <w:r>
        <w:rPr>
          <w:spacing w:val="-9"/>
        </w:rPr>
        <w:t>能、</w:t>
      </w:r>
      <w:r>
        <w:t xml:space="preserve">  </w:t>
      </w:r>
      <w:r>
        <w:rPr>
          <w:spacing w:val="-6"/>
        </w:rPr>
        <w:t xml:space="preserve">物联网、  </w:t>
      </w:r>
      <w:r>
        <w:rPr>
          <w:rFonts w:ascii="Times New Roman" w:eastAsia="Times New Roman" w:hAnsi="Times New Roman" w:cs="Times New Roman"/>
          <w:spacing w:val="-6"/>
        </w:rPr>
        <w:t>5G</w:t>
      </w:r>
      <w:r>
        <w:rPr>
          <w:rFonts w:ascii="Times New Roman" w:eastAsia="Times New Roman" w:hAnsi="Times New Roman" w:cs="Times New Roman"/>
          <w:spacing w:val="28"/>
        </w:rPr>
        <w:t xml:space="preserve"> </w:t>
      </w:r>
      <w:r>
        <w:rPr>
          <w:spacing w:val="-6"/>
        </w:rPr>
        <w:t>等新兴技术和产业驱动，</w:t>
      </w:r>
      <w:r>
        <w:rPr>
          <w:spacing w:val="12"/>
        </w:rPr>
        <w:t xml:space="preserve">  </w:t>
      </w:r>
      <w:r>
        <w:rPr>
          <w:spacing w:val="-6"/>
        </w:rPr>
        <w:t>以及移动互联网的进一步普及和互联网服务范围向更深更广发展，   软件与服务</w:t>
      </w:r>
      <w:r>
        <w:rPr>
          <w:spacing w:val="-7"/>
        </w:rPr>
        <w:t>行业整</w:t>
      </w:r>
      <w:r>
        <w:t xml:space="preserve"> </w:t>
      </w:r>
      <w:r>
        <w:rPr>
          <w:spacing w:val="-4"/>
        </w:rPr>
        <w:t>体发展前景仍良好，行业运行总体持稳</w:t>
      </w:r>
      <w:r>
        <w:rPr>
          <w:spacing w:val="-20"/>
        </w:rPr>
        <w:t xml:space="preserve"> </w:t>
      </w:r>
      <w:r>
        <w:rPr>
          <w:spacing w:val="-4"/>
        </w:rPr>
        <w:t>。</w:t>
      </w:r>
      <w:r>
        <w:rPr>
          <w:spacing w:val="-4"/>
          <w14:textOutline w14:w="3263">
            <w14:solidFill>
              <w14:srgbClr w14:val="000000"/>
            </w14:solidFill>
            <w14:prstDash w14:val="solid"/>
            <w14:miter w14:lim="10"/>
          </w14:textOutline>
        </w:rPr>
        <w:t>（互联网）</w:t>
      </w:r>
      <w:r>
        <w:rPr>
          <w:spacing w:val="12"/>
        </w:rPr>
        <w:t xml:space="preserve">  </w:t>
      </w:r>
      <w:r>
        <w:rPr>
          <w:spacing w:val="-4"/>
        </w:rPr>
        <w:t>当前我国经济增长仍面临一定压力，加之行业整顿以及</w:t>
      </w:r>
      <w:r>
        <w:rPr>
          <w:spacing w:val="-5"/>
        </w:rPr>
        <w:t>互联网用户增速</w:t>
      </w:r>
      <w:r>
        <w:t xml:space="preserve"> </w:t>
      </w:r>
      <w:r>
        <w:rPr>
          <w:spacing w:val="-4"/>
        </w:rPr>
        <w:t>进一步下滑</w:t>
      </w:r>
      <w:r>
        <w:rPr>
          <w:spacing w:val="-12"/>
        </w:rPr>
        <w:t xml:space="preserve"> </w:t>
      </w:r>
      <w:r>
        <w:rPr>
          <w:spacing w:val="-4"/>
        </w:rPr>
        <w:t>，预计短期内互联网行业经营环境或继续承压</w:t>
      </w:r>
      <w:r>
        <w:rPr>
          <w:spacing w:val="-20"/>
        </w:rPr>
        <w:t xml:space="preserve"> </w:t>
      </w:r>
      <w:r>
        <w:rPr>
          <w:spacing w:val="-4"/>
        </w:rPr>
        <w:t>。</w:t>
      </w:r>
      <w:r>
        <w:rPr>
          <w:spacing w:val="-4"/>
          <w14:textOutline w14:w="3263">
            <w14:solidFill>
              <w14:srgbClr w14:val="000000"/>
            </w14:solidFill>
            <w14:prstDash w14:val="solid"/>
            <w14:miter w14:lim="10"/>
          </w14:textOutline>
        </w:rPr>
        <w:t>（数据中心）</w:t>
      </w:r>
      <w:r>
        <w:rPr>
          <w:spacing w:val="40"/>
        </w:rPr>
        <w:t xml:space="preserve"> </w:t>
      </w:r>
      <w:r>
        <w:rPr>
          <w:spacing w:val="-4"/>
        </w:rPr>
        <w:t>短期内或将继续</w:t>
      </w:r>
      <w:r>
        <w:rPr>
          <w:spacing w:val="-5"/>
        </w:rPr>
        <w:t>面临需求增速放缓、供给不断增加</w:t>
      </w:r>
      <w:r>
        <w:t xml:space="preserve"> </w:t>
      </w:r>
      <w:r>
        <w:rPr>
          <w:spacing w:val="-7"/>
        </w:rPr>
        <w:t>所带来的不利影响，   竞争日趋激烈，经营压力有所加大，   投资</w:t>
      </w:r>
      <w:r>
        <w:rPr>
          <w:spacing w:val="-8"/>
        </w:rPr>
        <w:t>增速或将继续放缓</w:t>
      </w:r>
      <w:r>
        <w:rPr>
          <w:spacing w:val="-21"/>
        </w:rPr>
        <w:t xml:space="preserve"> </w:t>
      </w:r>
      <w:r>
        <w:rPr>
          <w:spacing w:val="-8"/>
        </w:rPr>
        <w:t>。</w:t>
      </w:r>
      <w:r>
        <w:rPr>
          <w:spacing w:val="-8"/>
          <w14:textOutline w14:w="3263">
            <w14:solidFill>
              <w14:srgbClr w14:val="000000"/>
            </w14:solidFill>
            <w14:prstDash w14:val="solid"/>
            <w14:miter w14:lim="10"/>
          </w14:textOutline>
        </w:rPr>
        <w:t>（软件）</w:t>
      </w:r>
      <w:r>
        <w:rPr>
          <w:spacing w:val="23"/>
        </w:rPr>
        <w:t xml:space="preserve"> </w:t>
      </w:r>
      <w:r>
        <w:rPr>
          <w:spacing w:val="-8"/>
        </w:rPr>
        <w:t>行业内企业数量多而分散且仍在</w:t>
      </w:r>
      <w:r>
        <w:t xml:space="preserve"> </w:t>
      </w:r>
      <w:r>
        <w:rPr>
          <w:spacing w:val="-8"/>
        </w:rPr>
        <w:t>不断增加，</w:t>
      </w:r>
      <w:r>
        <w:rPr>
          <w:spacing w:val="14"/>
        </w:rPr>
        <w:t xml:space="preserve">  </w:t>
      </w:r>
      <w:r>
        <w:rPr>
          <w:spacing w:val="-8"/>
        </w:rPr>
        <w:t>企业普遍缺乏核心技术，</w:t>
      </w:r>
      <w:r>
        <w:rPr>
          <w:spacing w:val="12"/>
          <w:w w:val="101"/>
        </w:rPr>
        <w:t xml:space="preserve">  </w:t>
      </w:r>
      <w:r>
        <w:rPr>
          <w:spacing w:val="-8"/>
        </w:rPr>
        <w:t>产品同质化严重，</w:t>
      </w:r>
      <w:r>
        <w:rPr>
          <w:spacing w:val="18"/>
        </w:rPr>
        <w:t xml:space="preserve">  </w:t>
      </w:r>
      <w:r>
        <w:rPr>
          <w:spacing w:val="-8"/>
        </w:rPr>
        <w:t>市场竞争压力加大，但总体上</w:t>
      </w:r>
      <w:r>
        <w:rPr>
          <w:spacing w:val="-9"/>
        </w:rPr>
        <w:t>仍可受益于经济逐步企稳、新兴产业发</w:t>
      </w:r>
      <w:r>
        <w:t xml:space="preserve"> </w:t>
      </w:r>
    </w:p>
    <w:p>
      <w:pPr>
        <w:pStyle w:val="BodyText"/>
        <w:spacing w:before="157" w:line="236" w:lineRule="auto"/>
        <w:ind w:left="35" w:right="63"/>
      </w:pPr>
      <w:r>
        <w:rPr>
          <w:spacing w:val="-4"/>
        </w:rPr>
        <w:t xml:space="preserve">展和旧动能技术赋能升级等带来的需求释放。  </w:t>
      </w:r>
      <w:r>
        <w:rPr>
          <w:spacing w:val="-4"/>
          <w14:textOutline w14:w="3263">
            <w14:solidFill>
              <w14:srgbClr w14:val="000000"/>
            </w14:solidFill>
            <w14:prstDash w14:val="solid"/>
            <w14:miter w14:lim="10"/>
          </w14:textOutline>
        </w:rPr>
        <w:t>（</w:t>
      </w:r>
      <w:r>
        <w:rPr>
          <w:spacing w:val="-5"/>
          <w14:textOutline w14:w="3263">
            <w14:solidFill>
              <w14:srgbClr w14:val="000000"/>
            </w14:solidFill>
            <w14:prstDash w14:val="solid"/>
            <w14:miter w14:lim="10"/>
          </w14:textOutline>
        </w:rPr>
        <w:t>风险关注）</w:t>
      </w:r>
      <w:r>
        <w:rPr>
          <w:spacing w:val="-5"/>
        </w:rPr>
        <w:t xml:space="preserve">  短期内，需重点关注商誉资产规模大、应收账款占款规模大、现</w:t>
      </w:r>
      <w:r>
        <w:t xml:space="preserve"> </w:t>
      </w:r>
      <w:r>
        <w:t>金类资产持有规模大的软件与数据中心企业资</w:t>
      </w:r>
      <w:r>
        <w:rPr>
          <w:spacing w:val="-1"/>
        </w:rPr>
        <w:t>产端的风险敞口。</w:t>
      </w:r>
    </w:p>
    <w:p>
      <w:pPr>
        <w:spacing w:line="236" w:lineRule="auto"/>
        <w:sectPr>
          <w:headerReference w:type="default" r:id="rId6"/>
          <w:footerReference w:type="default" r:id="rId7"/>
          <w:type w:val="nextPage"/>
          <w:pgSz w:w="11907" w:h="16839"/>
          <w:pgMar w:top="1053" w:right="1065" w:bottom="1187" w:left="1104" w:header="867" w:footer="993" w:gutter="0"/>
          <w:pgNumType w:start="2"/>
          <w:cols w:space="708"/>
          <w:titlePg w:val="0"/>
        </w:sectPr>
      </w:pPr>
    </w:p>
    <w:p>
      <w:pPr>
        <w:spacing w:line="427" w:lineRule="auto"/>
        <w:rPr>
          <w:rFonts w:ascii="Arial"/>
          <w:sz w:val="21"/>
        </w:rPr>
      </w:pPr>
    </w:p>
    <w:p>
      <w:pPr>
        <w:spacing w:before="101" w:line="224" w:lineRule="auto"/>
        <w:ind w:left="66"/>
        <w:rPr>
          <w:rFonts w:ascii="SimHei" w:eastAsia="SimHei" w:hAnsi="SimHei" w:cs="SimHei"/>
          <w:sz w:val="31"/>
          <w:szCs w:val="31"/>
        </w:rPr>
      </w:pPr>
      <w:r>
        <w:rPr>
          <w:rFonts w:ascii="Times New Roman" w:eastAsia="Times New Roman" w:hAnsi="Times New Roman" w:cs="Times New Roman"/>
          <w:spacing w:val="-2"/>
          <w:sz w:val="31"/>
          <w:szCs w:val="31"/>
        </w:rPr>
        <w:t>1.</w:t>
      </w:r>
      <w:r>
        <w:rPr>
          <w:rFonts w:ascii="Times New Roman" w:eastAsia="Times New Roman" w:hAnsi="Times New Roman" w:cs="Times New Roman"/>
          <w:spacing w:val="63"/>
          <w:sz w:val="31"/>
          <w:szCs w:val="31"/>
        </w:rPr>
        <w:t xml:space="preserve"> </w:t>
      </w:r>
      <w:r>
        <w:rPr>
          <w:rFonts w:ascii="SimHei" w:eastAsia="SimHei" w:hAnsi="SimHei" w:cs="SimHei"/>
          <w:spacing w:val="-2"/>
          <w:sz w:val="31"/>
          <w:szCs w:val="31"/>
        </w:rPr>
        <w:t>运行状况</w:t>
      </w:r>
    </w:p>
    <w:p>
      <w:pPr>
        <w:spacing w:line="429" w:lineRule="auto"/>
        <w:rPr>
          <w:rFonts w:ascii="Arial"/>
          <w:sz w:val="21"/>
        </w:rPr>
      </w:pPr>
    </w:p>
    <w:p>
      <w:pPr>
        <w:spacing w:before="68" w:line="284" w:lineRule="auto"/>
        <w:ind w:left="36" w:right="23" w:firstLine="3"/>
        <w:jc w:val="both"/>
        <w:rPr>
          <w:rFonts w:ascii="SimSun" w:eastAsia="SimSun" w:hAnsi="SimSun" w:cs="SimSun"/>
          <w:sz w:val="21"/>
          <w:szCs w:val="21"/>
        </w:rPr>
      </w:pPr>
      <w:r>
        <w:rPr>
          <w:rFonts w:ascii="SimSun" w:eastAsia="SimSun" w:hAnsi="SimSun" w:cs="SimSun"/>
          <w:spacing w:val="-5"/>
          <w:sz w:val="21"/>
          <w:szCs w:val="21"/>
        </w:rPr>
        <w:t>软件与服务行业可细分为互联网软件与服务（简称“互联网行业”）、软件与信息技术服务（简称“软</w:t>
      </w:r>
      <w:r>
        <w:rPr>
          <w:rFonts w:ascii="SimSun" w:eastAsia="SimSun" w:hAnsi="SimSun" w:cs="SimSun"/>
          <w:spacing w:val="-6"/>
          <w:sz w:val="21"/>
          <w:szCs w:val="21"/>
        </w:rPr>
        <w:t>件行</w:t>
      </w:r>
      <w:r>
        <w:rPr>
          <w:rFonts w:ascii="SimSun" w:eastAsia="SimSun" w:hAnsi="SimSun" w:cs="SimSun"/>
          <w:sz w:val="21"/>
          <w:szCs w:val="21"/>
        </w:rPr>
        <w:t xml:space="preserve"> </w:t>
      </w:r>
      <w:r>
        <w:rPr>
          <w:rFonts w:ascii="SimSun" w:eastAsia="SimSun" w:hAnsi="SimSun" w:cs="SimSun"/>
          <w:spacing w:val="-7"/>
          <w:sz w:val="21"/>
          <w:szCs w:val="21"/>
        </w:rPr>
        <w:t>业”）以及作为支撑的数据中心基础设施（简称“数据中心行业”）等</w:t>
      </w:r>
      <w:r>
        <w:rPr>
          <w:rFonts w:ascii="SimSun" w:eastAsia="SimSun" w:hAnsi="SimSun" w:cs="SimSun"/>
          <w:spacing w:val="-36"/>
          <w:sz w:val="21"/>
          <w:szCs w:val="21"/>
        </w:rPr>
        <w:t xml:space="preserve"> </w:t>
      </w:r>
      <w:r>
        <w:rPr>
          <w:rFonts w:ascii="Times New Roman" w:eastAsia="Times New Roman" w:hAnsi="Times New Roman" w:cs="Times New Roman"/>
          <w:spacing w:val="-7"/>
          <w:sz w:val="21"/>
          <w:szCs w:val="21"/>
        </w:rPr>
        <w:t xml:space="preserve">3 </w:t>
      </w:r>
      <w:r>
        <w:rPr>
          <w:rFonts w:ascii="SimSun" w:eastAsia="SimSun" w:hAnsi="SimSun" w:cs="SimSun"/>
          <w:spacing w:val="-7"/>
          <w:sz w:val="21"/>
          <w:szCs w:val="21"/>
        </w:rPr>
        <w:t>个子行业，</w:t>
      </w:r>
      <w:r>
        <w:rPr>
          <w:rFonts w:ascii="SimSun" w:eastAsia="SimSun" w:hAnsi="SimSun" w:cs="SimSun"/>
          <w:spacing w:val="-24"/>
          <w:sz w:val="21"/>
          <w:szCs w:val="21"/>
        </w:rPr>
        <w:t xml:space="preserve"> </w:t>
      </w:r>
      <w:r>
        <w:rPr>
          <w:rFonts w:ascii="SimSun" w:eastAsia="SimSun" w:hAnsi="SimSun" w:cs="SimSun"/>
          <w:spacing w:val="-7"/>
          <w:sz w:val="21"/>
          <w:szCs w:val="21"/>
        </w:rPr>
        <w:t>其中软件行业又可以进</w:t>
      </w:r>
      <w:r>
        <w:rPr>
          <w:rFonts w:ascii="SimSun" w:eastAsia="SimSun" w:hAnsi="SimSun" w:cs="SimSun"/>
          <w:sz w:val="21"/>
          <w:szCs w:val="21"/>
        </w:rPr>
        <w:t xml:space="preserve"> </w:t>
      </w:r>
      <w:r>
        <w:rPr>
          <w:rFonts w:ascii="SimSun" w:eastAsia="SimSun" w:hAnsi="SimSun" w:cs="SimSun"/>
          <w:spacing w:val="-2"/>
          <w:sz w:val="21"/>
          <w:szCs w:val="21"/>
        </w:rPr>
        <w:t>一步细分为软件开发、数据处理与外包服务、信息科技咨询与其他等。</w:t>
      </w:r>
      <w:r>
        <w:rPr>
          <w:rFonts w:ascii="SimSun" w:eastAsia="SimSun" w:hAnsi="SimSun" w:cs="SimSun"/>
          <w:spacing w:val="-39"/>
          <w:sz w:val="21"/>
          <w:szCs w:val="21"/>
        </w:rPr>
        <w:t xml:space="preserve"> </w:t>
      </w:r>
      <w:r>
        <w:rPr>
          <w:rFonts w:ascii="SimSun" w:eastAsia="SimSun" w:hAnsi="SimSun" w:cs="SimSun"/>
          <w:spacing w:val="-2"/>
          <w:sz w:val="21"/>
          <w:szCs w:val="21"/>
        </w:rPr>
        <w:t>考虑到软件与服务行业的</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 xml:space="preserve">3 </w:t>
      </w:r>
      <w:r>
        <w:rPr>
          <w:rFonts w:ascii="SimSun" w:eastAsia="SimSun" w:hAnsi="SimSun" w:cs="SimSun"/>
          <w:spacing w:val="-3"/>
          <w:sz w:val="21"/>
          <w:szCs w:val="21"/>
        </w:rPr>
        <w:t>个子行</w:t>
      </w:r>
      <w:r>
        <w:rPr>
          <w:rFonts w:ascii="SimSun" w:eastAsia="SimSun" w:hAnsi="SimSun" w:cs="SimSun"/>
          <w:sz w:val="21"/>
          <w:szCs w:val="21"/>
        </w:rPr>
        <w:t xml:space="preserve"> </w:t>
      </w:r>
      <w:r>
        <w:rPr>
          <w:rFonts w:ascii="SimSun" w:eastAsia="SimSun" w:hAnsi="SimSun" w:cs="SimSun"/>
          <w:sz w:val="21"/>
          <w:szCs w:val="21"/>
        </w:rPr>
        <w:t>业在产品、业务模式、盈利模式和竞争要素等方面</w:t>
      </w:r>
      <w:r>
        <w:rPr>
          <w:rFonts w:ascii="SimSun" w:eastAsia="SimSun" w:hAnsi="SimSun" w:cs="SimSun"/>
          <w:spacing w:val="-1"/>
          <w:sz w:val="21"/>
          <w:szCs w:val="21"/>
        </w:rPr>
        <w:t>存在较明显的差异性，因此本文主要对三个子行业分别</w:t>
      </w:r>
      <w:r>
        <w:rPr>
          <w:rFonts w:ascii="SimSun" w:eastAsia="SimSun" w:hAnsi="SimSun" w:cs="SimSun"/>
          <w:sz w:val="21"/>
          <w:szCs w:val="21"/>
        </w:rPr>
        <w:t xml:space="preserve"> </w:t>
      </w:r>
      <w:r>
        <w:rPr>
          <w:rFonts w:ascii="SimSun" w:eastAsia="SimSun" w:hAnsi="SimSun" w:cs="SimSun"/>
          <w:spacing w:val="-4"/>
          <w:sz w:val="21"/>
          <w:szCs w:val="21"/>
        </w:rPr>
        <w:t>展开分析。</w:t>
      </w:r>
    </w:p>
    <w:p>
      <w:pPr>
        <w:spacing w:before="139" w:line="218" w:lineRule="auto"/>
        <w:ind w:left="469"/>
        <w:rPr>
          <w:rFonts w:ascii="SimHei" w:eastAsia="SimHei" w:hAnsi="SimHei" w:cs="SimHei"/>
          <w:sz w:val="18"/>
          <w:szCs w:val="18"/>
        </w:rPr>
      </w:pPr>
      <w:r>
        <w:rPr>
          <w:rFonts w:ascii="SimHei" w:eastAsia="SimHei" w:hAnsi="SimHei" w:cs="SimHei"/>
          <w:spacing w:val="-2"/>
          <w:sz w:val="18"/>
          <w:szCs w:val="18"/>
        </w:rPr>
        <w:t>图表</w:t>
      </w:r>
      <w:r>
        <w:rPr>
          <w:rFonts w:ascii="SimHei" w:eastAsia="SimHei" w:hAnsi="SimHei" w:cs="SimHei"/>
          <w:spacing w:val="-23"/>
          <w:sz w:val="18"/>
          <w:szCs w:val="18"/>
        </w:rPr>
        <w:t xml:space="preserve"> </w:t>
      </w:r>
      <w:r>
        <w:rPr>
          <w:rFonts w:ascii="Times New Roman" w:eastAsia="Times New Roman" w:hAnsi="Times New Roman" w:cs="Times New Roman"/>
          <w:spacing w:val="-2"/>
          <w:sz w:val="18"/>
          <w:szCs w:val="18"/>
        </w:rPr>
        <w:t xml:space="preserve">1.    </w:t>
      </w:r>
      <w:r>
        <w:rPr>
          <w:rFonts w:ascii="SimHei" w:eastAsia="SimHei" w:hAnsi="SimHei" w:cs="SimHei"/>
          <w:spacing w:val="-2"/>
          <w:sz w:val="18"/>
          <w:szCs w:val="18"/>
        </w:rPr>
        <w:t>软件与服务行业细分子行业</w:t>
      </w:r>
      <w:r>
        <w:rPr>
          <w:rFonts w:ascii="SimHei" w:eastAsia="SimHei" w:hAnsi="SimHei" w:cs="SimHei"/>
          <w:spacing w:val="-3"/>
          <w:sz w:val="18"/>
          <w:szCs w:val="18"/>
        </w:rPr>
        <w:t>定义</w:t>
      </w:r>
    </w:p>
    <w:tbl>
      <w:tblPr>
        <w:tblStyle w:val="TableNormal0"/>
        <w:tblW w:w="9640"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6"/>
        <w:gridCol w:w="840"/>
        <w:gridCol w:w="708"/>
        <w:gridCol w:w="1136"/>
        <w:gridCol w:w="849"/>
        <w:gridCol w:w="2696"/>
        <w:gridCol w:w="2835"/>
      </w:tblGrid>
      <w:tr>
        <w:tblPrEx>
          <w:tblW w:w="9640"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5"/>
        </w:trPr>
        <w:tc>
          <w:tcPr>
            <w:tcW w:w="1416" w:type="dxa"/>
            <w:gridSpan w:val="2"/>
            <w:tcBorders>
              <w:top w:val="single" w:sz="10" w:space="0" w:color="000000"/>
              <w:left w:val="nil"/>
            </w:tcBorders>
            <w:shd w:val="clear" w:color="auto" w:fill="D9D9D9"/>
            <w:vAlign w:val="top"/>
          </w:tcPr>
          <w:p>
            <w:pPr>
              <w:spacing w:before="28" w:line="205" w:lineRule="auto"/>
              <w:ind w:left="414"/>
              <w:rPr>
                <w:rFonts w:ascii="SimHei" w:eastAsia="SimHei" w:hAnsi="SimHei" w:cs="SimHei"/>
                <w:sz w:val="15"/>
                <w:szCs w:val="15"/>
              </w:rPr>
            </w:pPr>
            <w:r>
              <w:rPr>
                <w:rFonts w:ascii="SimHei" w:eastAsia="SimHei" w:hAnsi="SimHei" w:cs="SimHei"/>
                <w:spacing w:val="-1"/>
                <w:sz w:val="15"/>
                <w:szCs w:val="15"/>
              </w:rPr>
              <w:t>行业分类</w:t>
            </w:r>
          </w:p>
        </w:tc>
        <w:tc>
          <w:tcPr>
            <w:tcW w:w="708" w:type="dxa"/>
            <w:vMerge w:val="restart"/>
            <w:tcBorders>
              <w:top w:val="single" w:sz="10" w:space="0" w:color="000000"/>
              <w:bottom w:val="nil"/>
            </w:tcBorders>
            <w:shd w:val="clear" w:color="auto" w:fill="D9D9D9"/>
            <w:vAlign w:val="top"/>
          </w:tcPr>
          <w:p>
            <w:pPr>
              <w:spacing w:before="131" w:line="232" w:lineRule="auto"/>
              <w:ind w:left="283" w:right="124" w:hanging="153"/>
              <w:rPr>
                <w:rFonts w:ascii="SimHei" w:eastAsia="SimHei" w:hAnsi="SimHei" w:cs="SimHei"/>
                <w:sz w:val="15"/>
                <w:szCs w:val="15"/>
              </w:rPr>
            </w:pPr>
            <w:r>
              <w:rPr>
                <w:rFonts w:ascii="SimHei" w:eastAsia="SimHei" w:hAnsi="SimHei" w:cs="SimHei"/>
                <w:spacing w:val="-1"/>
                <w:sz w:val="15"/>
                <w:szCs w:val="15"/>
              </w:rPr>
              <w:t>技术壁</w:t>
            </w:r>
            <w:r>
              <w:rPr>
                <w:rFonts w:ascii="SimHei" w:eastAsia="SimHei" w:hAnsi="SimHei" w:cs="SimHei"/>
                <w:sz w:val="15"/>
                <w:szCs w:val="15"/>
              </w:rPr>
              <w:t xml:space="preserve"> </w:t>
            </w:r>
            <w:r>
              <w:rPr>
                <w:rFonts w:ascii="SimHei" w:eastAsia="SimHei" w:hAnsi="SimHei" w:cs="SimHei"/>
                <w:sz w:val="15"/>
                <w:szCs w:val="15"/>
              </w:rPr>
              <w:t>垒</w:t>
            </w:r>
          </w:p>
        </w:tc>
        <w:tc>
          <w:tcPr>
            <w:tcW w:w="1136" w:type="dxa"/>
            <w:vMerge w:val="restart"/>
            <w:tcBorders>
              <w:top w:val="single" w:sz="10" w:space="0" w:color="000000"/>
              <w:bottom w:val="nil"/>
            </w:tcBorders>
            <w:shd w:val="clear" w:color="auto" w:fill="D9D9D9"/>
            <w:vAlign w:val="top"/>
          </w:tcPr>
          <w:p>
            <w:pPr>
              <w:spacing w:before="222" w:line="220" w:lineRule="auto"/>
              <w:ind w:left="194"/>
              <w:rPr>
                <w:rFonts w:ascii="SimHei" w:eastAsia="SimHei" w:hAnsi="SimHei" w:cs="SimHei"/>
                <w:sz w:val="15"/>
                <w:szCs w:val="15"/>
              </w:rPr>
            </w:pPr>
            <w:r>
              <w:rPr>
                <w:rFonts w:ascii="SimHei" w:eastAsia="SimHei" w:hAnsi="SimHei" w:cs="SimHei"/>
                <w:spacing w:val="-1"/>
                <w:sz w:val="15"/>
                <w:szCs w:val="15"/>
              </w:rPr>
              <w:t>核心竞争力</w:t>
            </w:r>
          </w:p>
        </w:tc>
        <w:tc>
          <w:tcPr>
            <w:tcW w:w="849" w:type="dxa"/>
            <w:vMerge w:val="restart"/>
            <w:tcBorders>
              <w:top w:val="single" w:sz="10" w:space="0" w:color="000000"/>
              <w:bottom w:val="nil"/>
            </w:tcBorders>
            <w:shd w:val="clear" w:color="auto" w:fill="D9D9D9"/>
            <w:vAlign w:val="top"/>
          </w:tcPr>
          <w:p>
            <w:pPr>
              <w:spacing w:before="131" w:line="239" w:lineRule="auto"/>
              <w:ind w:left="275"/>
              <w:rPr>
                <w:rFonts w:ascii="SimHei" w:eastAsia="SimHei" w:hAnsi="SimHei" w:cs="SimHei"/>
                <w:sz w:val="15"/>
                <w:szCs w:val="15"/>
              </w:rPr>
            </w:pPr>
            <w:r>
              <w:rPr>
                <w:rFonts w:ascii="SimHei" w:eastAsia="SimHei" w:hAnsi="SimHei" w:cs="SimHei"/>
                <w:spacing w:val="-1"/>
                <w:sz w:val="15"/>
                <w:szCs w:val="15"/>
              </w:rPr>
              <w:t>盈利</w:t>
            </w:r>
          </w:p>
          <w:p>
            <w:pPr>
              <w:spacing w:line="219" w:lineRule="auto"/>
              <w:ind w:left="279"/>
              <w:rPr>
                <w:rFonts w:ascii="SimHei" w:eastAsia="SimHei" w:hAnsi="SimHei" w:cs="SimHei"/>
                <w:sz w:val="15"/>
                <w:szCs w:val="15"/>
              </w:rPr>
            </w:pPr>
            <w:r>
              <w:rPr>
                <w:rFonts w:ascii="SimHei" w:eastAsia="SimHei" w:hAnsi="SimHei" w:cs="SimHei"/>
                <w:spacing w:val="-2"/>
                <w:sz w:val="15"/>
                <w:szCs w:val="15"/>
              </w:rPr>
              <w:t>来源</w:t>
            </w:r>
          </w:p>
        </w:tc>
        <w:tc>
          <w:tcPr>
            <w:tcW w:w="2696" w:type="dxa"/>
            <w:vMerge w:val="restart"/>
            <w:tcBorders>
              <w:top w:val="single" w:sz="10" w:space="0" w:color="000000"/>
              <w:bottom w:val="nil"/>
            </w:tcBorders>
            <w:shd w:val="clear" w:color="auto" w:fill="D9D9D9"/>
            <w:vAlign w:val="top"/>
          </w:tcPr>
          <w:p>
            <w:pPr>
              <w:spacing w:before="222" w:line="222" w:lineRule="auto"/>
              <w:ind w:left="1199"/>
              <w:rPr>
                <w:rFonts w:ascii="SimHei" w:eastAsia="SimHei" w:hAnsi="SimHei" w:cs="SimHei"/>
                <w:sz w:val="15"/>
                <w:szCs w:val="15"/>
              </w:rPr>
            </w:pPr>
            <w:r>
              <w:rPr>
                <w:rFonts w:ascii="SimHei" w:eastAsia="SimHei" w:hAnsi="SimHei" w:cs="SimHei"/>
                <w:spacing w:val="-1"/>
                <w:sz w:val="15"/>
                <w:szCs w:val="15"/>
              </w:rPr>
              <w:t>定义</w:t>
            </w:r>
          </w:p>
        </w:tc>
        <w:tc>
          <w:tcPr>
            <w:tcW w:w="2835" w:type="dxa"/>
            <w:vMerge w:val="restart"/>
            <w:tcBorders>
              <w:top w:val="single" w:sz="10" w:space="0" w:color="000000"/>
              <w:bottom w:val="nil"/>
              <w:right w:val="nil"/>
            </w:tcBorders>
            <w:shd w:val="clear" w:color="auto" w:fill="D9D9D9"/>
            <w:vAlign w:val="top"/>
          </w:tcPr>
          <w:p>
            <w:pPr>
              <w:spacing w:before="222" w:line="221" w:lineRule="auto"/>
              <w:ind w:left="819"/>
              <w:rPr>
                <w:rFonts w:ascii="SimHei" w:eastAsia="SimHei" w:hAnsi="SimHei" w:cs="SimHei"/>
                <w:sz w:val="15"/>
                <w:szCs w:val="15"/>
              </w:rPr>
            </w:pPr>
            <w:r>
              <w:rPr>
                <w:rFonts w:ascii="SimHei" w:eastAsia="SimHei" w:hAnsi="SimHei" w:cs="SimHei"/>
                <w:spacing w:val="-1"/>
                <w:sz w:val="15"/>
                <w:szCs w:val="15"/>
              </w:rPr>
              <w:t>代表性企业及产品</w:t>
            </w:r>
          </w:p>
        </w:tc>
      </w:tr>
      <w:tr>
        <w:tblPrEx>
          <w:tblW w:w="9640" w:type="dxa"/>
          <w:tblInd w:w="28" w:type="dxa"/>
          <w:tblLayout w:type="fixed"/>
        </w:tblPrEx>
        <w:trPr>
          <w:trHeight w:val="394"/>
        </w:trPr>
        <w:tc>
          <w:tcPr>
            <w:tcW w:w="576" w:type="dxa"/>
            <w:tcBorders>
              <w:left w:val="nil"/>
            </w:tcBorders>
            <w:shd w:val="clear" w:color="auto" w:fill="D9D9D9"/>
            <w:vAlign w:val="top"/>
          </w:tcPr>
          <w:p>
            <w:pPr>
              <w:spacing w:before="120" w:line="220" w:lineRule="auto"/>
              <w:ind w:left="65"/>
              <w:rPr>
                <w:rFonts w:ascii="SimHei" w:eastAsia="SimHei" w:hAnsi="SimHei" w:cs="SimHei"/>
                <w:sz w:val="15"/>
                <w:szCs w:val="15"/>
              </w:rPr>
            </w:pPr>
            <w:r>
              <w:rPr>
                <w:rFonts w:ascii="SimHei" w:eastAsia="SimHei" w:hAnsi="SimHei" w:cs="SimHei"/>
                <w:spacing w:val="-2"/>
                <w:sz w:val="15"/>
                <w:szCs w:val="15"/>
              </w:rPr>
              <w:t>子行业</w:t>
            </w:r>
          </w:p>
        </w:tc>
        <w:tc>
          <w:tcPr>
            <w:tcW w:w="840" w:type="dxa"/>
            <w:shd w:val="clear" w:color="auto" w:fill="D9D9D9"/>
            <w:vAlign w:val="top"/>
          </w:tcPr>
          <w:p>
            <w:pPr>
              <w:spacing w:before="24" w:line="239" w:lineRule="auto"/>
              <w:ind w:left="274"/>
              <w:rPr>
                <w:rFonts w:ascii="SimHei" w:eastAsia="SimHei" w:hAnsi="SimHei" w:cs="SimHei"/>
                <w:sz w:val="15"/>
                <w:szCs w:val="15"/>
              </w:rPr>
            </w:pPr>
            <w:r>
              <w:rPr>
                <w:rFonts w:ascii="SimHei" w:eastAsia="SimHei" w:hAnsi="SimHei" w:cs="SimHei"/>
                <w:spacing w:val="-2"/>
                <w:sz w:val="15"/>
                <w:szCs w:val="15"/>
              </w:rPr>
              <w:t>细分</w:t>
            </w:r>
          </w:p>
          <w:p>
            <w:pPr>
              <w:spacing w:line="203" w:lineRule="auto"/>
              <w:ind w:left="272"/>
              <w:rPr>
                <w:rFonts w:ascii="SimHei" w:eastAsia="SimHei" w:hAnsi="SimHei" w:cs="SimHei"/>
                <w:sz w:val="15"/>
                <w:szCs w:val="15"/>
              </w:rPr>
            </w:pPr>
            <w:r>
              <w:rPr>
                <w:rFonts w:ascii="SimHei" w:eastAsia="SimHei" w:hAnsi="SimHei" w:cs="SimHei"/>
                <w:spacing w:val="-1"/>
                <w:sz w:val="15"/>
                <w:szCs w:val="15"/>
              </w:rPr>
              <w:t>行业</w:t>
            </w:r>
          </w:p>
        </w:tc>
        <w:tc>
          <w:tcPr>
            <w:tcW w:w="708" w:type="dxa"/>
            <w:vMerge/>
            <w:tcBorders>
              <w:top w:val="nil"/>
            </w:tcBorders>
            <w:vAlign w:val="top"/>
          </w:tcPr>
          <w:p>
            <w:pPr>
              <w:rPr>
                <w:rFonts w:ascii="Arial"/>
                <w:sz w:val="21"/>
              </w:rPr>
            </w:pPr>
          </w:p>
        </w:tc>
        <w:tc>
          <w:tcPr>
            <w:tcW w:w="1136" w:type="dxa"/>
            <w:vMerge/>
            <w:tcBorders>
              <w:top w:val="nil"/>
            </w:tcBorders>
            <w:vAlign w:val="top"/>
          </w:tcPr>
          <w:p>
            <w:pPr>
              <w:rPr>
                <w:rFonts w:ascii="Arial"/>
                <w:sz w:val="21"/>
              </w:rPr>
            </w:pPr>
          </w:p>
        </w:tc>
        <w:tc>
          <w:tcPr>
            <w:tcW w:w="849" w:type="dxa"/>
            <w:vMerge/>
            <w:tcBorders>
              <w:top w:val="nil"/>
            </w:tcBorders>
            <w:vAlign w:val="top"/>
          </w:tcPr>
          <w:p>
            <w:pPr>
              <w:rPr>
                <w:rFonts w:ascii="Arial"/>
                <w:sz w:val="21"/>
              </w:rPr>
            </w:pPr>
          </w:p>
        </w:tc>
        <w:tc>
          <w:tcPr>
            <w:tcW w:w="2696" w:type="dxa"/>
            <w:vMerge/>
            <w:tcBorders>
              <w:top w:val="nil"/>
            </w:tcBorders>
            <w:vAlign w:val="top"/>
          </w:tcPr>
          <w:p>
            <w:pPr>
              <w:rPr>
                <w:rFonts w:ascii="Arial"/>
                <w:sz w:val="21"/>
              </w:rPr>
            </w:pPr>
          </w:p>
        </w:tc>
        <w:tc>
          <w:tcPr>
            <w:tcW w:w="2835" w:type="dxa"/>
            <w:vMerge/>
            <w:tcBorders>
              <w:top w:val="nil"/>
              <w:right w:val="nil"/>
            </w:tcBorders>
            <w:vAlign w:val="top"/>
          </w:tcPr>
          <w:p>
            <w:pPr>
              <w:rPr>
                <w:rFonts w:ascii="Arial"/>
                <w:sz w:val="21"/>
              </w:rPr>
            </w:pPr>
          </w:p>
        </w:tc>
      </w:tr>
      <w:tr>
        <w:tblPrEx>
          <w:tblW w:w="9640" w:type="dxa"/>
          <w:tblInd w:w="28" w:type="dxa"/>
          <w:tblLayout w:type="fixed"/>
        </w:tblPrEx>
        <w:trPr>
          <w:trHeight w:val="1230"/>
        </w:trPr>
        <w:tc>
          <w:tcPr>
            <w:tcW w:w="576" w:type="dxa"/>
            <w:tcBorders>
              <w:left w:val="nil"/>
            </w:tcBorders>
            <w:vAlign w:val="top"/>
          </w:tcPr>
          <w:p>
            <w:pPr>
              <w:pStyle w:val="TableText"/>
              <w:spacing w:before="247" w:line="242" w:lineRule="auto"/>
              <w:ind w:left="145"/>
            </w:pPr>
            <w:r>
              <w:rPr>
                <w:spacing w:val="-2"/>
              </w:rPr>
              <w:t>互联</w:t>
            </w:r>
          </w:p>
          <w:p>
            <w:pPr>
              <w:pStyle w:val="TableText"/>
              <w:spacing w:line="221" w:lineRule="auto"/>
              <w:ind w:left="154"/>
            </w:pPr>
            <w:r>
              <w:rPr>
                <w:spacing w:val="-4"/>
              </w:rPr>
              <w:t>网软</w:t>
            </w:r>
          </w:p>
          <w:p>
            <w:pPr>
              <w:pStyle w:val="TableText"/>
              <w:spacing w:before="14" w:line="221" w:lineRule="auto"/>
              <w:ind w:left="142"/>
            </w:pPr>
            <w:r>
              <w:rPr>
                <w:spacing w:val="-1"/>
              </w:rPr>
              <w:t>件与</w:t>
            </w:r>
          </w:p>
          <w:p>
            <w:pPr>
              <w:pStyle w:val="TableText"/>
              <w:spacing w:before="12" w:line="221" w:lineRule="auto"/>
              <w:ind w:left="143"/>
            </w:pPr>
            <w:r>
              <w:rPr>
                <w:spacing w:val="-1"/>
              </w:rPr>
              <w:t>服务</w:t>
            </w:r>
          </w:p>
        </w:tc>
        <w:tc>
          <w:tcPr>
            <w:tcW w:w="840" w:type="dxa"/>
            <w:vAlign w:val="top"/>
          </w:tcPr>
          <w:p>
            <w:pPr>
              <w:spacing w:line="289" w:lineRule="auto"/>
              <w:rPr>
                <w:rFonts w:ascii="Arial"/>
                <w:sz w:val="21"/>
              </w:rPr>
            </w:pPr>
          </w:p>
          <w:p>
            <w:pPr>
              <w:spacing w:line="289" w:lineRule="auto"/>
              <w:rPr>
                <w:rFonts w:ascii="Arial"/>
                <w:sz w:val="21"/>
              </w:rPr>
            </w:pPr>
          </w:p>
          <w:p>
            <w:pPr>
              <w:spacing w:before="43" w:line="72" w:lineRule="exact"/>
              <w:ind w:left="349"/>
              <w:rPr>
                <w:rFonts w:ascii="Times New Roman" w:eastAsia="Times New Roman" w:hAnsi="Times New Roman" w:cs="Times New Roman"/>
                <w:sz w:val="15"/>
                <w:szCs w:val="15"/>
              </w:rPr>
            </w:pPr>
            <w:r>
              <w:rPr>
                <w:rFonts w:ascii="Times New Roman" w:eastAsia="Times New Roman" w:hAnsi="Times New Roman" w:cs="Times New Roman"/>
                <w:spacing w:val="-2"/>
                <w:position w:val="-1"/>
                <w:sz w:val="15"/>
                <w:szCs w:val="15"/>
              </w:rPr>
              <w:t>---</w:t>
            </w:r>
          </w:p>
        </w:tc>
        <w:tc>
          <w:tcPr>
            <w:tcW w:w="708" w:type="dxa"/>
            <w:vAlign w:val="top"/>
          </w:tcPr>
          <w:p>
            <w:pPr>
              <w:spacing w:line="243" w:lineRule="auto"/>
              <w:rPr>
                <w:rFonts w:ascii="Arial"/>
                <w:sz w:val="21"/>
              </w:rPr>
            </w:pPr>
          </w:p>
          <w:p>
            <w:pPr>
              <w:spacing w:line="244" w:lineRule="auto"/>
              <w:rPr>
                <w:rFonts w:ascii="Arial"/>
                <w:sz w:val="21"/>
              </w:rPr>
            </w:pPr>
          </w:p>
          <w:p>
            <w:pPr>
              <w:pStyle w:val="TableText"/>
              <w:spacing w:before="49" w:line="222" w:lineRule="auto"/>
              <w:ind w:left="222"/>
            </w:pPr>
            <w:r>
              <w:rPr>
                <w:spacing w:val="-5"/>
              </w:rPr>
              <w:t>中低</w:t>
            </w:r>
          </w:p>
        </w:tc>
        <w:tc>
          <w:tcPr>
            <w:tcW w:w="1136" w:type="dxa"/>
            <w:vAlign w:val="top"/>
          </w:tcPr>
          <w:p>
            <w:pPr>
              <w:pStyle w:val="TableText"/>
              <w:spacing w:before="53" w:line="236" w:lineRule="auto"/>
              <w:ind w:left="112" w:right="104"/>
            </w:pPr>
            <w:r>
              <w:rPr>
                <w:spacing w:val="2"/>
              </w:rPr>
              <w:t>技术创新、用</w:t>
            </w:r>
            <w:r>
              <w:rPr>
                <w:spacing w:val="1"/>
              </w:rPr>
              <w:t xml:space="preserve"> </w:t>
            </w:r>
            <w:r>
              <w:rPr>
                <w:spacing w:val="2"/>
              </w:rPr>
              <w:t>户体验、数据</w:t>
            </w:r>
            <w:r>
              <w:rPr>
                <w:spacing w:val="1"/>
              </w:rPr>
              <w:t xml:space="preserve"> </w:t>
            </w:r>
            <w:r>
              <w:rPr>
                <w:spacing w:val="-2"/>
              </w:rPr>
              <w:t>驱动的运营、</w:t>
            </w:r>
            <w:r>
              <w:rPr>
                <w:spacing w:val="2"/>
              </w:rPr>
              <w:t xml:space="preserve"> </w:t>
            </w:r>
            <w:r>
              <w:rPr>
                <w:spacing w:val="2"/>
              </w:rPr>
              <w:t>高效的营销策</w:t>
            </w:r>
            <w:r>
              <w:rPr>
                <w:spacing w:val="1"/>
              </w:rPr>
              <w:t xml:space="preserve"> </w:t>
            </w:r>
            <w:r>
              <w:rPr>
                <w:spacing w:val="2"/>
              </w:rPr>
              <w:t>略和良好的品</w:t>
            </w:r>
            <w:r>
              <w:rPr>
                <w:spacing w:val="1"/>
              </w:rPr>
              <w:t xml:space="preserve"> </w:t>
            </w:r>
            <w:r>
              <w:rPr>
                <w:spacing w:val="-1"/>
              </w:rPr>
              <w:t>牌声誉等</w:t>
            </w:r>
          </w:p>
        </w:tc>
        <w:tc>
          <w:tcPr>
            <w:tcW w:w="849" w:type="dxa"/>
            <w:vAlign w:val="top"/>
          </w:tcPr>
          <w:p>
            <w:pPr>
              <w:pStyle w:val="TableText"/>
              <w:spacing w:before="149" w:line="236" w:lineRule="auto"/>
              <w:ind w:left="110" w:right="102"/>
              <w:jc w:val="both"/>
            </w:pPr>
            <w:r>
              <w:rPr>
                <w:spacing w:val="-8"/>
              </w:rPr>
              <w:t>广</w:t>
            </w:r>
            <w:r>
              <w:rPr>
                <w:spacing w:val="25"/>
              </w:rPr>
              <w:t xml:space="preserve"> </w:t>
            </w:r>
            <w:r>
              <w:rPr>
                <w:spacing w:val="-8"/>
              </w:rPr>
              <w:t>告</w:t>
            </w:r>
            <w:r>
              <w:rPr>
                <w:spacing w:val="28"/>
              </w:rPr>
              <w:t xml:space="preserve"> </w:t>
            </w:r>
            <w:r>
              <w:rPr>
                <w:spacing w:val="-8"/>
              </w:rPr>
              <w:t>收</w:t>
            </w:r>
            <w:r>
              <w:t xml:space="preserve"> </w:t>
            </w:r>
            <w:r>
              <w:rPr>
                <w:spacing w:val="7"/>
              </w:rPr>
              <w:t>入、佣金</w:t>
            </w:r>
            <w:r>
              <w:rPr>
                <w:spacing w:val="1"/>
              </w:rPr>
              <w:t xml:space="preserve"> </w:t>
            </w:r>
            <w:r>
              <w:rPr>
                <w:spacing w:val="7"/>
              </w:rPr>
              <w:t>收入和增</w:t>
            </w:r>
            <w:r>
              <w:rPr>
                <w:spacing w:val="1"/>
              </w:rPr>
              <w:t xml:space="preserve"> </w:t>
            </w:r>
            <w:r>
              <w:rPr>
                <w:spacing w:val="7"/>
              </w:rPr>
              <w:t>值服务收</w:t>
            </w:r>
            <w:r>
              <w:rPr>
                <w:spacing w:val="1"/>
              </w:rPr>
              <w:t xml:space="preserve"> </w:t>
            </w:r>
            <w:r>
              <w:rPr>
                <w:spacing w:val="-1"/>
              </w:rPr>
              <w:t>入等</w:t>
            </w:r>
          </w:p>
        </w:tc>
        <w:tc>
          <w:tcPr>
            <w:tcW w:w="2696" w:type="dxa"/>
            <w:vAlign w:val="top"/>
          </w:tcPr>
          <w:p>
            <w:pPr>
              <w:pStyle w:val="TableText"/>
              <w:spacing w:before="53" w:line="236" w:lineRule="auto"/>
              <w:ind w:left="113" w:right="103"/>
              <w:jc w:val="both"/>
            </w:pPr>
            <w:r>
              <w:rPr>
                <w:spacing w:val="4"/>
              </w:rPr>
              <w:t>通过一系列的在线互联网软件平台和</w:t>
            </w:r>
            <w:r>
              <w:rPr>
                <w:spacing w:val="6"/>
              </w:rPr>
              <w:t xml:space="preserve"> </w:t>
            </w:r>
            <w:r>
              <w:rPr>
                <w:spacing w:val="-8"/>
              </w:rPr>
              <w:t>应用，</w:t>
            </w:r>
            <w:r>
              <w:rPr>
                <w:spacing w:val="-17"/>
              </w:rPr>
              <w:t xml:space="preserve"> </w:t>
            </w:r>
            <w:r>
              <w:rPr>
                <w:spacing w:val="-8"/>
              </w:rPr>
              <w:t>包括搜索引擎、社交媒体、电子</w:t>
            </w:r>
            <w:r>
              <w:t xml:space="preserve"> </w:t>
            </w:r>
            <w:r>
              <w:rPr>
                <w:spacing w:val="-5"/>
              </w:rPr>
              <w:t>商务、在线广告、流媒体服务、在线游</w:t>
            </w:r>
            <w:r>
              <w:rPr>
                <w:spacing w:val="7"/>
              </w:rPr>
              <w:t xml:space="preserve"> </w:t>
            </w:r>
            <w:r>
              <w:rPr>
                <w:spacing w:val="-8"/>
              </w:rPr>
              <w:t>戏等，</w:t>
            </w:r>
            <w:r>
              <w:rPr>
                <w:spacing w:val="-17"/>
              </w:rPr>
              <w:t xml:space="preserve"> </w:t>
            </w:r>
            <w:r>
              <w:rPr>
                <w:spacing w:val="-8"/>
              </w:rPr>
              <w:t>为用户提供搜索信息、购物、看</w:t>
            </w:r>
            <w:r>
              <w:t xml:space="preserve"> </w:t>
            </w:r>
            <w:r>
              <w:rPr>
                <w:spacing w:val="-5"/>
              </w:rPr>
              <w:t>电影、听音乐、玩游戏、交流和社交等</w:t>
            </w:r>
            <w:r>
              <w:rPr>
                <w:spacing w:val="7"/>
              </w:rPr>
              <w:t xml:space="preserve"> </w:t>
            </w:r>
            <w:r>
              <w:rPr>
                <w:spacing w:val="-6"/>
              </w:rPr>
              <w:t>服务。</w:t>
            </w:r>
          </w:p>
        </w:tc>
        <w:tc>
          <w:tcPr>
            <w:tcW w:w="2835" w:type="dxa"/>
            <w:tcBorders>
              <w:right w:val="nil"/>
            </w:tcBorders>
            <w:vAlign w:val="top"/>
          </w:tcPr>
          <w:p>
            <w:pPr>
              <w:spacing w:line="390" w:lineRule="auto"/>
              <w:rPr>
                <w:rFonts w:ascii="Arial"/>
                <w:sz w:val="21"/>
              </w:rPr>
            </w:pPr>
          </w:p>
          <w:p>
            <w:pPr>
              <w:pStyle w:val="TableText"/>
              <w:spacing w:before="49" w:line="230" w:lineRule="auto"/>
              <w:ind w:left="111" w:right="53" w:firstLine="5"/>
            </w:pPr>
            <w:r>
              <w:rPr>
                <w:spacing w:val="-17"/>
              </w:rPr>
              <w:t>百度搜索（百度公司）、淘宝（阿里巴巴）、</w:t>
            </w:r>
            <w:r>
              <w:t xml:space="preserve"> </w:t>
            </w:r>
            <w:r>
              <w:rPr>
                <w:spacing w:val="-6"/>
              </w:rPr>
              <w:t>微信（腾讯）、抖音（字节跳动）等</w:t>
            </w:r>
          </w:p>
        </w:tc>
      </w:tr>
      <w:tr>
        <w:tblPrEx>
          <w:tblW w:w="9640" w:type="dxa"/>
          <w:tblInd w:w="28" w:type="dxa"/>
          <w:tblLayout w:type="fixed"/>
        </w:tblPrEx>
        <w:trPr>
          <w:trHeight w:val="2489"/>
        </w:trPr>
        <w:tc>
          <w:tcPr>
            <w:tcW w:w="576" w:type="dxa"/>
            <w:vMerge w:val="restart"/>
            <w:tcBorders>
              <w:left w:val="nil"/>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48" w:line="242" w:lineRule="auto"/>
              <w:ind w:left="144"/>
            </w:pPr>
            <w:r>
              <w:rPr>
                <w:spacing w:val="-2"/>
              </w:rPr>
              <w:t>软件</w:t>
            </w:r>
          </w:p>
          <w:p>
            <w:pPr>
              <w:pStyle w:val="TableText"/>
              <w:spacing w:line="220" w:lineRule="auto"/>
              <w:ind w:left="146"/>
            </w:pPr>
            <w:r>
              <w:rPr>
                <w:spacing w:val="-2"/>
              </w:rPr>
              <w:t>与信</w:t>
            </w:r>
          </w:p>
          <w:p>
            <w:pPr>
              <w:pStyle w:val="TableText"/>
              <w:spacing w:before="15" w:line="222" w:lineRule="auto"/>
              <w:ind w:left="149"/>
            </w:pPr>
            <w:r>
              <w:rPr>
                <w:spacing w:val="-3"/>
              </w:rPr>
              <w:t>息技</w:t>
            </w:r>
          </w:p>
          <w:p>
            <w:pPr>
              <w:pStyle w:val="TableText"/>
              <w:spacing w:before="13" w:line="221" w:lineRule="auto"/>
              <w:ind w:left="144"/>
            </w:pPr>
            <w:r>
              <w:rPr>
                <w:spacing w:val="-2"/>
              </w:rPr>
              <w:t>术服</w:t>
            </w:r>
          </w:p>
          <w:p>
            <w:pPr>
              <w:pStyle w:val="TableText"/>
              <w:spacing w:before="13" w:line="221" w:lineRule="auto"/>
              <w:ind w:left="218"/>
            </w:pPr>
            <w:r>
              <w:t>务</w:t>
            </w:r>
          </w:p>
        </w:tc>
        <w:tc>
          <w:tcPr>
            <w:tcW w:w="840"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48" w:line="221" w:lineRule="auto"/>
              <w:ind w:left="125"/>
            </w:pPr>
            <w:r>
              <w:rPr>
                <w:spacing w:val="-2"/>
              </w:rPr>
              <w:t>软件开发</w:t>
            </w:r>
          </w:p>
        </w:tc>
        <w:tc>
          <w:tcPr>
            <w:tcW w:w="708"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48" w:line="221" w:lineRule="auto"/>
              <w:ind w:left="222"/>
            </w:pPr>
            <w:r>
              <w:rPr>
                <w:spacing w:val="-5"/>
              </w:rPr>
              <w:t>中高</w:t>
            </w:r>
          </w:p>
        </w:tc>
        <w:tc>
          <w:tcPr>
            <w:tcW w:w="1136"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49" w:line="220" w:lineRule="auto"/>
              <w:ind w:left="112"/>
            </w:pPr>
            <w:r>
              <w:rPr>
                <w:spacing w:val="-1"/>
              </w:rPr>
              <w:t>技术和资本</w:t>
            </w:r>
          </w:p>
        </w:tc>
        <w:tc>
          <w:tcPr>
            <w:tcW w:w="849"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49" w:line="230" w:lineRule="auto"/>
              <w:ind w:left="112" w:right="102" w:firstLine="1"/>
            </w:pPr>
            <w:r>
              <w:rPr>
                <w:spacing w:val="6"/>
              </w:rPr>
              <w:t>软件产品</w:t>
            </w:r>
            <w:r>
              <w:rPr>
                <w:spacing w:val="2"/>
              </w:rPr>
              <w:t xml:space="preserve"> </w:t>
            </w:r>
            <w:r>
              <w:rPr>
                <w:spacing w:val="-1"/>
              </w:rPr>
              <w:t>销售收入</w:t>
            </w:r>
          </w:p>
        </w:tc>
        <w:tc>
          <w:tcPr>
            <w:tcW w:w="2696" w:type="dxa"/>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49" w:line="235" w:lineRule="auto"/>
              <w:ind w:left="113" w:right="102"/>
              <w:jc w:val="both"/>
            </w:pPr>
            <w:r>
              <w:rPr>
                <w:spacing w:val="-5"/>
              </w:rPr>
              <w:t>根据用户的需求，程序员使用许多特定</w:t>
            </w:r>
            <w:r>
              <w:rPr>
                <w:spacing w:val="7"/>
              </w:rPr>
              <w:t xml:space="preserve"> </w:t>
            </w:r>
            <w:r>
              <w:t>的程序设计语言和</w:t>
            </w:r>
            <w:r>
              <w:rPr>
                <w:rFonts w:ascii="Times New Roman" w:eastAsia="Times New Roman" w:hAnsi="Times New Roman" w:cs="Times New Roman"/>
              </w:rPr>
              <w:t>“</w:t>
            </w:r>
            <w:r>
              <w:t>技术去写一段电脑</w:t>
            </w:r>
            <w:r>
              <w:rPr>
                <w:spacing w:val="6"/>
              </w:rPr>
              <w:t xml:space="preserve"> </w:t>
            </w:r>
            <w:r>
              <w:rPr>
                <w:spacing w:val="2"/>
              </w:rPr>
              <w:t>程序，</w:t>
            </w:r>
            <w:r>
              <w:rPr>
                <w:spacing w:val="-36"/>
              </w:rPr>
              <w:t xml:space="preserve"> </w:t>
            </w:r>
            <w:r>
              <w:rPr>
                <w:spacing w:val="2"/>
              </w:rPr>
              <w:t>以便实现计算机系统的正确运</w:t>
            </w:r>
            <w:r>
              <w:t xml:space="preserve"> </w:t>
            </w:r>
            <w:r>
              <w:rPr>
                <w:spacing w:val="-1"/>
              </w:rPr>
              <w:t>行，完成特定的任务。</w:t>
            </w:r>
          </w:p>
        </w:tc>
        <w:tc>
          <w:tcPr>
            <w:tcW w:w="2835" w:type="dxa"/>
            <w:tcBorders>
              <w:right w:val="nil"/>
            </w:tcBorders>
            <w:vAlign w:val="top"/>
          </w:tcPr>
          <w:p>
            <w:pPr>
              <w:pStyle w:val="TableText"/>
              <w:spacing w:before="56" w:line="222" w:lineRule="auto"/>
              <w:ind w:left="114"/>
            </w:pPr>
            <w:r>
              <w:rPr>
                <w:spacing w:val="-5"/>
              </w:rPr>
              <w:t>具体包括：</w:t>
            </w:r>
          </w:p>
          <w:p>
            <w:pPr>
              <w:pStyle w:val="TableText"/>
              <w:spacing w:before="47" w:line="234" w:lineRule="auto"/>
              <w:ind w:left="111" w:firstLine="3"/>
            </w:pPr>
            <w:r>
              <w:rPr>
                <w:spacing w:val="-7"/>
              </w:rPr>
              <w:t>系统软件，</w:t>
            </w:r>
            <w:r>
              <w:rPr>
                <w:spacing w:val="19"/>
              </w:rPr>
              <w:t xml:space="preserve"> </w:t>
            </w:r>
            <w:r>
              <w:rPr>
                <w:spacing w:val="-7"/>
              </w:rPr>
              <w:t xml:space="preserve">指支持计算机硬件和其他软件 </w:t>
            </w:r>
            <w:r>
              <w:rPr>
                <w:spacing w:val="-10"/>
              </w:rPr>
              <w:t>运行的基础软件，如操作系统（微软）、数</w:t>
            </w:r>
            <w:r>
              <w:rPr>
                <w:spacing w:val="9"/>
              </w:rPr>
              <w:t xml:space="preserve"> </w:t>
            </w:r>
            <w:r>
              <w:rPr>
                <w:spacing w:val="-21"/>
              </w:rPr>
              <w:t>据库管理系统（甲骨文）、中间件（东方通）、</w:t>
            </w:r>
            <w:r>
              <w:rPr>
                <w:spacing w:val="11"/>
              </w:rPr>
              <w:t xml:space="preserve"> </w:t>
            </w:r>
            <w:r>
              <w:rPr>
                <w:spacing w:val="-11"/>
              </w:rPr>
              <w:t>等；</w:t>
            </w:r>
          </w:p>
          <w:p>
            <w:pPr>
              <w:pStyle w:val="TableText"/>
              <w:spacing w:before="48" w:line="230" w:lineRule="auto"/>
              <w:ind w:left="116" w:hanging="5"/>
            </w:pPr>
            <w:r>
              <w:rPr>
                <w:spacing w:val="-6"/>
              </w:rPr>
              <w:t>应用软件，</w:t>
            </w:r>
            <w:r>
              <w:rPr>
                <w:spacing w:val="52"/>
              </w:rPr>
              <w:t xml:space="preserve"> </w:t>
            </w:r>
            <w:r>
              <w:rPr>
                <w:spacing w:val="-6"/>
              </w:rPr>
              <w:t>指针对特定的应用领域或用户</w:t>
            </w:r>
            <w:r>
              <w:t xml:space="preserve"> </w:t>
            </w:r>
            <w:r>
              <w:t>需求而开发的软件，如办公软件（金山公</w:t>
            </w:r>
            <w:r>
              <w:rPr>
                <w:spacing w:val="13"/>
              </w:rPr>
              <w:t xml:space="preserve"> </w:t>
            </w:r>
            <w:r>
              <w:rPr>
                <w:spacing w:val="-5"/>
              </w:rPr>
              <w:t>司的</w:t>
            </w:r>
            <w:r>
              <w:rPr>
                <w:spacing w:val="-35"/>
              </w:rPr>
              <w:t xml:space="preserve"> </w:t>
            </w:r>
            <w:r>
              <w:rPr>
                <w:rFonts w:ascii="Times New Roman" w:eastAsia="Times New Roman" w:hAnsi="Times New Roman" w:cs="Times New Roman"/>
                <w:spacing w:val="-5"/>
              </w:rPr>
              <w:t>wps</w:t>
            </w:r>
            <w:r>
              <w:rPr>
                <w:spacing w:val="-5"/>
              </w:rPr>
              <w:t>）、教育软件（华盛恒辉）等；</w:t>
            </w:r>
          </w:p>
          <w:p>
            <w:pPr>
              <w:pStyle w:val="TableText"/>
              <w:spacing w:before="52" w:line="235" w:lineRule="auto"/>
              <w:ind w:left="113"/>
            </w:pPr>
            <w:r>
              <w:rPr>
                <w:spacing w:val="1"/>
              </w:rPr>
              <w:t>嵌入式软件，指嵌入到硬件设备中，为特</w:t>
            </w:r>
            <w:r>
              <w:t xml:space="preserve"> </w:t>
            </w:r>
            <w:r>
              <w:rPr>
                <w:spacing w:val="-4"/>
              </w:rPr>
              <w:t>定的功能或任务而设计的软件，如</w:t>
            </w:r>
            <w:r>
              <w:rPr>
                <w:spacing w:val="-23"/>
              </w:rPr>
              <w:t xml:space="preserve"> </w:t>
            </w:r>
            <w:r>
              <w:rPr>
                <w:rFonts w:ascii="Times New Roman" w:eastAsia="Times New Roman" w:hAnsi="Times New Roman" w:cs="Times New Roman"/>
                <w:spacing w:val="-4"/>
              </w:rPr>
              <w:t xml:space="preserve">EDA </w:t>
            </w:r>
            <w:r>
              <w:rPr>
                <w:spacing w:val="-4"/>
              </w:rPr>
              <w:t>仿</w:t>
            </w:r>
            <w:r>
              <w:t xml:space="preserve"> </w:t>
            </w:r>
            <w:r>
              <w:rPr>
                <w:spacing w:val="1"/>
              </w:rPr>
              <w:t>真工具软件（华大九天）、工业控制软件</w:t>
            </w:r>
            <w:r>
              <w:t xml:space="preserve"> </w:t>
            </w:r>
            <w:r>
              <w:rPr>
                <w:spacing w:val="-3"/>
              </w:rPr>
              <w:t>（</w:t>
            </w:r>
            <w:r>
              <w:rPr>
                <w:rFonts w:ascii="Times New Roman" w:eastAsia="Times New Roman" w:hAnsi="Times New Roman" w:cs="Times New Roman"/>
                <w:spacing w:val="-3"/>
              </w:rPr>
              <w:t>Adlink</w:t>
            </w:r>
            <w:r>
              <w:rPr>
                <w:spacing w:val="-3"/>
              </w:rPr>
              <w:t>）等；</w:t>
            </w:r>
          </w:p>
        </w:tc>
      </w:tr>
      <w:tr>
        <w:tblPrEx>
          <w:tblW w:w="9640" w:type="dxa"/>
          <w:tblInd w:w="28" w:type="dxa"/>
          <w:tblLayout w:type="fixed"/>
        </w:tblPrEx>
        <w:trPr>
          <w:trHeight w:val="1423"/>
        </w:trPr>
        <w:tc>
          <w:tcPr>
            <w:tcW w:w="576" w:type="dxa"/>
            <w:vMerge/>
            <w:tcBorders>
              <w:top w:val="nil"/>
              <w:left w:val="nil"/>
              <w:bottom w:val="nil"/>
            </w:tcBorders>
            <w:vAlign w:val="top"/>
          </w:tcPr>
          <w:p>
            <w:pPr>
              <w:rPr>
                <w:rFonts w:ascii="Arial"/>
                <w:sz w:val="21"/>
              </w:rPr>
            </w:pPr>
          </w:p>
        </w:tc>
        <w:tc>
          <w:tcPr>
            <w:tcW w:w="840" w:type="dxa"/>
            <w:vAlign w:val="top"/>
          </w:tcPr>
          <w:p>
            <w:pPr>
              <w:spacing w:line="329" w:lineRule="auto"/>
              <w:rPr>
                <w:rFonts w:ascii="Arial"/>
                <w:sz w:val="21"/>
              </w:rPr>
            </w:pPr>
          </w:p>
          <w:p>
            <w:pPr>
              <w:pStyle w:val="TableText"/>
              <w:spacing w:before="49" w:line="221" w:lineRule="auto"/>
              <w:ind w:left="125"/>
            </w:pPr>
            <w:r>
              <w:rPr>
                <w:spacing w:val="-1"/>
              </w:rPr>
              <w:t>数据处理</w:t>
            </w:r>
          </w:p>
          <w:p>
            <w:pPr>
              <w:pStyle w:val="TableText"/>
              <w:spacing w:before="65" w:line="222" w:lineRule="auto"/>
              <w:ind w:left="126"/>
            </w:pPr>
            <w:r>
              <w:rPr>
                <w:spacing w:val="-2"/>
              </w:rPr>
              <w:t>与外包服</w:t>
            </w:r>
          </w:p>
          <w:p>
            <w:pPr>
              <w:pStyle w:val="TableText"/>
              <w:spacing w:before="62" w:line="221" w:lineRule="auto"/>
              <w:ind w:left="348"/>
            </w:pPr>
            <w:r>
              <w:t>务</w:t>
            </w:r>
          </w:p>
        </w:tc>
        <w:tc>
          <w:tcPr>
            <w:tcW w:w="708" w:type="dxa"/>
            <w:vAlign w:val="top"/>
          </w:tcPr>
          <w:p>
            <w:pPr>
              <w:spacing w:line="286" w:lineRule="auto"/>
              <w:rPr>
                <w:rFonts w:ascii="Arial"/>
                <w:sz w:val="21"/>
              </w:rPr>
            </w:pPr>
          </w:p>
          <w:p>
            <w:pPr>
              <w:spacing w:line="286" w:lineRule="auto"/>
              <w:rPr>
                <w:rFonts w:ascii="Arial"/>
                <w:sz w:val="21"/>
              </w:rPr>
            </w:pPr>
          </w:p>
          <w:p>
            <w:pPr>
              <w:pStyle w:val="TableText"/>
              <w:spacing w:before="49" w:line="222" w:lineRule="auto"/>
              <w:ind w:left="296"/>
            </w:pPr>
            <w:r>
              <w:t>中</w:t>
            </w:r>
          </w:p>
        </w:tc>
        <w:tc>
          <w:tcPr>
            <w:tcW w:w="1136" w:type="dxa"/>
            <w:vMerge/>
            <w:tcBorders>
              <w:top w:val="nil"/>
              <w:bottom w:val="nil"/>
            </w:tcBorders>
            <w:vAlign w:val="top"/>
          </w:tcPr>
          <w:p>
            <w:pPr>
              <w:rPr>
                <w:rFonts w:ascii="Arial"/>
                <w:sz w:val="21"/>
              </w:rPr>
            </w:pPr>
          </w:p>
        </w:tc>
        <w:tc>
          <w:tcPr>
            <w:tcW w:w="849" w:type="dxa"/>
            <w:vAlign w:val="top"/>
          </w:tcPr>
          <w:p>
            <w:pPr>
              <w:spacing w:line="248" w:lineRule="auto"/>
              <w:rPr>
                <w:rFonts w:ascii="Arial"/>
                <w:sz w:val="21"/>
              </w:rPr>
            </w:pPr>
          </w:p>
          <w:p>
            <w:pPr>
              <w:spacing w:line="249" w:lineRule="auto"/>
              <w:rPr>
                <w:rFonts w:ascii="Arial"/>
                <w:sz w:val="21"/>
              </w:rPr>
            </w:pPr>
          </w:p>
          <w:p>
            <w:pPr>
              <w:pStyle w:val="TableText"/>
              <w:spacing w:before="48" w:line="230" w:lineRule="auto"/>
              <w:ind w:left="119" w:right="102" w:hanging="7"/>
            </w:pPr>
            <w:r>
              <w:rPr>
                <w:spacing w:val="7"/>
              </w:rPr>
              <w:t>按服务收</w:t>
            </w:r>
            <w:r>
              <w:t xml:space="preserve"> </w:t>
            </w:r>
            <w:r>
              <w:t>费</w:t>
            </w:r>
          </w:p>
        </w:tc>
        <w:tc>
          <w:tcPr>
            <w:tcW w:w="2696" w:type="dxa"/>
            <w:vAlign w:val="top"/>
          </w:tcPr>
          <w:p>
            <w:pPr>
              <w:pStyle w:val="TableText"/>
              <w:spacing w:before="61" w:line="237" w:lineRule="auto"/>
              <w:ind w:left="113" w:right="102" w:firstLine="1"/>
              <w:jc w:val="both"/>
            </w:pPr>
            <w:r>
              <w:rPr>
                <w:spacing w:val="-5"/>
              </w:rPr>
              <w:t>利用互联网技术，为用户提供可按需获</w:t>
            </w:r>
            <w:r>
              <w:rPr>
                <w:spacing w:val="6"/>
              </w:rPr>
              <w:t xml:space="preserve"> </w:t>
            </w:r>
            <w:r>
              <w:rPr>
                <w:spacing w:val="-5"/>
              </w:rPr>
              <w:t>取的共享资源和服务，如云存储、云计</w:t>
            </w:r>
            <w:r>
              <w:rPr>
                <w:spacing w:val="7"/>
              </w:rPr>
              <w:t xml:space="preserve"> </w:t>
            </w:r>
            <w:r>
              <w:rPr>
                <w:spacing w:val="-8"/>
              </w:rPr>
              <w:t>算、云平台、大数据分析等，</w:t>
            </w:r>
            <w:r>
              <w:rPr>
                <w:spacing w:val="-17"/>
              </w:rPr>
              <w:t xml:space="preserve"> </w:t>
            </w:r>
            <w:r>
              <w:rPr>
                <w:spacing w:val="-8"/>
              </w:rPr>
              <w:t>以及企业</w:t>
            </w:r>
            <w:r>
              <w:t xml:space="preserve"> </w:t>
            </w:r>
            <w:r>
              <w:rPr>
                <w:spacing w:val="-1"/>
              </w:rPr>
              <w:t>借助外部资源完成对自身的</w:t>
            </w:r>
            <w:r>
              <w:rPr>
                <w:spacing w:val="-25"/>
              </w:rPr>
              <w:t xml:space="preserve"> </w:t>
            </w:r>
            <w:r>
              <w:rPr>
                <w:rFonts w:ascii="Times New Roman" w:eastAsia="Times New Roman" w:hAnsi="Times New Roman" w:cs="Times New Roman"/>
                <w:spacing w:val="-1"/>
              </w:rPr>
              <w:t>IT</w:t>
            </w:r>
            <w:r>
              <w:rPr>
                <w:rFonts w:ascii="Times New Roman" w:eastAsia="Times New Roman" w:hAnsi="Times New Roman" w:cs="Times New Roman"/>
                <w:spacing w:val="11"/>
              </w:rPr>
              <w:t xml:space="preserve"> </w:t>
            </w:r>
            <w:r>
              <w:rPr>
                <w:spacing w:val="-1"/>
              </w:rPr>
              <w:t>服务和</w:t>
            </w:r>
            <w:r>
              <w:t xml:space="preserve"> </w:t>
            </w:r>
            <w:r>
              <w:rPr>
                <w:spacing w:val="-1"/>
              </w:rPr>
              <w:t>基于</w:t>
            </w:r>
            <w:r>
              <w:rPr>
                <w:spacing w:val="-25"/>
              </w:rPr>
              <w:t xml:space="preserve"> </w:t>
            </w:r>
            <w:r>
              <w:rPr>
                <w:rFonts w:ascii="Times New Roman" w:eastAsia="Times New Roman" w:hAnsi="Times New Roman" w:cs="Times New Roman"/>
                <w:spacing w:val="-1"/>
              </w:rPr>
              <w:t>IT</w:t>
            </w:r>
            <w:r>
              <w:rPr>
                <w:rFonts w:ascii="Times New Roman" w:eastAsia="Times New Roman" w:hAnsi="Times New Roman" w:cs="Times New Roman"/>
                <w:spacing w:val="10"/>
                <w:w w:val="101"/>
              </w:rPr>
              <w:t xml:space="preserve"> </w:t>
            </w:r>
            <w:r>
              <w:rPr>
                <w:spacing w:val="-1"/>
              </w:rPr>
              <w:t>平台的业务流程服务外包；企</w:t>
            </w:r>
            <w:r>
              <w:t xml:space="preserve"> </w:t>
            </w:r>
            <w:r>
              <w:rPr>
                <w:spacing w:val="4"/>
              </w:rPr>
              <w:t>业因此可以获得更好的成本效益以及</w:t>
            </w:r>
            <w:r>
              <w:rPr>
                <w:spacing w:val="7"/>
              </w:rPr>
              <w:t xml:space="preserve"> </w:t>
            </w:r>
            <w:r>
              <w:rPr>
                <w:spacing w:val="-2"/>
              </w:rPr>
              <w:t>专业技术服务。</w:t>
            </w:r>
          </w:p>
        </w:tc>
        <w:tc>
          <w:tcPr>
            <w:tcW w:w="2835" w:type="dxa"/>
            <w:tcBorders>
              <w:right w:val="nil"/>
            </w:tcBorders>
            <w:vAlign w:val="top"/>
          </w:tcPr>
          <w:p>
            <w:pPr>
              <w:spacing w:line="248" w:lineRule="auto"/>
              <w:rPr>
                <w:rFonts w:ascii="Arial"/>
                <w:sz w:val="21"/>
              </w:rPr>
            </w:pPr>
          </w:p>
          <w:p>
            <w:pPr>
              <w:spacing w:line="248" w:lineRule="auto"/>
              <w:rPr>
                <w:rFonts w:ascii="Arial"/>
                <w:sz w:val="21"/>
              </w:rPr>
            </w:pPr>
          </w:p>
          <w:p>
            <w:pPr>
              <w:pStyle w:val="TableText"/>
              <w:spacing w:before="49" w:line="230" w:lineRule="auto"/>
              <w:ind w:left="111" w:right="106"/>
            </w:pPr>
            <w:r>
              <w:rPr>
                <w:spacing w:val="-5"/>
              </w:rPr>
              <w:t>第三方支付（拉卡拉）、云存储（云创数</w:t>
            </w:r>
            <w:r>
              <w:rPr>
                <w:spacing w:val="3"/>
              </w:rPr>
              <w:t xml:space="preserve"> </w:t>
            </w:r>
            <w:r>
              <w:rPr>
                <w:spacing w:val="-4"/>
              </w:rPr>
              <w:t>据）</w:t>
            </w:r>
          </w:p>
        </w:tc>
      </w:tr>
      <w:tr>
        <w:tblPrEx>
          <w:tblW w:w="9640" w:type="dxa"/>
          <w:tblInd w:w="28" w:type="dxa"/>
          <w:tblLayout w:type="fixed"/>
        </w:tblPrEx>
        <w:trPr>
          <w:trHeight w:val="795"/>
        </w:trPr>
        <w:tc>
          <w:tcPr>
            <w:tcW w:w="576" w:type="dxa"/>
            <w:vMerge/>
            <w:tcBorders>
              <w:top w:val="nil"/>
              <w:left w:val="nil"/>
            </w:tcBorders>
            <w:vAlign w:val="top"/>
          </w:tcPr>
          <w:p>
            <w:pPr>
              <w:rPr>
                <w:rFonts w:ascii="Arial"/>
                <w:sz w:val="21"/>
              </w:rPr>
            </w:pPr>
          </w:p>
        </w:tc>
        <w:tc>
          <w:tcPr>
            <w:tcW w:w="840" w:type="dxa"/>
            <w:vAlign w:val="top"/>
          </w:tcPr>
          <w:p>
            <w:pPr>
              <w:pStyle w:val="TableText"/>
              <w:spacing w:before="70" w:line="220" w:lineRule="auto"/>
              <w:ind w:left="123"/>
            </w:pPr>
            <w:r>
              <w:rPr>
                <w:spacing w:val="-1"/>
              </w:rPr>
              <w:t>信息科技</w:t>
            </w:r>
          </w:p>
          <w:p>
            <w:pPr>
              <w:pStyle w:val="TableText"/>
              <w:spacing w:before="63" w:line="222" w:lineRule="auto"/>
              <w:ind w:left="129"/>
            </w:pPr>
            <w:r>
              <w:rPr>
                <w:spacing w:val="-3"/>
              </w:rPr>
              <w:t>咨询与其</w:t>
            </w:r>
          </w:p>
          <w:p>
            <w:pPr>
              <w:pStyle w:val="TableText"/>
              <w:spacing w:before="63" w:line="222" w:lineRule="auto"/>
              <w:ind w:left="346"/>
            </w:pPr>
            <w:r>
              <w:t>他</w:t>
            </w:r>
          </w:p>
        </w:tc>
        <w:tc>
          <w:tcPr>
            <w:tcW w:w="708" w:type="dxa"/>
            <w:vAlign w:val="top"/>
          </w:tcPr>
          <w:p>
            <w:pPr>
              <w:spacing w:line="262" w:lineRule="auto"/>
              <w:rPr>
                <w:rFonts w:ascii="Arial"/>
                <w:sz w:val="21"/>
              </w:rPr>
            </w:pPr>
          </w:p>
          <w:p>
            <w:pPr>
              <w:pStyle w:val="TableText"/>
              <w:spacing w:before="49" w:line="222" w:lineRule="auto"/>
              <w:ind w:left="281"/>
            </w:pPr>
            <w:r>
              <w:t>低</w:t>
            </w:r>
          </w:p>
        </w:tc>
        <w:tc>
          <w:tcPr>
            <w:tcW w:w="1136" w:type="dxa"/>
            <w:vMerge/>
            <w:tcBorders>
              <w:top w:val="nil"/>
            </w:tcBorders>
            <w:vAlign w:val="top"/>
          </w:tcPr>
          <w:p>
            <w:pPr>
              <w:rPr>
                <w:rFonts w:ascii="Arial"/>
                <w:sz w:val="21"/>
              </w:rPr>
            </w:pPr>
          </w:p>
        </w:tc>
        <w:tc>
          <w:tcPr>
            <w:tcW w:w="849" w:type="dxa"/>
            <w:vAlign w:val="top"/>
          </w:tcPr>
          <w:p>
            <w:pPr>
              <w:pStyle w:val="TableText"/>
              <w:spacing w:before="238" w:line="230" w:lineRule="auto"/>
              <w:ind w:left="113" w:right="102" w:hanging="1"/>
            </w:pPr>
            <w:r>
              <w:rPr>
                <w:spacing w:val="7"/>
              </w:rPr>
              <w:t>按服务或</w:t>
            </w:r>
            <w:r>
              <w:t xml:space="preserve"> </w:t>
            </w:r>
            <w:r>
              <w:rPr>
                <w:spacing w:val="-2"/>
              </w:rPr>
              <w:t>项目收费</w:t>
            </w:r>
          </w:p>
        </w:tc>
        <w:tc>
          <w:tcPr>
            <w:tcW w:w="2696" w:type="dxa"/>
            <w:vAlign w:val="top"/>
          </w:tcPr>
          <w:p>
            <w:pPr>
              <w:pStyle w:val="TableText"/>
              <w:spacing w:before="142" w:line="233" w:lineRule="auto"/>
              <w:ind w:left="114" w:right="53" w:firstLine="1"/>
              <w:jc w:val="both"/>
            </w:pPr>
            <w:r>
              <w:rPr>
                <w:spacing w:val="-2"/>
              </w:rPr>
              <w:t>主要包括协助需方评估各种</w:t>
            </w:r>
            <w:r>
              <w:rPr>
                <w:spacing w:val="-14"/>
              </w:rPr>
              <w:t xml:space="preserve"> </w:t>
            </w:r>
            <w:r>
              <w:rPr>
                <w:rFonts w:ascii="Times New Roman" w:eastAsia="Times New Roman" w:hAnsi="Times New Roman" w:cs="Times New Roman"/>
                <w:spacing w:val="-2"/>
              </w:rPr>
              <w:t>IT</w:t>
            </w:r>
            <w:r>
              <w:rPr>
                <w:rFonts w:ascii="Times New Roman" w:eastAsia="Times New Roman" w:hAnsi="Times New Roman" w:cs="Times New Roman"/>
                <w:spacing w:val="11"/>
              </w:rPr>
              <w:t xml:space="preserve"> </w:t>
            </w:r>
            <w:r>
              <w:rPr>
                <w:spacing w:val="-2"/>
              </w:rPr>
              <w:t xml:space="preserve">技术的 </w:t>
            </w:r>
            <w:r>
              <w:rPr>
                <w:spacing w:val="-2"/>
              </w:rPr>
              <w:t>信息技术咨询、信息技术运维和测试、</w:t>
            </w:r>
            <w:r>
              <w:rPr>
                <w:spacing w:val="5"/>
              </w:rPr>
              <w:t xml:space="preserve"> </w:t>
            </w:r>
            <w:r>
              <w:rPr>
                <w:spacing w:val="-1"/>
              </w:rPr>
              <w:t>系统集成服务等。</w:t>
            </w:r>
          </w:p>
        </w:tc>
        <w:tc>
          <w:tcPr>
            <w:tcW w:w="2835" w:type="dxa"/>
            <w:tcBorders>
              <w:right w:val="nil"/>
            </w:tcBorders>
            <w:vAlign w:val="top"/>
          </w:tcPr>
          <w:p>
            <w:pPr>
              <w:pStyle w:val="TableText"/>
              <w:spacing w:before="238" w:line="230" w:lineRule="auto"/>
              <w:ind w:left="113" w:right="122" w:firstLine="1"/>
            </w:pPr>
            <w:r>
              <w:rPr>
                <w:spacing w:val="-14"/>
              </w:rPr>
              <w:t>智慧交通（千方科技）、信息技术咨询（中</w:t>
            </w:r>
            <w:r>
              <w:rPr>
                <w:spacing w:val="9"/>
              </w:rPr>
              <w:t xml:space="preserve"> </w:t>
            </w:r>
            <w:r>
              <w:rPr>
                <w:spacing w:val="-6"/>
              </w:rPr>
              <w:t>软国际）、运维服务（中亦科技）</w:t>
            </w:r>
          </w:p>
        </w:tc>
      </w:tr>
      <w:tr>
        <w:tblPrEx>
          <w:tblW w:w="9640" w:type="dxa"/>
          <w:tblInd w:w="28" w:type="dxa"/>
          <w:tblLayout w:type="fixed"/>
        </w:tblPrEx>
        <w:trPr>
          <w:trHeight w:val="1447"/>
        </w:trPr>
        <w:tc>
          <w:tcPr>
            <w:tcW w:w="576" w:type="dxa"/>
            <w:tcBorders>
              <w:left w:val="nil"/>
              <w:bottom w:val="single" w:sz="10" w:space="0" w:color="000000"/>
            </w:tcBorders>
            <w:vAlign w:val="top"/>
          </w:tcPr>
          <w:p>
            <w:pPr>
              <w:spacing w:line="312" w:lineRule="auto"/>
              <w:rPr>
                <w:rFonts w:ascii="Arial"/>
                <w:sz w:val="21"/>
              </w:rPr>
            </w:pPr>
          </w:p>
          <w:p>
            <w:pPr>
              <w:pStyle w:val="TableText"/>
              <w:spacing w:before="49" w:line="242" w:lineRule="auto"/>
              <w:ind w:left="144"/>
            </w:pPr>
            <w:r>
              <w:rPr>
                <w:spacing w:val="-2"/>
              </w:rPr>
              <w:t>数据</w:t>
            </w:r>
          </w:p>
          <w:p>
            <w:pPr>
              <w:pStyle w:val="TableText"/>
              <w:spacing w:line="221" w:lineRule="auto"/>
              <w:ind w:left="157"/>
            </w:pPr>
            <w:r>
              <w:rPr>
                <w:spacing w:val="-5"/>
              </w:rPr>
              <w:t>中心</w:t>
            </w:r>
          </w:p>
          <w:p>
            <w:pPr>
              <w:pStyle w:val="TableText"/>
              <w:spacing w:before="14" w:line="227" w:lineRule="auto"/>
              <w:ind w:left="143"/>
            </w:pPr>
            <w:r>
              <w:rPr>
                <w:spacing w:val="-1"/>
              </w:rPr>
              <w:t>基础</w:t>
            </w:r>
          </w:p>
        </w:tc>
        <w:tc>
          <w:tcPr>
            <w:tcW w:w="840" w:type="dxa"/>
            <w:tcBorders>
              <w:bottom w:val="single" w:sz="10" w:space="0" w:color="000000"/>
            </w:tcBorders>
            <w:vAlign w:val="top"/>
          </w:tcPr>
          <w:p>
            <w:pPr>
              <w:spacing w:line="336" w:lineRule="auto"/>
              <w:rPr>
                <w:rFonts w:ascii="Arial"/>
                <w:sz w:val="21"/>
              </w:rPr>
            </w:pPr>
          </w:p>
          <w:p>
            <w:pPr>
              <w:spacing w:line="336" w:lineRule="auto"/>
              <w:rPr>
                <w:rFonts w:ascii="Arial"/>
                <w:sz w:val="21"/>
              </w:rPr>
            </w:pPr>
          </w:p>
          <w:p>
            <w:pPr>
              <w:spacing w:before="43" w:line="72" w:lineRule="exact"/>
              <w:ind w:left="349"/>
              <w:rPr>
                <w:rFonts w:ascii="Times New Roman" w:eastAsia="Times New Roman" w:hAnsi="Times New Roman" w:cs="Times New Roman"/>
                <w:sz w:val="15"/>
                <w:szCs w:val="15"/>
              </w:rPr>
            </w:pPr>
            <w:r>
              <w:rPr>
                <w:rFonts w:ascii="Times New Roman" w:eastAsia="Times New Roman" w:hAnsi="Times New Roman" w:cs="Times New Roman"/>
                <w:spacing w:val="-2"/>
                <w:position w:val="-1"/>
                <w:sz w:val="15"/>
                <w:szCs w:val="15"/>
              </w:rPr>
              <w:t>---</w:t>
            </w:r>
          </w:p>
        </w:tc>
        <w:tc>
          <w:tcPr>
            <w:tcW w:w="708" w:type="dxa"/>
            <w:tcBorders>
              <w:bottom w:val="single" w:sz="10" w:space="0" w:color="000000"/>
            </w:tcBorders>
            <w:vAlign w:val="top"/>
          </w:tcPr>
          <w:p>
            <w:pPr>
              <w:spacing w:line="289" w:lineRule="auto"/>
              <w:rPr>
                <w:rFonts w:ascii="Arial"/>
                <w:sz w:val="21"/>
              </w:rPr>
            </w:pPr>
          </w:p>
          <w:p>
            <w:pPr>
              <w:spacing w:line="290" w:lineRule="auto"/>
              <w:rPr>
                <w:rFonts w:ascii="Arial"/>
                <w:sz w:val="21"/>
              </w:rPr>
            </w:pPr>
          </w:p>
          <w:p>
            <w:pPr>
              <w:pStyle w:val="TableText"/>
              <w:spacing w:before="49" w:line="222" w:lineRule="auto"/>
              <w:ind w:left="281"/>
            </w:pPr>
            <w:r>
              <w:t>低</w:t>
            </w:r>
          </w:p>
        </w:tc>
        <w:tc>
          <w:tcPr>
            <w:tcW w:w="1136" w:type="dxa"/>
            <w:tcBorders>
              <w:bottom w:val="single" w:sz="10" w:space="0" w:color="000000"/>
            </w:tcBorders>
            <w:vAlign w:val="top"/>
          </w:tcPr>
          <w:p>
            <w:pPr>
              <w:spacing w:line="252" w:lineRule="auto"/>
              <w:rPr>
                <w:rFonts w:ascii="Arial"/>
                <w:sz w:val="21"/>
              </w:rPr>
            </w:pPr>
          </w:p>
          <w:p>
            <w:pPr>
              <w:spacing w:line="253" w:lineRule="auto"/>
              <w:rPr>
                <w:rFonts w:ascii="Arial"/>
                <w:sz w:val="21"/>
              </w:rPr>
            </w:pPr>
          </w:p>
          <w:p>
            <w:pPr>
              <w:pStyle w:val="TableText"/>
              <w:spacing w:before="49" w:line="230" w:lineRule="auto"/>
              <w:ind w:left="111" w:right="104" w:firstLine="7"/>
            </w:pPr>
            <w:r>
              <w:rPr>
                <w:spacing w:val="1"/>
              </w:rPr>
              <w:t xml:space="preserve">资本、客户资 </w:t>
            </w:r>
            <w:r>
              <w:rPr>
                <w:spacing w:val="-1"/>
              </w:rPr>
              <w:t>源、区位条件</w:t>
            </w:r>
          </w:p>
        </w:tc>
        <w:tc>
          <w:tcPr>
            <w:tcW w:w="849" w:type="dxa"/>
            <w:tcBorders>
              <w:bottom w:val="single" w:sz="10" w:space="0" w:color="000000"/>
            </w:tcBorders>
            <w:vAlign w:val="top"/>
          </w:tcPr>
          <w:p>
            <w:pPr>
              <w:pStyle w:val="TableText"/>
              <w:spacing w:before="169" w:line="236" w:lineRule="auto"/>
              <w:ind w:left="110" w:right="102"/>
              <w:jc w:val="both"/>
            </w:pPr>
            <w:r>
              <w:rPr>
                <w:spacing w:val="-9"/>
              </w:rPr>
              <w:t>机</w:t>
            </w:r>
            <w:r>
              <w:rPr>
                <w:spacing w:val="21"/>
              </w:rPr>
              <w:t xml:space="preserve"> </w:t>
            </w:r>
            <w:r>
              <w:rPr>
                <w:spacing w:val="-9"/>
              </w:rPr>
              <w:t>柜</w:t>
            </w:r>
            <w:r>
              <w:rPr>
                <w:spacing w:val="35"/>
              </w:rPr>
              <w:t xml:space="preserve"> </w:t>
            </w:r>
            <w:r>
              <w:rPr>
                <w:spacing w:val="-9"/>
              </w:rPr>
              <w:t>出</w:t>
            </w:r>
            <w:r>
              <w:t xml:space="preserve"> </w:t>
            </w:r>
            <w:r>
              <w:rPr>
                <w:spacing w:val="7"/>
              </w:rPr>
              <w:t>租、主机</w:t>
            </w:r>
            <w:r>
              <w:t xml:space="preserve"> </w:t>
            </w:r>
            <w:r>
              <w:rPr>
                <w:spacing w:val="7"/>
              </w:rPr>
              <w:t>托管、系</w:t>
            </w:r>
            <w:r>
              <w:t xml:space="preserve"> </w:t>
            </w:r>
            <w:r>
              <w:rPr>
                <w:spacing w:val="7"/>
              </w:rPr>
              <w:t>统维护和</w:t>
            </w:r>
            <w:r>
              <w:t xml:space="preserve"> </w:t>
            </w:r>
            <w:r>
              <w:rPr>
                <w:spacing w:val="7"/>
              </w:rPr>
              <w:t>管理服务</w:t>
            </w:r>
            <w:r>
              <w:t xml:space="preserve"> </w:t>
            </w:r>
            <w:r>
              <w:t>等</w:t>
            </w:r>
          </w:p>
        </w:tc>
        <w:tc>
          <w:tcPr>
            <w:tcW w:w="2696" w:type="dxa"/>
            <w:tcBorders>
              <w:bottom w:val="single" w:sz="10" w:space="0" w:color="000000"/>
            </w:tcBorders>
            <w:vAlign w:val="top"/>
          </w:tcPr>
          <w:p>
            <w:pPr>
              <w:pStyle w:val="TableText"/>
              <w:spacing w:before="68" w:after="0" w:line="237" w:lineRule="auto"/>
              <w:ind w:left="114" w:right="53" w:firstLine="2"/>
            </w:pPr>
            <w:r>
              <w:rPr>
                <w:spacing w:val="-5"/>
              </w:rPr>
              <w:t xml:space="preserve">一个基于互联网网络的设备网络，以土 </w:t>
            </w:r>
            <w:r>
              <w:rPr>
                <w:spacing w:val="-8"/>
              </w:rPr>
              <w:t>地、厂房、机柜为空间载体，</w:t>
            </w:r>
            <w:r>
              <w:rPr>
                <w:spacing w:val="-15"/>
              </w:rPr>
              <w:t xml:space="preserve"> </w:t>
            </w:r>
            <w:r>
              <w:rPr>
                <w:spacing w:val="-8"/>
              </w:rPr>
              <w:t xml:space="preserve">以风火水 </w:t>
            </w:r>
            <w:r>
              <w:rPr>
                <w:spacing w:val="-1"/>
              </w:rPr>
              <w:t xml:space="preserve">电网等机械和电子设 备为技术工具， </w:t>
            </w:r>
            <w:r>
              <w:rPr>
                <w:spacing w:val="3"/>
              </w:rPr>
              <w:t xml:space="preserve">为服务器和网络设备提供落位空间和 </w:t>
            </w:r>
            <w:r>
              <w:rPr>
                <w:spacing w:val="-6"/>
              </w:rPr>
              <w:t>安全运行环境，</w:t>
            </w:r>
            <w:r>
              <w:rPr>
                <w:spacing w:val="-2"/>
              </w:rPr>
              <w:t xml:space="preserve"> </w:t>
            </w:r>
            <w:r>
              <w:rPr>
                <w:spacing w:val="-6"/>
              </w:rPr>
              <w:t>用于集中收集、存储、</w:t>
            </w:r>
            <w:r>
              <w:t xml:space="preserve"> </w:t>
            </w:r>
            <w:r>
              <w:rPr>
                <w:spacing w:val="-5"/>
              </w:rPr>
              <w:t xml:space="preserve">处理和传输数据，并提供相应的运维服 </w:t>
            </w:r>
          </w:p>
        </w:tc>
        <w:tc>
          <w:tcPr>
            <w:tcW w:w="2835" w:type="dxa"/>
            <w:tcBorders>
              <w:bottom w:val="single" w:sz="10" w:space="0" w:color="000000"/>
              <w:right w:val="nil"/>
            </w:tcBorders>
            <w:vAlign w:val="top"/>
          </w:tcPr>
          <w:p>
            <w:pPr>
              <w:spacing w:line="300" w:lineRule="auto"/>
              <w:rPr>
                <w:rFonts w:ascii="Arial"/>
                <w:sz w:val="21"/>
              </w:rPr>
            </w:pPr>
          </w:p>
          <w:p>
            <w:pPr>
              <w:spacing w:line="301" w:lineRule="auto"/>
              <w:rPr>
                <w:rFonts w:ascii="Arial"/>
                <w:sz w:val="21"/>
              </w:rPr>
            </w:pPr>
          </w:p>
          <w:p>
            <w:pPr>
              <w:pStyle w:val="TableText"/>
              <w:spacing w:before="48" w:line="221" w:lineRule="auto"/>
              <w:ind w:left="113"/>
            </w:pPr>
            <w:r>
              <w:rPr>
                <w:spacing w:val="-1"/>
              </w:rPr>
              <w:t>数据港、万国数据</w:t>
            </w:r>
          </w:p>
        </w:tc>
      </w:tr>
    </w:tbl>
    <w:p>
      <w:pPr>
        <w:sectPr>
          <w:headerReference w:type="default" r:id="rId8"/>
          <w:footerReference w:type="default" r:id="rId9"/>
          <w:pgSz w:w="11907" w:h="16839"/>
          <w:pgMar w:top="1336" w:right="1104" w:bottom="1272" w:left="1104" w:header="1148" w:footer="1077" w:gutter="0"/>
          <w:pgNumType w:start="3"/>
          <w:cols w:space="708"/>
        </w:sectPr>
      </w:pPr>
    </w:p>
    <w:tbl>
      <w:tblPr>
        <w:tblStyle w:val="TableNormal1"/>
        <w:tblW w:w="9640"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6"/>
        <w:gridCol w:w="840"/>
        <w:gridCol w:w="708"/>
        <w:gridCol w:w="1136"/>
        <w:gridCol w:w="849"/>
        <w:gridCol w:w="2696"/>
        <w:gridCol w:w="2835"/>
      </w:tblGrid>
      <w:tr>
        <w:tblPrEx>
          <w:tblW w:w="9640"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47"/>
        </w:trPr>
        <w:tc>
          <w:tcPr>
            <w:tcW w:w="576" w:type="dxa"/>
            <w:tcBorders>
              <w:left w:val="nil"/>
              <w:bottom w:val="single" w:sz="10" w:space="0" w:color="000000"/>
            </w:tcBorders>
            <w:vAlign w:val="top"/>
          </w:tcPr>
          <w:p>
            <w:pPr>
              <w:pStyle w:val="TableText"/>
              <w:spacing w:before="8" w:line="222" w:lineRule="auto"/>
              <w:ind w:left="145"/>
            </w:pPr>
            <w:r>
              <w:rPr>
                <w:spacing w:val="-2"/>
              </w:rPr>
              <w:t>设施</w:t>
            </w:r>
          </w:p>
        </w:tc>
        <w:tc>
          <w:tcPr>
            <w:tcW w:w="840" w:type="dxa"/>
            <w:tcBorders>
              <w:bottom w:val="single" w:sz="10" w:space="0" w:color="000000"/>
            </w:tcBorders>
            <w:vAlign w:val="top"/>
          </w:tcPr>
          <w:p/>
        </w:tc>
        <w:tc>
          <w:tcPr>
            <w:tcW w:w="708" w:type="dxa"/>
            <w:tcBorders>
              <w:bottom w:val="single" w:sz="10" w:space="0" w:color="000000"/>
            </w:tcBorders>
            <w:vAlign w:val="top"/>
          </w:tcPr>
          <w:p/>
        </w:tc>
        <w:tc>
          <w:tcPr>
            <w:tcW w:w="1136" w:type="dxa"/>
            <w:tcBorders>
              <w:bottom w:val="single" w:sz="10" w:space="0" w:color="000000"/>
            </w:tcBorders>
            <w:vAlign w:val="top"/>
          </w:tcPr>
          <w:p/>
        </w:tc>
        <w:tc>
          <w:tcPr>
            <w:tcW w:w="849" w:type="dxa"/>
            <w:tcBorders>
              <w:bottom w:val="single" w:sz="10" w:space="0" w:color="000000"/>
            </w:tcBorders>
            <w:vAlign w:val="top"/>
          </w:tcPr>
          <w:p/>
        </w:tc>
        <w:tc>
          <w:tcPr>
            <w:tcW w:w="2696" w:type="dxa"/>
            <w:tcBorders>
              <w:bottom w:val="single" w:sz="10" w:space="0" w:color="000000"/>
            </w:tcBorders>
            <w:vAlign w:val="top"/>
          </w:tcPr>
          <w:p>
            <w:pPr>
              <w:pStyle w:val="TableText"/>
              <w:spacing w:before="0" w:line="237" w:lineRule="auto"/>
              <w:ind w:left="114" w:right="53" w:firstLine="2"/>
            </w:pPr>
            <w:r>
              <w:rPr>
                <w:spacing w:val="-7"/>
              </w:rPr>
              <w:t>务。</w:t>
            </w:r>
          </w:p>
        </w:tc>
        <w:tc>
          <w:tcPr>
            <w:tcW w:w="2835" w:type="dxa"/>
            <w:tcBorders>
              <w:bottom w:val="single" w:sz="10" w:space="0" w:color="000000"/>
              <w:right w:val="nil"/>
            </w:tcBorders>
            <w:vAlign w:val="top"/>
          </w:tcPr>
          <w:p/>
        </w:tc>
      </w:tr>
    </w:tbl>
    <w:p>
      <w:pPr>
        <w:spacing w:before="88" w:line="563" w:lineRule="exact"/>
        <w:ind w:left="151"/>
        <w:rPr>
          <w:rFonts w:ascii="SimSun" w:eastAsia="SimSun" w:hAnsi="SimSun" w:cs="SimSun"/>
          <w:sz w:val="18"/>
          <w:szCs w:val="18"/>
        </w:rPr>
      </w:pPr>
      <w:r>
        <w:rPr>
          <w:rFonts w:ascii="SimSun" w:eastAsia="SimSun" w:hAnsi="SimSun" w:cs="SimSun"/>
          <w:spacing w:val="-5"/>
          <w:position w:val="30"/>
          <w:sz w:val="18"/>
          <w:szCs w:val="18"/>
        </w:rPr>
        <w:t>资料来源：新世纪评级根据公开资料整理。</w:t>
      </w:r>
    </w:p>
    <w:p>
      <w:pPr>
        <w:spacing w:line="218" w:lineRule="auto"/>
        <w:ind w:left="56"/>
        <w:rPr>
          <w:rFonts w:ascii="SimHei" w:eastAsia="SimHei" w:hAnsi="SimHei" w:cs="SimHei"/>
          <w:sz w:val="24"/>
          <w:szCs w:val="24"/>
        </w:rPr>
      </w:pPr>
      <w:r>
        <w:rPr>
          <w:rFonts w:ascii="Times New Roman" w:eastAsia="Times New Roman" w:hAnsi="Times New Roman" w:cs="Times New Roman"/>
          <w:spacing w:val="-3"/>
          <w:sz w:val="24"/>
          <w:szCs w:val="24"/>
        </w:rPr>
        <w:t>1.1.</w:t>
      </w:r>
      <w:r>
        <w:rPr>
          <w:rFonts w:ascii="Times New Roman" w:eastAsia="Times New Roman" w:hAnsi="Times New Roman" w:cs="Times New Roman"/>
          <w:spacing w:val="13"/>
          <w:sz w:val="24"/>
          <w:szCs w:val="24"/>
        </w:rPr>
        <w:t xml:space="preserve">   </w:t>
      </w:r>
      <w:r>
        <w:rPr>
          <w:rFonts w:ascii="SimHei" w:eastAsia="SimHei" w:hAnsi="SimHei" w:cs="SimHei"/>
          <w:spacing w:val="-3"/>
          <w:sz w:val="24"/>
          <w:szCs w:val="24"/>
        </w:rPr>
        <w:t>互联网软件与服务行业</w:t>
      </w:r>
    </w:p>
    <w:p>
      <w:pPr>
        <w:spacing w:line="441" w:lineRule="auto"/>
        <w:rPr>
          <w:rFonts w:ascii="Arial"/>
          <w:sz w:val="21"/>
        </w:rPr>
      </w:pPr>
    </w:p>
    <w:p>
      <w:pPr>
        <w:spacing w:before="68" w:line="270" w:lineRule="auto"/>
        <w:ind w:left="39" w:right="23" w:firstLine="8"/>
        <w:jc w:val="both"/>
        <w:rPr>
          <w:rFonts w:ascii="SimHei" w:eastAsia="SimHei" w:hAnsi="SimHei" w:cs="SimHei"/>
          <w:sz w:val="21"/>
          <w:szCs w:val="21"/>
        </w:rPr>
      </w:pPr>
      <w:r>
        <w:rPr>
          <w:rFonts w:ascii="SimHei" w:eastAsia="SimHei" w:hAnsi="SimHei" w:cs="SimHei"/>
          <w:spacing w:val="-3"/>
          <w:sz w:val="21"/>
          <w:szCs w:val="21"/>
        </w:rPr>
        <w:t>受互联网新增用户不断减少、宏观经济增速放缓和行业加强监管整顿等因素影响，</w:t>
      </w:r>
      <w:r>
        <w:rPr>
          <w:rFonts w:ascii="SimHei" w:eastAsia="SimHei" w:hAnsi="SimHei" w:cs="SimHei"/>
          <w:spacing w:val="-37"/>
          <w:sz w:val="21"/>
          <w:szCs w:val="21"/>
        </w:rPr>
        <w:t xml:space="preserve"> </w:t>
      </w:r>
      <w:r>
        <w:rPr>
          <w:rFonts w:ascii="Times New Roman" w:eastAsia="Times New Roman" w:hAnsi="Times New Roman" w:cs="Times New Roman"/>
          <w:spacing w:val="-3"/>
          <w:sz w:val="21"/>
          <w:szCs w:val="21"/>
        </w:rPr>
        <w:t>2022</w:t>
      </w:r>
      <w:r>
        <w:rPr>
          <w:rFonts w:ascii="Times New Roman" w:eastAsia="Times New Roman" w:hAnsi="Times New Roman" w:cs="Times New Roman"/>
          <w:spacing w:val="-4"/>
          <w:sz w:val="21"/>
          <w:szCs w:val="21"/>
        </w:rPr>
        <w:t xml:space="preserve"> </w:t>
      </w:r>
      <w:r>
        <w:rPr>
          <w:rFonts w:ascii="SimHei" w:eastAsia="SimHei" w:hAnsi="SimHei" w:cs="SimHei"/>
          <w:spacing w:val="-4"/>
          <w:sz w:val="21"/>
          <w:szCs w:val="21"/>
        </w:rPr>
        <w:t>年互联网行业整体</w:t>
      </w:r>
      <w:r>
        <w:rPr>
          <w:rFonts w:ascii="SimHei" w:eastAsia="SimHei" w:hAnsi="SimHei" w:cs="SimHei"/>
          <w:sz w:val="21"/>
          <w:szCs w:val="21"/>
        </w:rPr>
        <w:t xml:space="preserve"> </w:t>
      </w:r>
      <w:r>
        <w:rPr>
          <w:rFonts w:ascii="SimHei" w:eastAsia="SimHei" w:hAnsi="SimHei" w:cs="SimHei"/>
          <w:spacing w:val="-5"/>
          <w:sz w:val="21"/>
          <w:szCs w:val="21"/>
        </w:rPr>
        <w:t>经营承压，</w:t>
      </w:r>
      <w:r>
        <w:rPr>
          <w:rFonts w:ascii="SimHei" w:eastAsia="SimHei" w:hAnsi="SimHei" w:cs="SimHei"/>
          <w:spacing w:val="-40"/>
          <w:sz w:val="21"/>
          <w:szCs w:val="21"/>
        </w:rPr>
        <w:t xml:space="preserve"> </w:t>
      </w:r>
      <w:r>
        <w:rPr>
          <w:rFonts w:ascii="SimHei" w:eastAsia="SimHei" w:hAnsi="SimHei" w:cs="SimHei"/>
          <w:spacing w:val="-5"/>
          <w:sz w:val="21"/>
          <w:szCs w:val="21"/>
        </w:rPr>
        <w:t>收入出现下滑。</w:t>
      </w:r>
      <w:r>
        <w:rPr>
          <w:rFonts w:ascii="Times New Roman" w:eastAsia="Times New Roman" w:hAnsi="Times New Roman" w:cs="Times New Roman"/>
          <w:spacing w:val="-5"/>
          <w:sz w:val="21"/>
          <w:szCs w:val="21"/>
        </w:rPr>
        <w:t xml:space="preserve">2023 </w:t>
      </w:r>
      <w:r>
        <w:rPr>
          <w:rFonts w:ascii="SimHei" w:eastAsia="SimHei" w:hAnsi="SimHei" w:cs="SimHei"/>
          <w:spacing w:val="-5"/>
          <w:sz w:val="21"/>
          <w:szCs w:val="21"/>
        </w:rPr>
        <w:t>年以来经营环境整体有所改善，收入有小幅增长；</w:t>
      </w:r>
      <w:r>
        <w:rPr>
          <w:rFonts w:ascii="SimHei" w:eastAsia="SimHei" w:hAnsi="SimHei" w:cs="SimHei"/>
          <w:spacing w:val="-5"/>
          <w:sz w:val="21"/>
          <w:szCs w:val="21"/>
        </w:rPr>
        <w:t xml:space="preserve"> </w:t>
      </w:r>
      <w:r>
        <w:rPr>
          <w:rFonts w:ascii="SimHei" w:eastAsia="SimHei" w:hAnsi="SimHei" w:cs="SimHei"/>
          <w:spacing w:val="-5"/>
          <w:sz w:val="21"/>
          <w:szCs w:val="21"/>
        </w:rPr>
        <w:t>因行业内企业积极实施</w:t>
      </w:r>
      <w:r>
        <w:rPr>
          <w:rFonts w:ascii="SimHei" w:eastAsia="SimHei" w:hAnsi="SimHei" w:cs="SimHei"/>
          <w:sz w:val="21"/>
          <w:szCs w:val="21"/>
        </w:rPr>
        <w:t xml:space="preserve"> </w:t>
      </w:r>
      <w:r>
        <w:rPr>
          <w:rFonts w:ascii="SimHei" w:eastAsia="SimHei" w:hAnsi="SimHei" w:cs="SimHei"/>
          <w:sz w:val="21"/>
          <w:szCs w:val="21"/>
        </w:rPr>
        <w:t>降本增效策略且效果显著，加之研发投入规</w:t>
      </w:r>
      <w:r>
        <w:rPr>
          <w:rFonts w:ascii="SimHei" w:eastAsia="SimHei" w:hAnsi="SimHei" w:cs="SimHei"/>
          <w:spacing w:val="-1"/>
          <w:sz w:val="21"/>
          <w:szCs w:val="21"/>
        </w:rPr>
        <w:t>模随着投入趋于谨慎而下滑，盈利规模仍实现较好增长。互联</w:t>
      </w:r>
    </w:p>
    <w:p>
      <w:pPr>
        <w:spacing w:line="270" w:lineRule="auto"/>
        <w:rPr>
          <w:rFonts w:ascii="SimHei" w:eastAsia="SimHei" w:hAnsi="SimHei" w:cs="SimHei"/>
          <w:sz w:val="21"/>
          <w:szCs w:val="21"/>
        </w:rPr>
        <w:sectPr>
          <w:headerReference w:type="default" r:id="rId10"/>
          <w:footerReference w:type="default" r:id="rId11"/>
          <w:type w:val="nextPage"/>
          <w:pgSz w:w="11907" w:h="16839"/>
          <w:pgMar w:top="1336" w:right="1104" w:bottom="1272" w:left="1104" w:header="1148" w:footer="1077" w:gutter="0"/>
          <w:pgNumType w:start="4"/>
          <w:cols w:space="708"/>
          <w:titlePg w:val="0"/>
        </w:sectPr>
      </w:pPr>
    </w:p>
    <w:p>
      <w:pPr>
        <w:spacing w:line="325" w:lineRule="auto"/>
        <w:rPr>
          <w:rFonts w:ascii="Arial"/>
          <w:sz w:val="21"/>
        </w:rPr>
      </w:pPr>
      <w:r>
        <w:pict>
          <v:shape id="_x0000_s1027" type="#_x0000_t202" style="width:12.75pt;height:7.4pt;margin-top:249.05pt;margin-left:416.03pt;mso-position-horizontal-relative:page;mso-position-vertical-relative:page;position:absolute;z-index:251662336"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60%</w:t>
                  </w:r>
                </w:p>
              </w:txbxContent>
            </v:textbox>
          </v:shape>
        </w:pict>
      </w:r>
      <w:r>
        <w:pict>
          <v:shape id="_x0000_s1028" type="#_x0000_t202" style="width:7.8pt;height:7.3pt;margin-top:249.14pt;margin-left:408.44pt;mso-position-horizontal-relative:page;mso-position-vertical-relative:page;position:absolute;z-index:251663360" o:allowincell="f" filled="f" stroked="f">
            <o:lock v:ext="edit" aspectratio="f"/>
            <v:textbox inset="0,0,0,0">
              <w:txbxContent>
                <w:p>
                  <w:pPr>
                    <w:spacing w:before="20" w:line="183"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2"/>
                      <w:sz w:val="12"/>
                      <w:szCs w:val="12"/>
                    </w:rPr>
                    <w:t>75</w:t>
                  </w:r>
                </w:p>
              </w:txbxContent>
            </v:textbox>
          </v:shape>
        </w:pict>
      </w:r>
      <w:r>
        <w:pict>
          <v:shape id="_x0000_s1029" style="width:72.5pt;height:15.15pt;margin-top:293.52pt;margin-left:118.56pt;mso-position-horizontal-relative:page;mso-position-vertical-relative:page;position:absolute;z-index:251664384" coordorigin="0,0" coordsize="1450,302" o:allowincell="f" path="m22,279l1426,22e" filled="f" strokecolor="#4f81bd" strokeweight="2.28pt">
            <v:stroke endcap="round"/>
          </v:shape>
        </w:pict>
      </w:r>
      <w:r>
        <w:pict>
          <v:shape id="_x0000_s1030" style="width:481.8pt;height:0.5pt;margin-top:375.41pt;margin-left:56.88pt;mso-position-horizontal-relative:page;mso-position-vertical-relative:page;position:absolute;z-index:251661312" coordorigin="0,0" coordsize="9635,10" o:allowincell="f" path="m,9l9635,9l9635,l,l,9xe" filled="t" fillcolor="black" stroked="f"/>
        </w:pict>
      </w:r>
    </w:p>
    <w:p>
      <w:pPr>
        <w:spacing w:before="68" w:line="255" w:lineRule="auto"/>
        <w:ind w:left="271" w:right="65" w:firstLine="11"/>
        <w:rPr>
          <w:rFonts w:ascii="SimHei" w:eastAsia="SimHei" w:hAnsi="SimHei" w:cs="SimHei"/>
          <w:sz w:val="21"/>
          <w:szCs w:val="21"/>
        </w:rPr>
      </w:pPr>
      <w:r>
        <w:rPr>
          <w:rFonts w:ascii="SimHei" w:eastAsia="SimHei" w:hAnsi="SimHei" w:cs="SimHei"/>
          <w:spacing w:val="-2"/>
          <w:sz w:val="21"/>
          <w:szCs w:val="21"/>
        </w:rPr>
        <w:t>网行业企业数量众多且仍在不断增加，在整体经营环境承压和市场趋于饱和</w:t>
      </w:r>
      <w:r>
        <w:rPr>
          <w:rFonts w:ascii="SimHei" w:eastAsia="SimHei" w:hAnsi="SimHei" w:cs="SimHei"/>
          <w:spacing w:val="-3"/>
          <w:sz w:val="21"/>
          <w:szCs w:val="21"/>
        </w:rPr>
        <w:t>的背景下，</w:t>
      </w:r>
      <w:r>
        <w:rPr>
          <w:rFonts w:ascii="SimHei" w:eastAsia="SimHei" w:hAnsi="SimHei" w:cs="SimHei"/>
          <w:spacing w:val="-34"/>
          <w:sz w:val="21"/>
          <w:szCs w:val="21"/>
        </w:rPr>
        <w:t xml:space="preserve"> </w:t>
      </w:r>
      <w:r>
        <w:rPr>
          <w:rFonts w:ascii="SimHei" w:eastAsia="SimHei" w:hAnsi="SimHei" w:cs="SimHei"/>
          <w:spacing w:val="-3"/>
          <w:sz w:val="21"/>
          <w:szCs w:val="21"/>
        </w:rPr>
        <w:t>行业竞争将持续加</w:t>
      </w:r>
      <w:r>
        <w:rPr>
          <w:rFonts w:ascii="SimHei" w:eastAsia="SimHei" w:hAnsi="SimHei" w:cs="SimHei"/>
          <w:sz w:val="21"/>
          <w:szCs w:val="21"/>
        </w:rPr>
        <w:t xml:space="preserve"> </w:t>
      </w:r>
      <w:r>
        <w:rPr>
          <w:rFonts w:ascii="SimHei" w:eastAsia="SimHei" w:hAnsi="SimHei" w:cs="SimHei"/>
          <w:spacing w:val="-1"/>
          <w:sz w:val="21"/>
          <w:szCs w:val="21"/>
        </w:rPr>
        <w:t>剧，行业集中度有望进一步提升。</w:t>
      </w:r>
    </w:p>
    <w:p>
      <w:pPr>
        <w:spacing w:before="217" w:line="284" w:lineRule="auto"/>
        <w:ind w:left="272" w:right="65"/>
        <w:jc w:val="both"/>
        <w:rPr>
          <w:rFonts w:ascii="SimSun" w:eastAsia="SimSun" w:hAnsi="SimSun" w:cs="SimSun"/>
          <w:sz w:val="21"/>
          <w:szCs w:val="21"/>
        </w:rPr>
      </w:pPr>
      <w:r>
        <w:rPr>
          <w:rFonts w:ascii="SimSun" w:eastAsia="SimSun" w:hAnsi="SimSun" w:cs="SimSun"/>
          <w:spacing w:val="-2"/>
          <w:sz w:val="21"/>
          <w:szCs w:val="21"/>
        </w:rPr>
        <w:t>根据中国互联网络信息中心</w:t>
      </w:r>
      <w:r>
        <w:rPr>
          <w:rFonts w:ascii="Times New Roman" w:eastAsia="Times New Roman" w:hAnsi="Times New Roman" w:cs="Times New Roman"/>
          <w:spacing w:val="-2"/>
          <w:sz w:val="21"/>
          <w:szCs w:val="21"/>
        </w:rPr>
        <w:t>(CNNIC)</w:t>
      </w:r>
      <w:r>
        <w:rPr>
          <w:rFonts w:ascii="SimSun" w:eastAsia="SimSun" w:hAnsi="SimSun" w:cs="SimSun"/>
          <w:spacing w:val="-2"/>
          <w:sz w:val="21"/>
          <w:szCs w:val="21"/>
        </w:rPr>
        <w:t>发布的第</w:t>
      </w:r>
      <w:r>
        <w:rPr>
          <w:rFonts w:ascii="SimSun" w:eastAsia="SimSun" w:hAnsi="SimSun" w:cs="SimSun"/>
          <w:spacing w:val="-42"/>
          <w:sz w:val="21"/>
          <w:szCs w:val="21"/>
        </w:rPr>
        <w:t xml:space="preserve"> </w:t>
      </w:r>
      <w:r>
        <w:rPr>
          <w:rFonts w:ascii="Times New Roman" w:eastAsia="Times New Roman" w:hAnsi="Times New Roman" w:cs="Times New Roman"/>
          <w:spacing w:val="-2"/>
          <w:sz w:val="21"/>
          <w:szCs w:val="21"/>
        </w:rPr>
        <w:t>52</w:t>
      </w:r>
      <w:r>
        <w:rPr>
          <w:rFonts w:ascii="Times New Roman" w:eastAsia="Times New Roman" w:hAnsi="Times New Roman" w:cs="Times New Roman"/>
          <w:spacing w:val="14"/>
          <w:w w:val="101"/>
          <w:sz w:val="21"/>
          <w:szCs w:val="21"/>
        </w:rPr>
        <w:t xml:space="preserve"> </w:t>
      </w:r>
      <w:r>
        <w:rPr>
          <w:rFonts w:ascii="SimSun" w:eastAsia="SimSun" w:hAnsi="SimSun" w:cs="SimSun"/>
          <w:spacing w:val="-2"/>
          <w:sz w:val="21"/>
          <w:szCs w:val="21"/>
        </w:rPr>
        <w:t>次中国互联网络发展状况统计报告</w:t>
      </w:r>
      <w:r>
        <w:rPr>
          <w:rFonts w:ascii="SimSun" w:eastAsia="SimSun" w:hAnsi="SimSun" w:cs="SimSun"/>
          <w:spacing w:val="-3"/>
          <w:sz w:val="21"/>
          <w:szCs w:val="21"/>
        </w:rPr>
        <w:t>显示，近年来我国数字</w:t>
      </w:r>
      <w:r>
        <w:rPr>
          <w:rFonts w:ascii="SimSun" w:eastAsia="SimSun" w:hAnsi="SimSun" w:cs="SimSun"/>
          <w:sz w:val="21"/>
          <w:szCs w:val="21"/>
        </w:rPr>
        <w:t xml:space="preserve"> </w:t>
      </w:r>
      <w:r>
        <w:rPr>
          <w:rFonts w:ascii="SimSun" w:eastAsia="SimSun" w:hAnsi="SimSun" w:cs="SimSun"/>
          <w:sz w:val="21"/>
          <w:szCs w:val="21"/>
        </w:rPr>
        <w:t>基础设施建设进一步加快，数字资源应用不断丰</w:t>
      </w:r>
      <w:r>
        <w:rPr>
          <w:rFonts w:ascii="SimSun" w:eastAsia="SimSun" w:hAnsi="SimSun" w:cs="SimSun"/>
          <w:spacing w:val="-1"/>
          <w:sz w:val="21"/>
          <w:szCs w:val="21"/>
        </w:rPr>
        <w:t>富，用网环境持续优化，带动互联网普及率持续提高。截</w:t>
      </w:r>
      <w:r>
        <w:rPr>
          <w:rFonts w:ascii="SimSun" w:eastAsia="SimSun" w:hAnsi="SimSun" w:cs="SimSun"/>
          <w:sz w:val="21"/>
          <w:szCs w:val="21"/>
        </w:rPr>
        <w:t xml:space="preserve"> </w:t>
      </w:r>
      <w:r>
        <w:rPr>
          <w:rFonts w:ascii="SimSun" w:eastAsia="SimSun" w:hAnsi="SimSun" w:cs="SimSun"/>
          <w:spacing w:val="-4"/>
          <w:sz w:val="21"/>
          <w:szCs w:val="21"/>
        </w:rPr>
        <w:t xml:space="preserve">至 </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w:t>
      </w:r>
      <w:r>
        <w:rPr>
          <w:rFonts w:ascii="SimSun" w:eastAsia="SimSun" w:hAnsi="SimSun" w:cs="SimSun"/>
          <w:spacing w:val="-30"/>
          <w:sz w:val="21"/>
          <w:szCs w:val="21"/>
        </w:rPr>
        <w:t xml:space="preserve"> </w:t>
      </w:r>
      <w:r>
        <w:rPr>
          <w:rFonts w:ascii="Times New Roman" w:eastAsia="Times New Roman" w:hAnsi="Times New Roman" w:cs="Times New Roman"/>
          <w:spacing w:val="-4"/>
          <w:sz w:val="21"/>
          <w:szCs w:val="21"/>
        </w:rPr>
        <w:t>6</w:t>
      </w:r>
      <w:r>
        <w:rPr>
          <w:rFonts w:ascii="Times New Roman" w:eastAsia="Times New Roman" w:hAnsi="Times New Roman" w:cs="Times New Roman"/>
          <w:spacing w:val="13"/>
          <w:w w:val="101"/>
          <w:sz w:val="21"/>
          <w:szCs w:val="21"/>
        </w:rPr>
        <w:t xml:space="preserve"> </w:t>
      </w:r>
      <w:r>
        <w:rPr>
          <w:rFonts w:ascii="SimSun" w:eastAsia="SimSun" w:hAnsi="SimSun" w:cs="SimSun"/>
          <w:spacing w:val="-4"/>
          <w:sz w:val="21"/>
          <w:szCs w:val="21"/>
        </w:rPr>
        <w:t>月末，</w:t>
      </w:r>
      <w:r>
        <w:rPr>
          <w:rFonts w:ascii="SimSun" w:eastAsia="SimSun" w:hAnsi="SimSun" w:cs="SimSun"/>
          <w:spacing w:val="-52"/>
          <w:sz w:val="21"/>
          <w:szCs w:val="21"/>
        </w:rPr>
        <w:t xml:space="preserve"> </w:t>
      </w:r>
      <w:r>
        <w:rPr>
          <w:rFonts w:ascii="SimSun" w:eastAsia="SimSun" w:hAnsi="SimSun" w:cs="SimSun"/>
          <w:spacing w:val="-4"/>
          <w:sz w:val="21"/>
          <w:szCs w:val="21"/>
        </w:rPr>
        <w:t>我国互联网普及率达</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76.4%</w:t>
      </w:r>
      <w:r>
        <w:rPr>
          <w:rFonts w:ascii="SimSun" w:eastAsia="SimSun" w:hAnsi="SimSun" w:cs="SimSun"/>
          <w:spacing w:val="-4"/>
          <w:sz w:val="21"/>
          <w:szCs w:val="21"/>
        </w:rPr>
        <w:t>，较</w:t>
      </w:r>
      <w:r>
        <w:rPr>
          <w:rFonts w:ascii="SimSun" w:eastAsia="SimSun" w:hAnsi="SimSun" w:cs="SimSun"/>
          <w:spacing w:val="-39"/>
          <w:sz w:val="21"/>
          <w:szCs w:val="21"/>
        </w:rPr>
        <w:t xml:space="preserve"> </w:t>
      </w:r>
      <w:r>
        <w:rPr>
          <w:rFonts w:ascii="Times New Roman" w:eastAsia="Times New Roman" w:hAnsi="Times New Roman" w:cs="Times New Roman"/>
          <w:spacing w:val="-4"/>
          <w:sz w:val="21"/>
          <w:szCs w:val="21"/>
        </w:rPr>
        <w:t xml:space="preserve">2022 </w:t>
      </w:r>
      <w:r>
        <w:rPr>
          <w:rFonts w:ascii="SimSun" w:eastAsia="SimSun" w:hAnsi="SimSun" w:cs="SimSun"/>
          <w:spacing w:val="-4"/>
          <w:sz w:val="21"/>
          <w:szCs w:val="21"/>
        </w:rPr>
        <w:t>年末进一步提升</w:t>
      </w:r>
      <w:r>
        <w:rPr>
          <w:rFonts w:ascii="SimSun" w:eastAsia="SimSun" w:hAnsi="SimSun" w:cs="SimSun"/>
          <w:spacing w:val="-46"/>
          <w:sz w:val="21"/>
          <w:szCs w:val="21"/>
        </w:rPr>
        <w:t xml:space="preserve"> </w:t>
      </w:r>
      <w:r>
        <w:rPr>
          <w:rFonts w:ascii="Times New Roman" w:eastAsia="Times New Roman" w:hAnsi="Times New Roman" w:cs="Times New Roman"/>
          <w:spacing w:val="-4"/>
          <w:sz w:val="21"/>
          <w:szCs w:val="21"/>
        </w:rPr>
        <w:t xml:space="preserve">0.8 </w:t>
      </w:r>
      <w:r>
        <w:rPr>
          <w:rFonts w:ascii="SimSun" w:eastAsia="SimSun" w:hAnsi="SimSun" w:cs="SimSun"/>
          <w:spacing w:val="-4"/>
          <w:sz w:val="21"/>
          <w:szCs w:val="21"/>
        </w:rPr>
        <w:t>个百分点，网民规模为</w:t>
      </w:r>
      <w:r>
        <w:rPr>
          <w:rFonts w:ascii="SimSun" w:eastAsia="SimSun" w:hAnsi="SimSun" w:cs="SimSun"/>
          <w:spacing w:val="-30"/>
          <w:sz w:val="21"/>
          <w:szCs w:val="21"/>
        </w:rPr>
        <w:t xml:space="preserve"> </w:t>
      </w:r>
      <w:r>
        <w:rPr>
          <w:rFonts w:ascii="Times New Roman" w:eastAsia="Times New Roman" w:hAnsi="Times New Roman" w:cs="Times New Roman"/>
          <w:spacing w:val="-4"/>
          <w:sz w:val="21"/>
          <w:szCs w:val="21"/>
        </w:rPr>
        <w:t>10.79</w:t>
      </w:r>
      <w:r>
        <w:rPr>
          <w:rFonts w:ascii="Times New Roman" w:eastAsia="Times New Roman" w:hAnsi="Times New Roman" w:cs="Times New Roman"/>
          <w:sz w:val="21"/>
          <w:szCs w:val="21"/>
        </w:rPr>
        <w:t xml:space="preserve"> </w:t>
      </w:r>
      <w:r>
        <w:rPr>
          <w:rFonts w:ascii="SimSun" w:eastAsia="SimSun" w:hAnsi="SimSun" w:cs="SimSun"/>
          <w:spacing w:val="-7"/>
          <w:sz w:val="21"/>
          <w:szCs w:val="21"/>
        </w:rPr>
        <w:t xml:space="preserve">亿人， 较 </w:t>
      </w:r>
      <w:r>
        <w:rPr>
          <w:rFonts w:ascii="Times New Roman" w:eastAsia="Times New Roman" w:hAnsi="Times New Roman" w:cs="Times New Roman"/>
          <w:spacing w:val="-7"/>
          <w:sz w:val="21"/>
          <w:szCs w:val="21"/>
        </w:rPr>
        <w:t>2022</w:t>
      </w:r>
      <w:r>
        <w:rPr>
          <w:rFonts w:ascii="Times New Roman" w:eastAsia="Times New Roman" w:hAnsi="Times New Roman" w:cs="Times New Roman"/>
          <w:spacing w:val="12"/>
          <w:sz w:val="21"/>
          <w:szCs w:val="21"/>
        </w:rPr>
        <w:t xml:space="preserve"> </w:t>
      </w:r>
      <w:r>
        <w:rPr>
          <w:rFonts w:ascii="SimSun" w:eastAsia="SimSun" w:hAnsi="SimSun" w:cs="SimSun"/>
          <w:spacing w:val="-7"/>
          <w:sz w:val="21"/>
          <w:szCs w:val="21"/>
        </w:rPr>
        <w:t>年末新增网民</w:t>
      </w:r>
      <w:r>
        <w:rPr>
          <w:rFonts w:ascii="SimSun" w:eastAsia="SimSun" w:hAnsi="SimSun" w:cs="SimSun"/>
          <w:spacing w:val="-25"/>
          <w:sz w:val="21"/>
          <w:szCs w:val="21"/>
        </w:rPr>
        <w:t xml:space="preserve"> </w:t>
      </w:r>
      <w:r>
        <w:rPr>
          <w:rFonts w:ascii="Times New Roman" w:eastAsia="Times New Roman" w:hAnsi="Times New Roman" w:cs="Times New Roman"/>
          <w:spacing w:val="-7"/>
          <w:sz w:val="21"/>
          <w:szCs w:val="21"/>
        </w:rPr>
        <w:t>1109</w:t>
      </w:r>
      <w:r>
        <w:rPr>
          <w:rFonts w:ascii="Times New Roman" w:eastAsia="Times New Roman" w:hAnsi="Times New Roman" w:cs="Times New Roman"/>
          <w:spacing w:val="16"/>
          <w:w w:val="101"/>
          <w:sz w:val="21"/>
          <w:szCs w:val="21"/>
        </w:rPr>
        <w:t xml:space="preserve"> </w:t>
      </w:r>
      <w:r>
        <w:rPr>
          <w:rFonts w:ascii="SimSun" w:eastAsia="SimSun" w:hAnsi="SimSun" w:cs="SimSun"/>
          <w:spacing w:val="-7"/>
          <w:sz w:val="21"/>
          <w:szCs w:val="21"/>
        </w:rPr>
        <w:t>万，其中手机网民规模达</w:t>
      </w:r>
      <w:r>
        <w:rPr>
          <w:rFonts w:ascii="SimSun" w:eastAsia="SimSun" w:hAnsi="SimSun" w:cs="SimSun"/>
          <w:spacing w:val="-25"/>
          <w:sz w:val="21"/>
          <w:szCs w:val="21"/>
        </w:rPr>
        <w:t xml:space="preserve"> </w:t>
      </w:r>
      <w:r>
        <w:rPr>
          <w:rFonts w:ascii="Times New Roman" w:eastAsia="Times New Roman" w:hAnsi="Times New Roman" w:cs="Times New Roman"/>
          <w:spacing w:val="-7"/>
          <w:sz w:val="21"/>
          <w:szCs w:val="21"/>
        </w:rPr>
        <w:t>10.76</w:t>
      </w:r>
      <w:r>
        <w:rPr>
          <w:rFonts w:ascii="Times New Roman" w:eastAsia="Times New Roman" w:hAnsi="Times New Roman" w:cs="Times New Roman"/>
          <w:spacing w:val="11"/>
          <w:sz w:val="21"/>
          <w:szCs w:val="21"/>
        </w:rPr>
        <w:t xml:space="preserve"> </w:t>
      </w:r>
      <w:r>
        <w:rPr>
          <w:rFonts w:ascii="SimSun" w:eastAsia="SimSun" w:hAnsi="SimSun" w:cs="SimSun"/>
          <w:spacing w:val="-7"/>
          <w:sz w:val="21"/>
          <w:szCs w:val="21"/>
        </w:rPr>
        <w:t>亿， 占比达</w:t>
      </w:r>
      <w:r>
        <w:rPr>
          <w:rFonts w:ascii="SimSun" w:eastAsia="SimSun" w:hAnsi="SimSun" w:cs="SimSun"/>
          <w:spacing w:val="-41"/>
          <w:sz w:val="21"/>
          <w:szCs w:val="21"/>
        </w:rPr>
        <w:t xml:space="preserve"> </w:t>
      </w:r>
      <w:r>
        <w:rPr>
          <w:rFonts w:ascii="Times New Roman" w:eastAsia="Times New Roman" w:hAnsi="Times New Roman" w:cs="Times New Roman"/>
          <w:spacing w:val="-7"/>
          <w:sz w:val="21"/>
          <w:szCs w:val="21"/>
        </w:rPr>
        <w:t>9</w:t>
      </w:r>
      <w:r>
        <w:rPr>
          <w:rFonts w:ascii="Times New Roman" w:eastAsia="Times New Roman" w:hAnsi="Times New Roman" w:cs="Times New Roman"/>
          <w:spacing w:val="-8"/>
          <w:sz w:val="21"/>
          <w:szCs w:val="21"/>
        </w:rPr>
        <w:t>9.8%</w:t>
      </w:r>
      <w:r>
        <w:rPr>
          <w:rFonts w:ascii="SimSun" w:eastAsia="SimSun" w:hAnsi="SimSun" w:cs="SimSun"/>
          <w:spacing w:val="-8"/>
          <w:sz w:val="21"/>
          <w:szCs w:val="21"/>
        </w:rPr>
        <w:t>。但总体看， 随着我</w:t>
      </w:r>
      <w:r>
        <w:rPr>
          <w:rFonts w:ascii="SimSun" w:eastAsia="SimSun" w:hAnsi="SimSun" w:cs="SimSun"/>
          <w:sz w:val="21"/>
          <w:szCs w:val="21"/>
        </w:rPr>
        <w:t xml:space="preserve"> </w:t>
      </w:r>
      <w:r>
        <w:rPr>
          <w:rFonts w:ascii="SimSun" w:eastAsia="SimSun" w:hAnsi="SimSun" w:cs="SimSun"/>
          <w:spacing w:val="-3"/>
          <w:sz w:val="21"/>
          <w:szCs w:val="21"/>
        </w:rPr>
        <w:t>国互联网普及率的不断提升并逐渐趋向饱和， 网民规模增速和互联网普及率上升速度持续放缓。</w:t>
      </w:r>
    </w:p>
    <w:p>
      <w:pPr>
        <w:spacing w:before="140" w:line="232" w:lineRule="auto"/>
        <w:ind w:left="277"/>
        <w:rPr>
          <w:rFonts w:ascii="SimHei" w:eastAsia="SimHei" w:hAnsi="SimHei" w:cs="SimHei"/>
          <w:sz w:val="18"/>
          <w:szCs w:val="18"/>
        </w:rPr>
      </w:pPr>
      <w:r>
        <w:rPr>
          <w:rFonts w:ascii="SimHei" w:eastAsia="SimHei" w:hAnsi="SimHei" w:cs="SimHei"/>
          <w:spacing w:val="-4"/>
          <w:sz w:val="18"/>
          <w:szCs w:val="18"/>
        </w:rPr>
        <w:t>图表</w:t>
      </w:r>
      <w:r>
        <w:rPr>
          <w:rFonts w:ascii="SimHei" w:eastAsia="SimHei" w:hAnsi="SimHei" w:cs="SimHei"/>
          <w:spacing w:val="-40"/>
          <w:sz w:val="18"/>
          <w:szCs w:val="18"/>
        </w:rPr>
        <w:t xml:space="preserve"> </w:t>
      </w:r>
      <w:r>
        <w:rPr>
          <w:rFonts w:ascii="Times New Roman" w:eastAsia="Times New Roman" w:hAnsi="Times New Roman" w:cs="Times New Roman"/>
          <w:spacing w:val="-4"/>
          <w:sz w:val="18"/>
          <w:szCs w:val="18"/>
        </w:rPr>
        <w:t xml:space="preserve">2.    2020 </w:t>
      </w:r>
      <w:r>
        <w:rPr>
          <w:rFonts w:ascii="SimHei" w:eastAsia="SimHei" w:hAnsi="SimHei" w:cs="SimHei"/>
          <w:spacing w:val="-4"/>
          <w:sz w:val="18"/>
          <w:szCs w:val="18"/>
        </w:rPr>
        <w:t>年以来我国互联网普及率及网民增</w:t>
      </w:r>
      <w:r>
        <w:rPr>
          <w:rFonts w:ascii="SimHei" w:eastAsia="SimHei" w:hAnsi="SimHei" w:cs="SimHei"/>
          <w:spacing w:val="-5"/>
          <w:sz w:val="18"/>
          <w:szCs w:val="18"/>
        </w:rPr>
        <w:t>加规模（单位：</w:t>
      </w:r>
      <w:r>
        <w:rPr>
          <w:rFonts w:ascii="SimHei" w:eastAsia="SimHei" w:hAnsi="SimHei" w:cs="SimHei"/>
          <w:spacing w:val="42"/>
          <w:sz w:val="18"/>
          <w:szCs w:val="18"/>
        </w:rPr>
        <w:t xml:space="preserve"> </w:t>
      </w:r>
      <w:r>
        <w:rPr>
          <w:rFonts w:ascii="Times New Roman" w:eastAsia="Times New Roman" w:hAnsi="Times New Roman" w:cs="Times New Roman"/>
          <w:spacing w:val="-5"/>
          <w:sz w:val="18"/>
          <w:szCs w:val="18"/>
        </w:rPr>
        <w:t>%</w:t>
      </w:r>
      <w:r>
        <w:rPr>
          <w:rFonts w:ascii="SimHei" w:eastAsia="SimHei" w:hAnsi="SimHei" w:cs="SimHei"/>
          <w:spacing w:val="-5"/>
          <w:sz w:val="18"/>
          <w:szCs w:val="18"/>
        </w:rPr>
        <w:t>）</w:t>
      </w:r>
    </w:p>
    <w:p>
      <w:pPr>
        <w:spacing w:line="184" w:lineRule="exact"/>
      </w:pPr>
    </w:p>
    <w:p>
      <w:pPr>
        <w:spacing w:line="184" w:lineRule="exact"/>
        <w:sectPr>
          <w:headerReference w:type="default" r:id="rId12"/>
          <w:footerReference w:type="default" r:id="rId13"/>
          <w:pgSz w:w="11907" w:h="16839"/>
          <w:pgMar w:top="1336" w:right="1063" w:bottom="1272" w:left="868" w:header="1148" w:footer="1077" w:gutter="0"/>
          <w:pgNumType w:start="5"/>
          <w:cols w:num="1" w:space="708" w:equalWidth="0">
            <w:col w:w="9976" w:space="0"/>
          </w:cols>
        </w:sectPr>
      </w:pPr>
    </w:p>
    <w:p>
      <w:pPr>
        <w:spacing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2400</w:t>
      </w:r>
    </w:p>
    <w:p>
      <w:pPr>
        <w:spacing w:before="198"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2200</w:t>
      </w:r>
    </w:p>
    <w:p>
      <w:pPr>
        <w:spacing w:before="199"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before="198"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4"/>
          <w:sz w:val="12"/>
          <w:szCs w:val="12"/>
        </w:rPr>
        <w:t>1800</w:t>
      </w:r>
    </w:p>
    <w:p>
      <w:pPr>
        <w:spacing w:before="198"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4"/>
          <w:sz w:val="12"/>
          <w:szCs w:val="12"/>
        </w:rPr>
        <w:t>1600</w:t>
      </w:r>
    </w:p>
    <w:p>
      <w:pPr>
        <w:spacing w:before="199"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4"/>
          <w:sz w:val="12"/>
          <w:szCs w:val="12"/>
        </w:rPr>
        <w:t>1400</w:t>
      </w:r>
    </w:p>
    <w:p>
      <w:pPr>
        <w:spacing w:before="198"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4"/>
          <w:sz w:val="12"/>
          <w:szCs w:val="12"/>
        </w:rPr>
        <w:t>1200</w:t>
      </w:r>
    </w:p>
    <w:p>
      <w:pPr>
        <w:spacing w:before="199"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4"/>
          <w:sz w:val="12"/>
          <w:szCs w:val="12"/>
        </w:rPr>
        <w:t>1000</w:t>
      </w:r>
    </w:p>
    <w:p>
      <w:pPr>
        <w:spacing w:line="14" w:lineRule="auto"/>
        <w:rPr>
          <w:rFonts w:ascii="Arial"/>
          <w:sz w:val="2"/>
        </w:rPr>
      </w:pPr>
      <w:r>
        <w:rPr>
          <w:rFonts w:ascii="Arial" w:eastAsia="Arial" w:hAnsi="Arial" w:cs="Arial"/>
          <w:sz w:val="2"/>
          <w:szCs w:val="2"/>
        </w:rPr>
        <w:br w:type="column"/>
      </w:r>
    </w:p>
    <w:p>
      <w:pPr>
        <w:spacing w:line="32" w:lineRule="exact"/>
      </w:pPr>
    </w:p>
    <w:tbl>
      <w:tblPr>
        <w:tblStyle w:val="TableNormal2"/>
        <w:tblW w:w="8433" w:type="dxa"/>
        <w:tblInd w:w="0" w:type="dxa"/>
        <w:tblBorders>
          <w:top w:val="nil"/>
          <w:left w:val="nil"/>
          <w:bottom w:val="nil"/>
          <w:right w:val="nil"/>
          <w:insideH w:val="nil"/>
          <w:insideV w:val="nil"/>
        </w:tblBorders>
        <w:tblLayout w:type="fixed"/>
      </w:tblPr>
      <w:tblGrid>
        <w:gridCol w:w="1860"/>
        <w:gridCol w:w="953"/>
        <w:gridCol w:w="2155"/>
        <w:gridCol w:w="1517"/>
        <w:gridCol w:w="1344"/>
        <w:gridCol w:w="150"/>
        <w:gridCol w:w="454"/>
      </w:tblGrid>
      <w:tr>
        <w:tblPrEx>
          <w:tblW w:w="8433" w:type="dxa"/>
          <w:tblInd w:w="0" w:type="dxa"/>
          <w:tblBorders>
            <w:top w:val="nil"/>
            <w:left w:val="nil"/>
            <w:bottom w:val="nil"/>
            <w:right w:val="nil"/>
            <w:insideH w:val="nil"/>
            <w:insideV w:val="nil"/>
          </w:tblBorders>
          <w:tblLayout w:type="fixed"/>
        </w:tblPrEx>
        <w:trPr>
          <w:trHeight w:val="303"/>
        </w:trPr>
        <w:tc>
          <w:tcPr>
            <w:tcW w:w="1860" w:type="dxa"/>
            <w:tcBorders>
              <w:top w:val="single" w:sz="4" w:space="0" w:color="D9D9D9"/>
              <w:bottom w:val="single" w:sz="4" w:space="0" w:color="D9D9D9"/>
            </w:tcBorders>
            <w:vAlign w:val="top"/>
          </w:tcPr>
          <w:p>
            <w:pPr>
              <w:rPr>
                <w:rFonts w:ascii="Arial"/>
                <w:sz w:val="21"/>
              </w:rPr>
            </w:pPr>
          </w:p>
        </w:tc>
        <w:tc>
          <w:tcPr>
            <w:tcW w:w="953" w:type="dxa"/>
            <w:tcBorders>
              <w:top w:val="single" w:sz="4" w:space="0" w:color="D9D9D9"/>
              <w:bottom w:val="single" w:sz="4" w:space="0" w:color="D9D9D9"/>
            </w:tcBorders>
            <w:vAlign w:val="top"/>
          </w:tcPr>
          <w:p>
            <w:pPr>
              <w:spacing w:before="147" w:line="186" w:lineRule="auto"/>
              <w:ind w:left="132"/>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2174</w:t>
            </w:r>
          </w:p>
        </w:tc>
        <w:tc>
          <w:tcPr>
            <w:tcW w:w="2155" w:type="dxa"/>
            <w:tcBorders>
              <w:top w:val="single" w:sz="4" w:space="0" w:color="D9D9D9"/>
              <w:bottom w:val="single" w:sz="4" w:space="0" w:color="D9D9D9"/>
            </w:tcBorders>
            <w:vAlign w:val="top"/>
          </w:tcPr>
          <w:p>
            <w:pPr>
              <w:spacing w:before="228" w:line="65" w:lineRule="exact"/>
              <w:ind w:left="584"/>
              <w:rPr>
                <w:rFonts w:ascii="Times New Roman" w:eastAsia="Times New Roman" w:hAnsi="Times New Roman" w:cs="Times New Roman"/>
                <w:sz w:val="12"/>
                <w:szCs w:val="12"/>
              </w:rPr>
            </w:pPr>
            <w:r>
              <w:rPr>
                <w:rFonts w:ascii="Times New Roman" w:eastAsia="Times New Roman" w:hAnsi="Times New Roman" w:cs="Times New Roman"/>
                <w:color w:val="404040"/>
                <w:spacing w:val="-1"/>
                <w:position w:val="-2"/>
                <w:sz w:val="12"/>
                <w:szCs w:val="12"/>
              </w:rPr>
              <w:t>2121</w:t>
            </w:r>
          </w:p>
        </w:tc>
        <w:tc>
          <w:tcPr>
            <w:tcW w:w="2861" w:type="dxa"/>
            <w:gridSpan w:val="2"/>
            <w:tcBorders>
              <w:top w:val="single" w:sz="4" w:space="0" w:color="D9D9D9"/>
              <w:bottom w:val="single" w:sz="4" w:space="0" w:color="D9D9D9"/>
            </w:tcBorders>
            <w:vAlign w:val="top"/>
          </w:tcPr>
          <w:p>
            <w:pPr>
              <w:spacing w:before="102" w:line="191" w:lineRule="exact"/>
              <w:ind w:firstLine="1334"/>
            </w:pPr>
            <w:r>
              <w:rPr>
                <w:position w:val="-6"/>
              </w:rPr>
              <w:pict>
                <v:shape id="_x0000_i1031" style="width:72.65pt;height:10.95pt;mso-position-horizontal-relative:char;mso-position-vertical-relative:line" coordorigin="0,0" coordsize="1453,218" path="m22,195l1429,22e" filled="f" strokecolor="#4f81bd" strokeweight="2.28pt">
                  <v:stroke endcap="round"/>
                  <w10:wrap type="none"/>
                </v:shape>
              </w:pict>
            </w:r>
          </w:p>
        </w:tc>
        <w:tc>
          <w:tcPr>
            <w:tcW w:w="150" w:type="dxa"/>
            <w:tcBorders>
              <w:top w:val="single" w:sz="4" w:space="0" w:color="D9D9D9"/>
              <w:bottom w:val="single" w:sz="4" w:space="0" w:color="D9D9D9"/>
            </w:tcBorders>
            <w:vAlign w:val="top"/>
          </w:tcPr>
          <w:p>
            <w:pPr>
              <w:spacing w:before="91" w:line="183" w:lineRule="auto"/>
              <w:ind w:left="76"/>
              <w:rPr>
                <w:rFonts w:ascii="Times New Roman" w:eastAsia="Times New Roman" w:hAnsi="Times New Roman" w:cs="Times New Roman"/>
                <w:sz w:val="12"/>
                <w:szCs w:val="12"/>
              </w:rPr>
            </w:pPr>
            <w:r>
              <w:rPr>
                <w:rFonts w:ascii="Times New Roman" w:eastAsia="Times New Roman" w:hAnsi="Times New Roman" w:cs="Times New Roman"/>
                <w:color w:val="404040"/>
                <w:sz w:val="12"/>
                <w:szCs w:val="12"/>
              </w:rPr>
              <w:t>7</w:t>
            </w:r>
          </w:p>
        </w:tc>
        <w:tc>
          <w:tcPr>
            <w:tcW w:w="454" w:type="dxa"/>
            <w:tcBorders>
              <w:top w:val="single" w:sz="4" w:space="0" w:color="D9D9D9"/>
              <w:bottom w:val="single" w:sz="4" w:space="0" w:color="D9D9D9"/>
            </w:tcBorders>
            <w:vAlign w:val="top"/>
          </w:tcPr>
          <w:p>
            <w:pPr>
              <w:spacing w:before="89" w:line="186" w:lineRule="auto"/>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6.40%</w:t>
            </w:r>
          </w:p>
        </w:tc>
      </w:tr>
      <w:tr>
        <w:tblPrEx>
          <w:tblW w:w="8433" w:type="dxa"/>
          <w:tblInd w:w="0" w:type="dxa"/>
          <w:tblLayout w:type="fixed"/>
        </w:tblPrEx>
        <w:trPr>
          <w:trHeight w:val="293"/>
        </w:trPr>
        <w:tc>
          <w:tcPr>
            <w:tcW w:w="1860" w:type="dxa"/>
            <w:tcBorders>
              <w:top w:val="single" w:sz="4" w:space="0" w:color="D9D9D9"/>
              <w:bottom w:val="single" w:sz="4" w:space="0" w:color="D9D9D9"/>
            </w:tcBorders>
            <w:vAlign w:val="top"/>
          </w:tcPr>
          <w:p>
            <w:pPr>
              <w:rPr>
                <w:rFonts w:ascii="Arial"/>
                <w:sz w:val="21"/>
              </w:rPr>
            </w:pPr>
          </w:p>
        </w:tc>
        <w:tc>
          <w:tcPr>
            <w:tcW w:w="4625" w:type="dxa"/>
            <w:gridSpan w:val="3"/>
            <w:tcBorders>
              <w:top w:val="single" w:sz="4" w:space="0" w:color="D9D9D9"/>
              <w:bottom w:val="single" w:sz="4" w:space="0" w:color="D9D9D9"/>
            </w:tcBorders>
            <w:vAlign w:val="top"/>
          </w:tcPr>
          <w:p>
            <w:pPr>
              <w:spacing w:line="200" w:lineRule="auto"/>
              <w:ind w:left="3133"/>
              <w:rPr>
                <w:rFonts w:ascii="Times New Roman" w:eastAsia="Times New Roman" w:hAnsi="Times New Roman" w:cs="Times New Roman"/>
                <w:sz w:val="6"/>
                <w:szCs w:val="6"/>
              </w:rPr>
            </w:pPr>
            <w:r>
              <w:drawing>
                <wp:anchor distT="0" distB="0" distL="0" distR="0" simplePos="0" relativeHeight="251665408" behindDoc="1" locked="0" layoutInCell="1" allowOverlap="1">
                  <wp:simplePos x="0" y="0"/>
                  <wp:positionH relativeFrom="column">
                    <wp:posOffset>18287</wp:posOffset>
                  </wp:positionH>
                  <wp:positionV relativeFrom="paragraph">
                    <wp:posOffset>19022</wp:posOffset>
                  </wp:positionV>
                  <wp:extent cx="3849623" cy="113842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4"/>
                          <a:stretch>
                            <a:fillRect/>
                          </a:stretch>
                        </pic:blipFill>
                        <pic:spPr>
                          <a:xfrm>
                            <a:off x="0" y="0"/>
                            <a:ext cx="3849623" cy="1138428"/>
                          </a:xfrm>
                          <a:prstGeom prst="rect">
                            <a:avLst/>
                          </a:prstGeom>
                        </pic:spPr>
                      </pic:pic>
                    </a:graphicData>
                  </a:graphic>
                </wp:anchor>
              </w:drawing>
            </w:r>
            <w:r>
              <w:pict>
                <v:shape id="_x0000_s1032" style="width:72.5pt;height:15pt;margin-top:-1.86pt;margin-left:151.92pt;position:absolute;z-index:-251650048" coordorigin="0,0" coordsize="1450,300" path="m22,277l1426,22e" filled="f" strokecolor="#4f81bd" strokeweight="2.28pt">
                  <v:stroke endcap="round"/>
                </v:shape>
              </w:pict>
            </w:r>
            <w:r>
              <w:rPr>
                <w:rFonts w:ascii="Times New Roman" w:eastAsia="Times New Roman" w:hAnsi="Times New Roman" w:cs="Times New Roman"/>
                <w:color w:val="404040"/>
                <w:spacing w:val="12"/>
                <w:w w:val="159"/>
                <w:sz w:val="6"/>
                <w:szCs w:val="6"/>
              </w:rPr>
              <w:t>74.40%</w:t>
            </w:r>
          </w:p>
          <w:p>
            <w:pPr>
              <w:spacing w:before="33" w:line="156" w:lineRule="exact"/>
              <w:ind w:firstLine="3056"/>
            </w:pPr>
            <w:r>
              <w:rPr>
                <w:position w:val="-3"/>
              </w:rPr>
              <w:pict>
                <v:shape id="_x0000_i1033" style="width:13.1pt;height:7.85pt;mso-position-horizontal-relative:char;mso-position-vertical-relative:line" coordorigin="0,0" coordsize="262,156" path="m3,150l257,6e" filled="f" strokecolor="#a6a6a6" strokeweight="0.72pt">
                  <w10:wrap type="none"/>
                </v:shape>
              </w:pict>
            </w:r>
          </w:p>
        </w:tc>
        <w:tc>
          <w:tcPr>
            <w:tcW w:w="1494" w:type="dxa"/>
            <w:gridSpan w:val="2"/>
            <w:tcBorders>
              <w:top w:val="single" w:sz="4" w:space="0" w:color="D9D9D9"/>
              <w:bottom w:val="single" w:sz="4" w:space="0" w:color="D9D9D9"/>
            </w:tcBorders>
            <w:vAlign w:val="top"/>
          </w:tcPr>
          <w:p>
            <w:pPr>
              <w:spacing w:before="17" w:line="37" w:lineRule="exact"/>
              <w:ind w:left="138"/>
              <w:rPr>
                <w:rFonts w:ascii="Times New Roman" w:eastAsia="Times New Roman" w:hAnsi="Times New Roman" w:cs="Times New Roman"/>
                <w:sz w:val="12"/>
                <w:szCs w:val="12"/>
              </w:rPr>
            </w:pPr>
            <w:r>
              <w:rPr>
                <w:rFonts w:ascii="Times New Roman" w:eastAsia="Times New Roman" w:hAnsi="Times New Roman" w:cs="Times New Roman"/>
                <w:color w:val="404040"/>
                <w:position w:val="1"/>
                <w:sz w:val="12"/>
                <w:szCs w:val="12"/>
              </w:rPr>
              <w:t>.</w:t>
            </w:r>
          </w:p>
        </w:tc>
        <w:tc>
          <w:tcPr>
            <w:tcW w:w="454"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293"/>
        </w:trPr>
        <w:tc>
          <w:tcPr>
            <w:tcW w:w="1860" w:type="dxa"/>
            <w:tcBorders>
              <w:top w:val="single" w:sz="4" w:space="0" w:color="D9D9D9"/>
              <w:bottom w:val="single" w:sz="4" w:space="0" w:color="D9D9D9"/>
            </w:tcBorders>
            <w:vAlign w:val="top"/>
          </w:tcPr>
          <w:p>
            <w:pPr>
              <w:rPr>
                <w:rFonts w:ascii="Arial"/>
                <w:sz w:val="21"/>
              </w:rPr>
            </w:pPr>
          </w:p>
        </w:tc>
        <w:tc>
          <w:tcPr>
            <w:tcW w:w="6119" w:type="dxa"/>
            <w:gridSpan w:val="5"/>
            <w:tcBorders>
              <w:top w:val="single" w:sz="4" w:space="0" w:color="D9D9D9"/>
              <w:bottom w:val="single" w:sz="4" w:space="0" w:color="D9D9D9"/>
            </w:tcBorders>
            <w:vAlign w:val="top"/>
          </w:tcPr>
          <w:p>
            <w:pPr>
              <w:spacing w:line="283" w:lineRule="exact"/>
              <w:ind w:firstLine="1632"/>
            </w:pPr>
            <w:r>
              <w:rPr>
                <w:position w:val="-5"/>
              </w:rPr>
              <w:pict>
                <v:group id="_x0000_i1034" style="width:77.45pt;height:18.55pt;mso-position-horizontal-relative:char;mso-position-vertical-relative:line" coordorigin="0,0" coordsize="1548,370" filled="f" stroked="f">
                  <v:shape id="_x0000_s1035" style="width:1451;height:345;position:absolute" coordorigin="0,0" coordsize="1451,345" path="m22,322l1429,22e" filled="f" strokecolor="#4f81bd" strokeweight="2.28pt">
                    <v:stroke endcap="round"/>
                  </v:shape>
                  <v:shape id="_x0000_s1036" type="#_x0000_t202" style="width:1588;height:410;left:-20;position:absolute;top:-20" filled="f" stroked="f">
                    <o:lock v:ext="edit" aspectratio="f"/>
                    <v:textbox inset="0,0,0,0">
                      <w:txbxContent>
                        <w:p>
                          <w:pPr>
                            <w:spacing w:before="123" w:line="186" w:lineRule="auto"/>
                            <w:ind w:left="1343"/>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1919</w:t>
                          </w:r>
                        </w:p>
                        <w:p>
                          <w:pPr>
                            <w:spacing w:before="75" w:line="186" w:lineRule="auto"/>
                            <w:ind w:left="217"/>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73%</w:t>
                          </w:r>
                        </w:p>
                      </w:txbxContent>
                    </v:textbox>
                  </v:shape>
                  <w10:wrap type="none"/>
                </v:group>
              </w:pict>
            </w:r>
          </w:p>
        </w:tc>
        <w:tc>
          <w:tcPr>
            <w:tcW w:w="454"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293"/>
        </w:trPr>
        <w:tc>
          <w:tcPr>
            <w:tcW w:w="1860" w:type="dxa"/>
            <w:tcBorders>
              <w:top w:val="single" w:sz="4" w:space="0" w:color="D9D9D9"/>
              <w:bottom w:val="single" w:sz="4" w:space="0" w:color="D9D9D9"/>
            </w:tcBorders>
            <w:vAlign w:val="top"/>
          </w:tcPr>
          <w:p>
            <w:pPr>
              <w:rPr>
                <w:rFonts w:ascii="Arial"/>
                <w:sz w:val="21"/>
              </w:rPr>
            </w:pPr>
          </w:p>
        </w:tc>
        <w:tc>
          <w:tcPr>
            <w:tcW w:w="3108" w:type="dxa"/>
            <w:gridSpan w:val="2"/>
            <w:tcBorders>
              <w:top w:val="single" w:sz="4" w:space="0" w:color="D9D9D9"/>
              <w:bottom w:val="single" w:sz="4" w:space="0" w:color="D9D9D9"/>
            </w:tcBorders>
            <w:vAlign w:val="top"/>
          </w:tcPr>
          <w:p>
            <w:pPr>
              <w:spacing w:line="281" w:lineRule="exact"/>
              <w:ind w:firstLine="225"/>
            </w:pPr>
            <w:r>
              <w:rPr>
                <w:position w:val="-5"/>
              </w:rPr>
              <w:pict>
                <v:group id="_x0000_i1037" style="width:72.6pt;height:18.55pt;mso-position-horizontal-relative:char;mso-position-vertical-relative:line" coordorigin="0,0" coordsize="1451,370" filled="f" stroked="f">
                  <v:shape id="_x0000_s1038" style="width:1451;height:345;position:absolute" coordorigin="0,0" coordsize="1451,345" path="m22,322l1429,22e" filled="f" strokecolor="#4f81bd" strokeweight="2.28pt">
                    <v:stroke endcap="round"/>
                  </v:shape>
                  <v:shape id="_x0000_s1039" type="#_x0000_t202" style="width:407;height:125;left:176;position:absolute;top:265"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71.60%</w:t>
                          </w:r>
                        </w:p>
                      </w:txbxContent>
                    </v:textbox>
                  </v:shape>
                  <w10:wrap type="none"/>
                </v:group>
              </w:pict>
            </w:r>
          </w:p>
        </w:tc>
        <w:tc>
          <w:tcPr>
            <w:tcW w:w="3011" w:type="dxa"/>
            <w:gridSpan w:val="3"/>
            <w:tcBorders>
              <w:top w:val="single" w:sz="4" w:space="0" w:color="D9D9D9"/>
              <w:bottom w:val="single" w:sz="4" w:space="0" w:color="D9D9D9"/>
            </w:tcBorders>
            <w:vAlign w:val="top"/>
          </w:tcPr>
          <w:p>
            <w:pPr>
              <w:spacing w:before="59" w:line="186" w:lineRule="auto"/>
              <w:ind w:left="1252"/>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1630</w:t>
            </w:r>
          </w:p>
        </w:tc>
        <w:tc>
          <w:tcPr>
            <w:tcW w:w="454"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296"/>
        </w:trPr>
        <w:tc>
          <w:tcPr>
            <w:tcW w:w="1860" w:type="dxa"/>
            <w:tcBorders>
              <w:top w:val="single" w:sz="4" w:space="0" w:color="D9D9D9"/>
              <w:bottom w:val="single" w:sz="4" w:space="0" w:color="D9D9D9"/>
            </w:tcBorders>
            <w:vAlign w:val="top"/>
          </w:tcPr>
          <w:p>
            <w:pPr>
              <w:rPr>
                <w:rFonts w:ascii="Arial"/>
                <w:sz w:val="21"/>
              </w:rPr>
            </w:pPr>
            <w:r>
              <w:pict>
                <v:shape id="_x0000_s1040" type="#_x0000_t202" style="width:20.35pt;height:7.4pt;margin-top:6.52pt;margin-left:-50.22pt;mso-position-horizontal-relative:right-margin-area;mso-position-vertical-relative:top-margin-area;position:absolute;z-index:251667456"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70.40%</w:t>
                        </w:r>
                      </w:p>
                    </w:txbxContent>
                  </v:textbox>
                </v:shape>
              </w:pict>
            </w:r>
          </w:p>
        </w:tc>
        <w:tc>
          <w:tcPr>
            <w:tcW w:w="6119" w:type="dxa"/>
            <w:gridSpan w:val="5"/>
            <w:tcBorders>
              <w:top w:val="single" w:sz="4" w:space="0" w:color="D9D9D9"/>
              <w:bottom w:val="single" w:sz="4" w:space="0" w:color="D9D9D9"/>
            </w:tcBorders>
            <w:vAlign w:val="top"/>
          </w:tcPr>
          <w:p>
            <w:pPr>
              <w:rPr>
                <w:rFonts w:ascii="Arial"/>
                <w:sz w:val="21"/>
              </w:rPr>
            </w:pPr>
          </w:p>
        </w:tc>
        <w:tc>
          <w:tcPr>
            <w:tcW w:w="454"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293"/>
        </w:trPr>
        <w:tc>
          <w:tcPr>
            <w:tcW w:w="1860" w:type="dxa"/>
            <w:tcBorders>
              <w:top w:val="single" w:sz="4" w:space="0" w:color="D9D9D9"/>
              <w:bottom w:val="single" w:sz="4" w:space="0" w:color="D9D9D9"/>
            </w:tcBorders>
            <w:vAlign w:val="top"/>
          </w:tcPr>
          <w:p>
            <w:pPr>
              <w:rPr>
                <w:rFonts w:ascii="Arial"/>
                <w:sz w:val="21"/>
              </w:rPr>
            </w:pPr>
          </w:p>
        </w:tc>
        <w:tc>
          <w:tcPr>
            <w:tcW w:w="6119" w:type="dxa"/>
            <w:gridSpan w:val="5"/>
            <w:tcBorders>
              <w:top w:val="single" w:sz="4" w:space="0" w:color="D9D9D9"/>
              <w:bottom w:val="single" w:sz="4" w:space="0" w:color="D9D9D9"/>
            </w:tcBorders>
            <w:vAlign w:val="top"/>
          </w:tcPr>
          <w:p>
            <w:pPr>
              <w:spacing w:before="246" w:line="37" w:lineRule="exact"/>
              <w:ind w:left="5766"/>
              <w:rPr>
                <w:rFonts w:ascii="Times New Roman" w:eastAsia="Times New Roman" w:hAnsi="Times New Roman" w:cs="Times New Roman"/>
                <w:sz w:val="5"/>
                <w:szCs w:val="5"/>
              </w:rPr>
            </w:pPr>
            <w:r>
              <w:rPr>
                <w:rFonts w:ascii="Times New Roman" w:eastAsia="Times New Roman" w:hAnsi="Times New Roman" w:cs="Times New Roman"/>
                <w:color w:val="404040"/>
                <w:spacing w:val="18"/>
                <w:w w:val="153"/>
                <w:position w:val="-1"/>
                <w:sz w:val="5"/>
                <w:szCs w:val="5"/>
              </w:rPr>
              <w:t>1109</w:t>
            </w:r>
          </w:p>
        </w:tc>
        <w:tc>
          <w:tcPr>
            <w:tcW w:w="454"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301"/>
        </w:trPr>
        <w:tc>
          <w:tcPr>
            <w:tcW w:w="1860" w:type="dxa"/>
            <w:tcBorders>
              <w:top w:val="single" w:sz="4" w:space="0" w:color="D9D9D9"/>
              <w:bottom w:val="single" w:sz="4" w:space="0" w:color="D9D9D9"/>
            </w:tcBorders>
            <w:vAlign w:val="top"/>
          </w:tcPr>
          <w:p>
            <w:pPr>
              <w:rPr>
                <w:rFonts w:ascii="Arial"/>
                <w:sz w:val="21"/>
              </w:rPr>
            </w:pPr>
          </w:p>
        </w:tc>
        <w:tc>
          <w:tcPr>
            <w:tcW w:w="6119" w:type="dxa"/>
            <w:gridSpan w:val="5"/>
            <w:tcBorders>
              <w:top w:val="single" w:sz="4" w:space="0" w:color="D9D9D9"/>
              <w:bottom w:val="single" w:sz="4" w:space="0" w:color="D9D9D9"/>
            </w:tcBorders>
            <w:vAlign w:val="top"/>
          </w:tcPr>
          <w:p>
            <w:pPr>
              <w:rPr>
                <w:rFonts w:ascii="Arial"/>
                <w:sz w:val="21"/>
              </w:rPr>
            </w:pPr>
          </w:p>
        </w:tc>
        <w:tc>
          <w:tcPr>
            <w:tcW w:w="454" w:type="dxa"/>
            <w:tcBorders>
              <w:top w:val="single" w:sz="4" w:space="0" w:color="D9D9D9"/>
              <w:bottom w:val="single" w:sz="4" w:space="0" w:color="D9D9D9"/>
            </w:tcBorders>
            <w:vAlign w:val="top"/>
          </w:tcPr>
          <w:p>
            <w:pPr>
              <w:rPr>
                <w:rFonts w:ascii="Arial"/>
                <w:sz w:val="21"/>
              </w:rPr>
            </w:pPr>
          </w:p>
        </w:tc>
      </w:tr>
    </w:tbl>
    <w:p>
      <w:pPr>
        <w:spacing w:before="82" w:line="220" w:lineRule="auto"/>
        <w:ind w:left="466"/>
        <w:rPr>
          <w:rFonts w:ascii="SimSun" w:eastAsia="SimSun" w:hAnsi="SimSun" w:cs="SimSun"/>
          <w:sz w:val="12"/>
          <w:szCs w:val="12"/>
        </w:rPr>
      </w:pPr>
      <w:r>
        <w:rPr>
          <w:rFonts w:ascii="Times New Roman" w:eastAsia="Times New Roman" w:hAnsi="Times New Roman" w:cs="Times New Roman"/>
          <w:color w:val="595959"/>
          <w:sz w:val="12"/>
          <w:szCs w:val="12"/>
        </w:rPr>
        <w:t>2020</w:t>
      </w:r>
      <w:r>
        <w:rPr>
          <w:rFonts w:ascii="SimSun" w:eastAsia="SimSun" w:hAnsi="SimSun" w:cs="SimSun"/>
          <w:color w:val="595959"/>
          <w:sz w:val="12"/>
          <w:szCs w:val="12"/>
        </w:rPr>
        <w:t xml:space="preserve">年末              </w:t>
      </w:r>
      <w:r>
        <w:rPr>
          <w:rFonts w:ascii="Times New Roman" w:eastAsia="Times New Roman" w:hAnsi="Times New Roman" w:cs="Times New Roman"/>
          <w:color w:val="595959"/>
          <w:sz w:val="12"/>
          <w:szCs w:val="12"/>
        </w:rPr>
        <w:t>2021</w:t>
      </w:r>
      <w:r>
        <w:rPr>
          <w:rFonts w:ascii="SimSun" w:eastAsia="SimSun" w:hAnsi="SimSun" w:cs="SimSun"/>
          <w:color w:val="595959"/>
          <w:sz w:val="12"/>
          <w:szCs w:val="12"/>
        </w:rPr>
        <w:t>年</w:t>
      </w:r>
      <w:r>
        <w:rPr>
          <w:rFonts w:ascii="Times New Roman" w:eastAsia="Times New Roman" w:hAnsi="Times New Roman" w:cs="Times New Roman"/>
          <w:color w:val="595959"/>
          <w:sz w:val="12"/>
          <w:szCs w:val="12"/>
        </w:rPr>
        <w:t>6</w:t>
      </w:r>
      <w:r>
        <w:rPr>
          <w:rFonts w:ascii="SimSun" w:eastAsia="SimSun" w:hAnsi="SimSun" w:cs="SimSun"/>
          <w:color w:val="595959"/>
          <w:sz w:val="12"/>
          <w:szCs w:val="12"/>
        </w:rPr>
        <w:t xml:space="preserve">月末              </w:t>
      </w:r>
      <w:r>
        <w:rPr>
          <w:rFonts w:ascii="Times New Roman" w:eastAsia="Times New Roman" w:hAnsi="Times New Roman" w:cs="Times New Roman"/>
          <w:color w:val="595959"/>
          <w:sz w:val="12"/>
          <w:szCs w:val="12"/>
        </w:rPr>
        <w:t>2021</w:t>
      </w:r>
      <w:r>
        <w:rPr>
          <w:rFonts w:ascii="SimSun" w:eastAsia="SimSun" w:hAnsi="SimSun" w:cs="SimSun"/>
          <w:color w:val="595959"/>
          <w:sz w:val="12"/>
          <w:szCs w:val="12"/>
        </w:rPr>
        <w:t xml:space="preserve">年末              </w:t>
      </w:r>
      <w:r>
        <w:rPr>
          <w:rFonts w:ascii="Times New Roman" w:eastAsia="Times New Roman" w:hAnsi="Times New Roman" w:cs="Times New Roman"/>
          <w:color w:val="595959"/>
          <w:sz w:val="12"/>
          <w:szCs w:val="12"/>
        </w:rPr>
        <w:t>2022</w:t>
      </w:r>
      <w:r>
        <w:rPr>
          <w:rFonts w:ascii="SimSun" w:eastAsia="SimSun" w:hAnsi="SimSun" w:cs="SimSun"/>
          <w:color w:val="595959"/>
          <w:sz w:val="12"/>
          <w:szCs w:val="12"/>
        </w:rPr>
        <w:t>年</w:t>
      </w:r>
      <w:r>
        <w:rPr>
          <w:rFonts w:ascii="Times New Roman" w:eastAsia="Times New Roman" w:hAnsi="Times New Roman" w:cs="Times New Roman"/>
          <w:color w:val="595959"/>
          <w:sz w:val="12"/>
          <w:szCs w:val="12"/>
        </w:rPr>
        <w:t>6</w:t>
      </w:r>
      <w:r>
        <w:rPr>
          <w:rFonts w:ascii="SimSun" w:eastAsia="SimSun" w:hAnsi="SimSun" w:cs="SimSun"/>
          <w:color w:val="595959"/>
          <w:sz w:val="12"/>
          <w:szCs w:val="12"/>
        </w:rPr>
        <w:t xml:space="preserve">月末              </w:t>
      </w:r>
      <w:r>
        <w:rPr>
          <w:rFonts w:ascii="Times New Roman" w:eastAsia="Times New Roman" w:hAnsi="Times New Roman" w:cs="Times New Roman"/>
          <w:color w:val="595959"/>
          <w:sz w:val="12"/>
          <w:szCs w:val="12"/>
        </w:rPr>
        <w:t>20</w:t>
      </w:r>
      <w:r>
        <w:rPr>
          <w:rFonts w:ascii="Times New Roman" w:eastAsia="Times New Roman" w:hAnsi="Times New Roman" w:cs="Times New Roman"/>
          <w:color w:val="595959"/>
          <w:spacing w:val="-1"/>
          <w:sz w:val="12"/>
          <w:szCs w:val="12"/>
        </w:rPr>
        <w:t>22</w:t>
      </w:r>
      <w:r>
        <w:rPr>
          <w:rFonts w:ascii="SimSun" w:eastAsia="SimSun" w:hAnsi="SimSun" w:cs="SimSun"/>
          <w:color w:val="595959"/>
          <w:spacing w:val="-1"/>
          <w:sz w:val="12"/>
          <w:szCs w:val="12"/>
        </w:rPr>
        <w:t xml:space="preserve">年末              </w:t>
      </w:r>
      <w:r>
        <w:rPr>
          <w:rFonts w:ascii="Times New Roman" w:eastAsia="Times New Roman" w:hAnsi="Times New Roman" w:cs="Times New Roman"/>
          <w:color w:val="595959"/>
          <w:spacing w:val="-1"/>
          <w:sz w:val="12"/>
          <w:szCs w:val="12"/>
        </w:rPr>
        <w:t>2023</w:t>
      </w:r>
      <w:r>
        <w:rPr>
          <w:rFonts w:ascii="SimSun" w:eastAsia="SimSun" w:hAnsi="SimSun" w:cs="SimSun"/>
          <w:color w:val="595959"/>
          <w:spacing w:val="-1"/>
          <w:sz w:val="12"/>
          <w:szCs w:val="12"/>
        </w:rPr>
        <w:t>年</w:t>
      </w:r>
      <w:r>
        <w:rPr>
          <w:rFonts w:ascii="Times New Roman" w:eastAsia="Times New Roman" w:hAnsi="Times New Roman" w:cs="Times New Roman"/>
          <w:color w:val="595959"/>
          <w:spacing w:val="-1"/>
          <w:sz w:val="12"/>
          <w:szCs w:val="12"/>
        </w:rPr>
        <w:t>6</w:t>
      </w:r>
      <w:r>
        <w:rPr>
          <w:rFonts w:ascii="SimSun" w:eastAsia="SimSun" w:hAnsi="SimSun" w:cs="SimSun"/>
          <w:color w:val="595959"/>
          <w:spacing w:val="-1"/>
          <w:sz w:val="12"/>
          <w:szCs w:val="12"/>
        </w:rPr>
        <w:t>月末</w:t>
      </w:r>
    </w:p>
    <w:p>
      <w:pPr>
        <w:spacing w:before="132" w:line="185" w:lineRule="auto"/>
        <w:ind w:left="2548"/>
        <w:rPr>
          <w:rFonts w:ascii="SimSun" w:eastAsia="SimSun" w:hAnsi="SimSun" w:cs="SimSun"/>
          <w:sz w:val="12"/>
          <w:szCs w:val="12"/>
        </w:rPr>
      </w:pPr>
      <w:r>
        <w:rPr>
          <w:rFonts w:ascii="SimSun" w:eastAsia="SimSun" w:hAnsi="SimSun" w:cs="SimSun"/>
          <w:color w:val="595959"/>
          <w:sz w:val="12"/>
          <w:szCs w:val="12"/>
        </w:rPr>
        <w:drawing>
          <wp:inline distT="0" distB="0" distL="0" distR="0">
            <wp:extent cx="243839"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243839" cy="38100"/>
                    </a:xfrm>
                    <a:prstGeom prst="rect">
                      <a:avLst/>
                    </a:prstGeom>
                  </pic:spPr>
                </pic:pic>
              </a:graphicData>
            </a:graphic>
          </wp:inline>
        </w:drawing>
      </w:r>
      <w:r>
        <w:rPr>
          <w:rFonts w:ascii="SimSun" w:eastAsia="SimSun" w:hAnsi="SimSun" w:cs="SimSun"/>
          <w:color w:val="595959"/>
          <w:spacing w:val="13"/>
          <w:sz w:val="12"/>
          <w:szCs w:val="12"/>
        </w:rPr>
        <w:t xml:space="preserve"> </w:t>
      </w:r>
      <w:r>
        <w:rPr>
          <w:rFonts w:ascii="SimSun" w:eastAsia="SimSun" w:hAnsi="SimSun" w:cs="SimSun"/>
          <w:color w:val="595959"/>
          <w:spacing w:val="-4"/>
          <w:sz w:val="12"/>
          <w:szCs w:val="12"/>
        </w:rPr>
        <w:t xml:space="preserve">中国网民增加规模（万）            </w:t>
      </w:r>
      <w:r>
        <w:rPr>
          <w:position w:val="1"/>
          <w:sz w:val="12"/>
          <w:szCs w:val="12"/>
        </w:rPr>
        <w:drawing>
          <wp:inline distT="0" distB="0" distL="0" distR="0">
            <wp:extent cx="269747" cy="2590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6"/>
                    <a:stretch>
                      <a:fillRect/>
                    </a:stretch>
                  </pic:blipFill>
                  <pic:spPr>
                    <a:xfrm>
                      <a:off x="0" y="0"/>
                      <a:ext cx="269747" cy="25907"/>
                    </a:xfrm>
                    <a:prstGeom prst="rect">
                      <a:avLst/>
                    </a:prstGeom>
                  </pic:spPr>
                </pic:pic>
              </a:graphicData>
            </a:graphic>
          </wp:inline>
        </w:drawing>
      </w:r>
      <w:r>
        <w:rPr>
          <w:rFonts w:ascii="SimSun" w:eastAsia="SimSun" w:hAnsi="SimSun" w:cs="SimSun"/>
          <w:color w:val="595959"/>
          <w:spacing w:val="-32"/>
          <w:sz w:val="12"/>
          <w:szCs w:val="12"/>
        </w:rPr>
        <w:t xml:space="preserve"> </w:t>
      </w:r>
      <w:r>
        <w:rPr>
          <w:rFonts w:ascii="SimSun" w:eastAsia="SimSun" w:hAnsi="SimSun" w:cs="SimSun"/>
          <w:color w:val="595959"/>
          <w:spacing w:val="-4"/>
          <w:sz w:val="12"/>
          <w:szCs w:val="12"/>
        </w:rPr>
        <w:t>互联网普及率</w:t>
      </w:r>
    </w:p>
    <w:p>
      <w:pPr>
        <w:spacing w:line="14" w:lineRule="auto"/>
        <w:rPr>
          <w:rFonts w:ascii="Arial"/>
          <w:sz w:val="2"/>
        </w:rPr>
      </w:pPr>
      <w:r>
        <w:rPr>
          <w:rFonts w:ascii="Arial" w:eastAsia="Arial" w:hAnsi="Arial" w:cs="Arial"/>
          <w:sz w:val="2"/>
          <w:szCs w:val="2"/>
        </w:rPr>
        <w:br w:type="column"/>
      </w:r>
    </w:p>
    <w:p>
      <w:pPr>
        <w:spacing w:line="213" w:lineRule="exact"/>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position w:val="9"/>
          <w:sz w:val="12"/>
          <w:szCs w:val="12"/>
        </w:rPr>
        <w:t>77.00%</w:t>
      </w:r>
    </w:p>
    <w:p>
      <w:pPr>
        <w:spacing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76.00%</w:t>
      </w:r>
    </w:p>
    <w:p>
      <w:pPr>
        <w:spacing w:before="107"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75.00%</w:t>
      </w:r>
    </w:p>
    <w:p>
      <w:pPr>
        <w:spacing w:before="106"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74.00%</w:t>
      </w:r>
    </w:p>
    <w:p>
      <w:pPr>
        <w:spacing w:before="107"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73.00%</w:t>
      </w:r>
    </w:p>
    <w:p>
      <w:pPr>
        <w:spacing w:before="107"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72.00%</w:t>
      </w:r>
    </w:p>
    <w:p>
      <w:pPr>
        <w:spacing w:before="107"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71.00%</w:t>
      </w:r>
    </w:p>
    <w:p>
      <w:pPr>
        <w:spacing w:before="106"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70.00%</w:t>
      </w:r>
    </w:p>
    <w:p>
      <w:pPr>
        <w:spacing w:before="106" w:line="187" w:lineRule="auto"/>
        <w:ind w:left="10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69.00%</w:t>
      </w:r>
    </w:p>
    <w:p>
      <w:pPr>
        <w:spacing w:before="107" w:line="186" w:lineRule="auto"/>
        <w:ind w:left="10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68.00%</w:t>
      </w:r>
    </w:p>
    <w:p>
      <w:pPr>
        <w:spacing w:before="107" w:line="186" w:lineRule="auto"/>
        <w:ind w:left="10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67.00%</w:t>
      </w:r>
    </w:p>
    <w:p>
      <w:pPr>
        <w:spacing w:line="186" w:lineRule="auto"/>
        <w:rPr>
          <w:rFonts w:ascii="Times New Roman" w:eastAsia="Times New Roman" w:hAnsi="Times New Roman" w:cs="Times New Roman"/>
          <w:sz w:val="12"/>
          <w:szCs w:val="12"/>
        </w:rPr>
        <w:sectPr>
          <w:headerReference w:type="default" r:id="rId17"/>
          <w:footerReference w:type="default" r:id="rId18"/>
          <w:type w:val="continuous"/>
          <w:pgSz w:w="11907" w:h="16839"/>
          <w:pgMar w:top="1336" w:right="1063" w:bottom="1272" w:left="868" w:header="1148" w:footer="1077" w:gutter="0"/>
          <w:pgNumType w:start="6"/>
          <w:cols w:num="3" w:space="708" w:equalWidth="0">
            <w:col w:w="722" w:space="100"/>
            <w:col w:w="8434" w:space="0"/>
            <w:col w:w="720" w:space="0"/>
          </w:cols>
        </w:sectPr>
      </w:pPr>
    </w:p>
    <w:p>
      <w:pPr>
        <w:spacing w:before="241" w:line="214" w:lineRule="auto"/>
        <w:ind w:left="386"/>
        <w:rPr>
          <w:rFonts w:ascii="SimSun" w:eastAsia="SimSun" w:hAnsi="SimSun" w:cs="SimSun"/>
          <w:sz w:val="15"/>
          <w:szCs w:val="15"/>
        </w:rPr>
      </w:pPr>
      <w:r>
        <w:rPr>
          <w:rFonts w:ascii="SimSun" w:eastAsia="SimSun" w:hAnsi="SimSun" w:cs="SimSun"/>
          <w:spacing w:val="-1"/>
          <w:sz w:val="15"/>
          <w:szCs w:val="15"/>
        </w:rPr>
        <w:t>注：根据中国互联网络信息中心</w:t>
      </w:r>
      <w:r>
        <w:rPr>
          <w:rFonts w:ascii="Times New Roman" w:eastAsia="Times New Roman" w:hAnsi="Times New Roman" w:cs="Times New Roman"/>
          <w:spacing w:val="-1"/>
          <w:sz w:val="15"/>
          <w:szCs w:val="15"/>
        </w:rPr>
        <w:t>(CNNIC)</w:t>
      </w:r>
      <w:r>
        <w:rPr>
          <w:rFonts w:ascii="SimSun" w:eastAsia="SimSun" w:hAnsi="SimSun" w:cs="SimSun"/>
          <w:spacing w:val="-1"/>
          <w:sz w:val="15"/>
          <w:szCs w:val="15"/>
        </w:rPr>
        <w:t>公布的数据绘制。</w:t>
      </w:r>
    </w:p>
    <w:p>
      <w:pPr>
        <w:spacing w:before="209" w:line="288" w:lineRule="auto"/>
        <w:ind w:left="273" w:right="67" w:hanging="4"/>
        <w:rPr>
          <w:rFonts w:ascii="SimSun" w:eastAsia="SimSun" w:hAnsi="SimSun" w:cs="SimSun"/>
          <w:sz w:val="21"/>
          <w:szCs w:val="21"/>
        </w:rPr>
      </w:pPr>
      <w:r>
        <w:rPr>
          <w:rFonts w:ascii="Times New Roman" w:eastAsia="Times New Roman" w:hAnsi="Times New Roman" w:cs="Times New Roman"/>
          <w:sz w:val="21"/>
          <w:szCs w:val="21"/>
        </w:rPr>
        <w:t>2022</w:t>
      </w:r>
      <w:r>
        <w:rPr>
          <w:rFonts w:ascii="Times New Roman" w:eastAsia="Times New Roman" w:hAnsi="Times New Roman" w:cs="Times New Roman"/>
          <w:spacing w:val="19"/>
          <w:sz w:val="21"/>
          <w:szCs w:val="21"/>
        </w:rPr>
        <w:t xml:space="preserve"> </w:t>
      </w:r>
      <w:r>
        <w:rPr>
          <w:rFonts w:ascii="SimSun" w:eastAsia="SimSun" w:hAnsi="SimSun" w:cs="SimSun"/>
          <w:sz w:val="21"/>
          <w:szCs w:val="21"/>
        </w:rPr>
        <w:t>年受公卫及全球通胀等因素影响，国内经济稳定复苏面</w:t>
      </w:r>
      <w:r>
        <w:rPr>
          <w:rFonts w:ascii="SimSun" w:eastAsia="SimSun" w:hAnsi="SimSun" w:cs="SimSun"/>
          <w:spacing w:val="-1"/>
          <w:sz w:val="21"/>
          <w:szCs w:val="21"/>
        </w:rPr>
        <w:t>临较大挑战，叠加</w:t>
      </w:r>
      <w:r>
        <w:rPr>
          <w:rFonts w:ascii="SimSun" w:eastAsia="SimSun" w:hAnsi="SimSun" w:cs="SimSun"/>
          <w:spacing w:val="-38"/>
          <w:sz w:val="21"/>
          <w:szCs w:val="21"/>
        </w:rPr>
        <w:t xml:space="preserve"> </w:t>
      </w:r>
      <w:r>
        <w:rPr>
          <w:rFonts w:ascii="Times New Roman" w:eastAsia="Times New Roman" w:hAnsi="Times New Roman" w:cs="Times New Roman"/>
          <w:spacing w:val="-1"/>
          <w:sz w:val="21"/>
          <w:szCs w:val="21"/>
        </w:rPr>
        <w:t>2021</w:t>
      </w:r>
      <w:r>
        <w:rPr>
          <w:rFonts w:ascii="Times New Roman" w:eastAsia="Times New Roman" w:hAnsi="Times New Roman" w:cs="Times New Roman"/>
          <w:spacing w:val="16"/>
          <w:w w:val="101"/>
          <w:sz w:val="21"/>
          <w:szCs w:val="21"/>
        </w:rPr>
        <w:t xml:space="preserve"> </w:t>
      </w:r>
      <w:r>
        <w:rPr>
          <w:rFonts w:ascii="SimSun" w:eastAsia="SimSun" w:hAnsi="SimSun" w:cs="SimSun"/>
          <w:spacing w:val="-1"/>
          <w:sz w:val="21"/>
          <w:szCs w:val="21"/>
        </w:rPr>
        <w:t>年开始的行业集中监</w:t>
      </w:r>
      <w:r>
        <w:rPr>
          <w:rFonts w:ascii="SimSun" w:eastAsia="SimSun" w:hAnsi="SimSun" w:cs="SimSun"/>
          <w:sz w:val="21"/>
          <w:szCs w:val="21"/>
        </w:rPr>
        <w:t xml:space="preserve"> </w:t>
      </w:r>
      <w:r>
        <w:rPr>
          <w:rFonts w:ascii="SimSun" w:eastAsia="SimSun" w:hAnsi="SimSun" w:cs="SimSun"/>
          <w:spacing w:val="-1"/>
          <w:sz w:val="21"/>
          <w:szCs w:val="21"/>
        </w:rPr>
        <w:t>管和规范整顿，互联网企业运营压力增加，并对互联网企业传统核心业务造成一定影响，使得当年国内互</w:t>
      </w:r>
      <w:r>
        <w:rPr>
          <w:rFonts w:ascii="SimSun" w:eastAsia="SimSun" w:hAnsi="SimSun" w:cs="SimSun"/>
          <w:spacing w:val="18"/>
          <w:sz w:val="21"/>
          <w:szCs w:val="21"/>
        </w:rPr>
        <w:t xml:space="preserve"> </w:t>
      </w:r>
      <w:r>
        <w:rPr>
          <w:rFonts w:ascii="SimSun" w:eastAsia="SimSun" w:hAnsi="SimSun" w:cs="SimSun"/>
          <w:spacing w:val="-2"/>
          <w:sz w:val="21"/>
          <w:szCs w:val="21"/>
        </w:rPr>
        <w:t>联网行业收入出现小幅下滑。</w:t>
      </w:r>
      <w:r>
        <w:rPr>
          <w:rFonts w:ascii="SimSun" w:eastAsia="SimSun" w:hAnsi="SimSun" w:cs="SimSun"/>
          <w:spacing w:val="-25"/>
          <w:sz w:val="21"/>
          <w:szCs w:val="21"/>
        </w:rPr>
        <w:t xml:space="preserve"> </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 xml:space="preserve">年我国规模以上互联网和相关服务企业完成互联网业务收入 </w:t>
      </w:r>
      <w:r>
        <w:rPr>
          <w:rFonts w:ascii="Times New Roman" w:eastAsia="Times New Roman" w:hAnsi="Times New Roman" w:cs="Times New Roman"/>
          <w:spacing w:val="-2"/>
          <w:sz w:val="21"/>
          <w:szCs w:val="21"/>
        </w:rPr>
        <w:t xml:space="preserve">14590  </w:t>
      </w:r>
      <w:r>
        <w:rPr>
          <w:rFonts w:ascii="SimSun" w:eastAsia="SimSun" w:hAnsi="SimSun" w:cs="SimSun"/>
          <w:spacing w:val="-2"/>
          <w:sz w:val="21"/>
          <w:szCs w:val="21"/>
        </w:rPr>
        <w:t>亿</w:t>
      </w:r>
      <w:r>
        <w:rPr>
          <w:rFonts w:ascii="SimSun" w:eastAsia="SimSun" w:hAnsi="SimSun" w:cs="SimSun"/>
          <w:sz w:val="21"/>
          <w:szCs w:val="21"/>
        </w:rPr>
        <w:t xml:space="preserve"> </w:t>
      </w:r>
      <w:r>
        <w:rPr>
          <w:rFonts w:ascii="SimSun" w:eastAsia="SimSun" w:hAnsi="SimSun" w:cs="SimSun"/>
          <w:spacing w:val="-3"/>
          <w:sz w:val="21"/>
          <w:szCs w:val="21"/>
        </w:rPr>
        <w:t xml:space="preserve">元，同比下降 </w:t>
      </w:r>
      <w:r>
        <w:rPr>
          <w:rFonts w:ascii="Times New Roman" w:eastAsia="Times New Roman" w:hAnsi="Times New Roman" w:cs="Times New Roman"/>
          <w:spacing w:val="-3"/>
          <w:sz w:val="21"/>
          <w:szCs w:val="21"/>
        </w:rPr>
        <w:t>1.1%</w:t>
      </w:r>
      <w:r>
        <w:rPr>
          <w:rFonts w:ascii="SimSun" w:eastAsia="SimSun" w:hAnsi="SimSun" w:cs="SimSun"/>
          <w:spacing w:val="-3"/>
          <w:sz w:val="21"/>
          <w:szCs w:val="21"/>
        </w:rPr>
        <w:t>，其中信息服务领域（包括新闻资讯、搜索、社交、游戏、音乐视频等）、生活</w:t>
      </w:r>
      <w:r>
        <w:rPr>
          <w:rFonts w:ascii="SimSun" w:eastAsia="SimSun" w:hAnsi="SimSun" w:cs="SimSun"/>
          <w:spacing w:val="-4"/>
          <w:sz w:val="21"/>
          <w:szCs w:val="21"/>
        </w:rPr>
        <w:t>服务领</w:t>
      </w:r>
      <w:r>
        <w:rPr>
          <w:rFonts w:ascii="SimSun" w:eastAsia="SimSun" w:hAnsi="SimSun" w:cs="SimSun"/>
          <w:sz w:val="21"/>
          <w:szCs w:val="21"/>
        </w:rPr>
        <w:t xml:space="preserve"> </w:t>
      </w:r>
      <w:r>
        <w:rPr>
          <w:rFonts w:ascii="SimSun" w:eastAsia="SimSun" w:hAnsi="SimSun" w:cs="SimSun"/>
          <w:spacing w:val="-1"/>
          <w:sz w:val="21"/>
          <w:szCs w:val="21"/>
        </w:rPr>
        <w:t>域（包括本地生活、租车约车、旅游出行、金融服务、汽车、房屋住宅等）和网络销售服务领域（包括大</w:t>
      </w:r>
      <w:r>
        <w:rPr>
          <w:rFonts w:ascii="SimSun" w:eastAsia="SimSun" w:hAnsi="SimSun" w:cs="SimSun"/>
          <w:spacing w:val="15"/>
          <w:sz w:val="21"/>
          <w:szCs w:val="21"/>
        </w:rPr>
        <w:t xml:space="preserve"> </w:t>
      </w:r>
      <w:r>
        <w:rPr>
          <w:rFonts w:ascii="SimSun" w:eastAsia="SimSun" w:hAnsi="SimSun" w:cs="SimSun"/>
          <w:spacing w:val="-10"/>
          <w:sz w:val="21"/>
          <w:szCs w:val="21"/>
        </w:rPr>
        <w:t>宗商品、农副产品、综合电商、医疗用品、快递等）相关企业的互联网收入分别增长</w:t>
      </w:r>
      <w:r>
        <w:rPr>
          <w:rFonts w:ascii="SimSun" w:eastAsia="SimSun" w:hAnsi="SimSun" w:cs="SimSun"/>
          <w:spacing w:val="-39"/>
          <w:sz w:val="21"/>
          <w:szCs w:val="21"/>
        </w:rPr>
        <w:t xml:space="preserve"> </w:t>
      </w:r>
      <w:r>
        <w:rPr>
          <w:rFonts w:ascii="Times New Roman" w:eastAsia="Times New Roman" w:hAnsi="Times New Roman" w:cs="Times New Roman"/>
          <w:spacing w:val="-10"/>
          <w:sz w:val="21"/>
          <w:szCs w:val="21"/>
        </w:rPr>
        <w:t>4.9%</w:t>
      </w:r>
      <w:r>
        <w:rPr>
          <w:rFonts w:ascii="SimSun" w:eastAsia="SimSun" w:hAnsi="SimSun" w:cs="SimSun"/>
          <w:spacing w:val="-10"/>
          <w:sz w:val="21"/>
          <w:szCs w:val="21"/>
        </w:rPr>
        <w:t>、</w:t>
      </w:r>
      <w:r>
        <w:rPr>
          <w:rFonts w:ascii="Times New Roman" w:eastAsia="Times New Roman" w:hAnsi="Times New Roman" w:cs="Times New Roman"/>
          <w:spacing w:val="-10"/>
          <w:sz w:val="21"/>
          <w:szCs w:val="21"/>
        </w:rPr>
        <w:t>-</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10"/>
          <w:sz w:val="21"/>
          <w:szCs w:val="21"/>
        </w:rPr>
        <w:t>17.5%</w:t>
      </w:r>
      <w:r>
        <w:rPr>
          <w:rFonts w:ascii="SimSun" w:eastAsia="SimSun" w:hAnsi="SimSun" w:cs="SimSun"/>
          <w:spacing w:val="-10"/>
          <w:sz w:val="21"/>
          <w:szCs w:val="21"/>
        </w:rPr>
        <w:t>和</w:t>
      </w:r>
      <w:r>
        <w:rPr>
          <w:rFonts w:ascii="SimSun" w:eastAsia="SimSun" w:hAnsi="SimSun" w:cs="SimSun"/>
          <w:spacing w:val="-27"/>
          <w:sz w:val="21"/>
          <w:szCs w:val="21"/>
        </w:rPr>
        <w:t xml:space="preserve"> </w:t>
      </w:r>
      <w:r>
        <w:rPr>
          <w:rFonts w:ascii="Times New Roman" w:eastAsia="Times New Roman" w:hAnsi="Times New Roman" w:cs="Times New Roman"/>
          <w:spacing w:val="-10"/>
          <w:sz w:val="21"/>
          <w:szCs w:val="21"/>
        </w:rPr>
        <w:t>12.6%</w:t>
      </w:r>
      <w:r>
        <w:rPr>
          <w:rFonts w:ascii="Times New Roman" w:eastAsia="Times New Roman" w:hAnsi="Times New Roman" w:cs="Times New Roman"/>
          <w:spacing w:val="-28"/>
          <w:sz w:val="21"/>
          <w:szCs w:val="21"/>
        </w:rPr>
        <w:t xml:space="preserve"> </w:t>
      </w:r>
      <w:r>
        <w:rPr>
          <w:rFonts w:ascii="SimSun" w:eastAsia="SimSun" w:hAnsi="SimSun" w:cs="SimSun"/>
          <w:spacing w:val="-10"/>
          <w:sz w:val="21"/>
          <w:szCs w:val="21"/>
        </w:rPr>
        <w:t>，</w:t>
      </w:r>
      <w:r>
        <w:rPr>
          <w:rFonts w:ascii="SimSun" w:eastAsia="SimSun" w:hAnsi="SimSun" w:cs="SimSun"/>
          <w:sz w:val="21"/>
          <w:szCs w:val="21"/>
        </w:rPr>
        <w:t xml:space="preserve"> </w:t>
      </w:r>
      <w:r>
        <w:rPr>
          <w:rFonts w:ascii="SimSun" w:eastAsia="SimSun" w:hAnsi="SimSun" w:cs="SimSun"/>
          <w:spacing w:val="-5"/>
          <w:sz w:val="21"/>
          <w:szCs w:val="21"/>
        </w:rPr>
        <w:t>生活服务领域受公卫因素冲击影响较大， 当年收入下滑明显。</w:t>
      </w:r>
    </w:p>
    <w:p>
      <w:pPr>
        <w:spacing w:before="209" w:line="285" w:lineRule="auto"/>
        <w:ind w:left="271" w:right="65" w:hanging="2"/>
        <w:jc w:val="both"/>
        <w:rPr>
          <w:rFonts w:ascii="SimSun" w:eastAsia="SimSun" w:hAnsi="SimSun" w:cs="SimSun"/>
          <w:sz w:val="21"/>
          <w:szCs w:val="21"/>
        </w:rPr>
      </w:pP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年以来受益于社会生活常态化以及国家</w:t>
      </w:r>
      <w:r>
        <w:rPr>
          <w:rFonts w:ascii="SimSun" w:eastAsia="SimSun" w:hAnsi="SimSun" w:cs="SimSun"/>
          <w:spacing w:val="-2"/>
          <w:sz w:val="21"/>
          <w:szCs w:val="21"/>
        </w:rPr>
        <w:t>恢复和扩大消费相关政策的扶持，国内经济整体呈现回升向好</w:t>
      </w:r>
      <w:r>
        <w:rPr>
          <w:rFonts w:ascii="SimSun" w:eastAsia="SimSun" w:hAnsi="SimSun" w:cs="SimSun"/>
          <w:sz w:val="21"/>
          <w:szCs w:val="21"/>
        </w:rPr>
        <w:t xml:space="preserve"> </w:t>
      </w:r>
      <w:r>
        <w:rPr>
          <w:rFonts w:ascii="SimSun" w:eastAsia="SimSun" w:hAnsi="SimSun" w:cs="SimSun"/>
          <w:spacing w:val="-1"/>
          <w:sz w:val="21"/>
          <w:szCs w:val="21"/>
        </w:rPr>
        <w:t>的态势，加之在</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 xml:space="preserve">5G  </w:t>
      </w:r>
      <w:r>
        <w:rPr>
          <w:rFonts w:ascii="SimSun" w:eastAsia="SimSun" w:hAnsi="SimSun" w:cs="SimSun"/>
          <w:spacing w:val="-1"/>
          <w:sz w:val="21"/>
          <w:szCs w:val="21"/>
        </w:rPr>
        <w:t>商用、人工智能、云计</w:t>
      </w:r>
      <w:r>
        <w:rPr>
          <w:rFonts w:ascii="SimSun" w:eastAsia="SimSun" w:hAnsi="SimSun" w:cs="SimSun"/>
          <w:spacing w:val="-2"/>
          <w:sz w:val="21"/>
          <w:szCs w:val="21"/>
        </w:rPr>
        <w:t>算、大数据、物联网等新一代信息技术的发展助推下，</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w:t>
      </w:r>
      <w:r>
        <w:rPr>
          <w:rFonts w:ascii="SimSun" w:eastAsia="SimSun" w:hAnsi="SimSun" w:cs="SimSun"/>
          <w:sz w:val="21"/>
          <w:szCs w:val="21"/>
        </w:rPr>
        <w:t xml:space="preserve"> </w:t>
      </w:r>
      <w:r>
        <w:rPr>
          <w:rFonts w:ascii="SimSun" w:eastAsia="SimSun" w:hAnsi="SimSun" w:cs="SimSun"/>
          <w:spacing w:val="-2"/>
          <w:sz w:val="21"/>
          <w:szCs w:val="21"/>
        </w:rPr>
        <w:t>前三季度我国规模以上互联网和相关服务企业的互联网业</w:t>
      </w:r>
      <w:r>
        <w:rPr>
          <w:rFonts w:ascii="SimSun" w:eastAsia="SimSun" w:hAnsi="SimSun" w:cs="SimSun"/>
          <w:spacing w:val="-3"/>
          <w:sz w:val="21"/>
          <w:szCs w:val="21"/>
        </w:rPr>
        <w:t>务收入</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 xml:space="preserve">10294 </w:t>
      </w:r>
      <w:r>
        <w:rPr>
          <w:rFonts w:ascii="SimSun" w:eastAsia="SimSun" w:hAnsi="SimSun" w:cs="SimSun"/>
          <w:spacing w:val="-3"/>
          <w:sz w:val="21"/>
          <w:szCs w:val="21"/>
        </w:rPr>
        <w:t>亿元，同比增长</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3.4%</w:t>
      </w:r>
      <w:r>
        <w:rPr>
          <w:rFonts w:ascii="SimSun" w:eastAsia="SimSun" w:hAnsi="SimSun" w:cs="SimSun"/>
          <w:spacing w:val="-3"/>
          <w:sz w:val="21"/>
          <w:szCs w:val="21"/>
        </w:rPr>
        <w:t>，重新恢复增</w:t>
      </w:r>
      <w:r>
        <w:rPr>
          <w:rFonts w:ascii="SimSun" w:eastAsia="SimSun" w:hAnsi="SimSun" w:cs="SimSun"/>
          <w:sz w:val="21"/>
          <w:szCs w:val="21"/>
        </w:rPr>
        <w:t xml:space="preserve"> </w:t>
      </w:r>
      <w:r>
        <w:rPr>
          <w:rFonts w:ascii="SimSun" w:eastAsia="SimSun" w:hAnsi="SimSun" w:cs="SimSun"/>
          <w:spacing w:val="-4"/>
          <w:sz w:val="21"/>
          <w:szCs w:val="21"/>
        </w:rPr>
        <w:t>长，但增速仍较低， 收入增长整体仍承压。分领域看，</w:t>
      </w:r>
      <w:r>
        <w:rPr>
          <w:rFonts w:ascii="SimSun" w:eastAsia="SimSun" w:hAnsi="SimSun" w:cs="SimSun"/>
          <w:spacing w:val="81"/>
          <w:sz w:val="21"/>
          <w:szCs w:val="21"/>
        </w:rPr>
        <w:t xml:space="preserve"> </w:t>
      </w:r>
      <w:r>
        <w:rPr>
          <w:rFonts w:ascii="Times New Roman" w:eastAsia="Times New Roman" w:hAnsi="Times New Roman" w:cs="Times New Roman"/>
          <w:spacing w:val="-4"/>
          <w:sz w:val="21"/>
          <w:szCs w:val="21"/>
        </w:rPr>
        <w:t>2023</w:t>
      </w:r>
      <w:r>
        <w:rPr>
          <w:rFonts w:ascii="Times New Roman" w:eastAsia="Times New Roman" w:hAnsi="Times New Roman" w:cs="Times New Roman"/>
          <w:spacing w:val="41"/>
          <w:sz w:val="21"/>
          <w:szCs w:val="21"/>
        </w:rPr>
        <w:t xml:space="preserve"> </w:t>
      </w:r>
      <w:r>
        <w:rPr>
          <w:rFonts w:ascii="SimSun" w:eastAsia="SimSun" w:hAnsi="SimSun" w:cs="SimSun"/>
          <w:spacing w:val="-4"/>
          <w:sz w:val="21"/>
          <w:szCs w:val="21"/>
        </w:rPr>
        <w:t>年前三季度主要提供网络销售</w:t>
      </w:r>
      <w:r>
        <w:rPr>
          <w:rFonts w:ascii="SimSun" w:eastAsia="SimSun" w:hAnsi="SimSun" w:cs="SimSun"/>
          <w:spacing w:val="-5"/>
          <w:sz w:val="21"/>
          <w:szCs w:val="21"/>
        </w:rPr>
        <w:t>服务的企业互</w:t>
      </w:r>
      <w:r>
        <w:rPr>
          <w:rFonts w:ascii="SimSun" w:eastAsia="SimSun" w:hAnsi="SimSun" w:cs="SimSun"/>
          <w:sz w:val="21"/>
          <w:szCs w:val="21"/>
        </w:rPr>
        <w:t xml:space="preserve"> </w:t>
      </w:r>
      <w:r>
        <w:rPr>
          <w:rFonts w:ascii="SimSun" w:eastAsia="SimSun" w:hAnsi="SimSun" w:cs="SimSun"/>
          <w:spacing w:val="-2"/>
          <w:sz w:val="21"/>
          <w:szCs w:val="21"/>
        </w:rPr>
        <w:t>联网业务收入同比增长</w:t>
      </w:r>
      <w:r>
        <w:rPr>
          <w:rFonts w:ascii="SimSun" w:eastAsia="SimSun" w:hAnsi="SimSun" w:cs="SimSun"/>
          <w:spacing w:val="-47"/>
          <w:sz w:val="21"/>
          <w:szCs w:val="21"/>
        </w:rPr>
        <w:t xml:space="preserve"> </w:t>
      </w:r>
      <w:r>
        <w:rPr>
          <w:rFonts w:ascii="Times New Roman" w:eastAsia="Times New Roman" w:hAnsi="Times New Roman" w:cs="Times New Roman"/>
          <w:spacing w:val="-2"/>
          <w:sz w:val="21"/>
          <w:szCs w:val="21"/>
        </w:rPr>
        <w:t>47.3%</w:t>
      </w:r>
      <w:r>
        <w:rPr>
          <w:rFonts w:ascii="Times New Roman" w:eastAsia="Times New Roman" w:hAnsi="Times New Roman" w:cs="Times New Roman"/>
          <w:spacing w:val="-28"/>
          <w:sz w:val="21"/>
          <w:szCs w:val="21"/>
        </w:rPr>
        <w:t xml:space="preserve"> </w:t>
      </w:r>
      <w:r>
        <w:rPr>
          <w:rFonts w:ascii="SimSun" w:eastAsia="SimSun" w:hAnsi="SimSun" w:cs="SimSun"/>
          <w:spacing w:val="-2"/>
          <w:sz w:val="21"/>
          <w:szCs w:val="21"/>
        </w:rPr>
        <w:t>，以提供生活服务为主的平台企业互联网业务收入同比增长</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9.8%</w:t>
      </w:r>
      <w:r>
        <w:rPr>
          <w:rFonts w:ascii="SimSun" w:eastAsia="SimSun" w:hAnsi="SimSun" w:cs="SimSun"/>
          <w:spacing w:val="-2"/>
          <w:sz w:val="21"/>
          <w:szCs w:val="21"/>
        </w:rPr>
        <w:t>，受益于管</w:t>
      </w:r>
      <w:r>
        <w:rPr>
          <w:rFonts w:ascii="SimSun" w:eastAsia="SimSun" w:hAnsi="SimSun" w:cs="SimSun"/>
          <w:sz w:val="21"/>
          <w:szCs w:val="21"/>
        </w:rPr>
        <w:t xml:space="preserve"> </w:t>
      </w:r>
      <w:r>
        <w:rPr>
          <w:rFonts w:ascii="SimSun" w:eastAsia="SimSun" w:hAnsi="SimSun" w:cs="SimSun"/>
          <w:sz w:val="21"/>
          <w:szCs w:val="21"/>
        </w:rPr>
        <w:t>控放开后物流和出行快速恢复，网络销售领域企业收</w:t>
      </w:r>
      <w:r>
        <w:rPr>
          <w:rFonts w:ascii="SimSun" w:eastAsia="SimSun" w:hAnsi="SimSun" w:cs="SimSun"/>
          <w:spacing w:val="-1"/>
          <w:sz w:val="21"/>
          <w:szCs w:val="21"/>
        </w:rPr>
        <w:t>入快速增长，生活服务领域企业收入也有所增长，但</w:t>
      </w:r>
      <w:r>
        <w:rPr>
          <w:rFonts w:ascii="SimSun" w:eastAsia="SimSun" w:hAnsi="SimSun" w:cs="SimSun"/>
          <w:sz w:val="21"/>
          <w:szCs w:val="21"/>
        </w:rPr>
        <w:t xml:space="preserve"> </w:t>
      </w:r>
      <w:r>
        <w:rPr>
          <w:rFonts w:ascii="SimSun" w:eastAsia="SimSun" w:hAnsi="SimSun" w:cs="SimSun"/>
          <w:spacing w:val="-4"/>
          <w:sz w:val="21"/>
          <w:szCs w:val="21"/>
        </w:rPr>
        <w:t>受行业竞争加剧影响，增速并不高；</w:t>
      </w:r>
      <w:r>
        <w:rPr>
          <w:rFonts w:ascii="SimSun" w:eastAsia="SimSun" w:hAnsi="SimSun" w:cs="SimSun"/>
          <w:spacing w:val="-11"/>
          <w:sz w:val="21"/>
          <w:szCs w:val="21"/>
        </w:rPr>
        <w:t xml:space="preserve"> </w:t>
      </w:r>
      <w:r>
        <w:rPr>
          <w:rFonts w:ascii="SimSun" w:eastAsia="SimSun" w:hAnsi="SimSun" w:cs="SimSun"/>
          <w:spacing w:val="-4"/>
          <w:sz w:val="21"/>
          <w:szCs w:val="21"/>
        </w:rPr>
        <w:t>以信息服务为主的企业互联网业务收入同比下降</w:t>
      </w:r>
      <w:r>
        <w:rPr>
          <w:rFonts w:ascii="SimSun" w:eastAsia="SimSun" w:hAnsi="SimSun" w:cs="SimSun"/>
          <w:spacing w:val="-48"/>
          <w:sz w:val="21"/>
          <w:szCs w:val="21"/>
        </w:rPr>
        <w:t xml:space="preserve"> </w:t>
      </w:r>
      <w:r>
        <w:rPr>
          <w:rFonts w:ascii="Times New Roman" w:eastAsia="Times New Roman" w:hAnsi="Times New Roman" w:cs="Times New Roman"/>
          <w:spacing w:val="-4"/>
          <w:sz w:val="21"/>
          <w:szCs w:val="21"/>
        </w:rPr>
        <w:t>2.7%</w:t>
      </w:r>
      <w:r>
        <w:rPr>
          <w:rFonts w:ascii="SimSun" w:eastAsia="SimSun" w:hAnsi="SimSun" w:cs="SimSun"/>
          <w:spacing w:val="-4"/>
          <w:sz w:val="21"/>
          <w:szCs w:val="21"/>
        </w:rPr>
        <w:t>，传统互联网信</w:t>
      </w:r>
      <w:r>
        <w:rPr>
          <w:rFonts w:ascii="SimSun" w:eastAsia="SimSun" w:hAnsi="SimSun" w:cs="SimSun"/>
          <w:sz w:val="21"/>
          <w:szCs w:val="21"/>
        </w:rPr>
        <w:t xml:space="preserve"> </w:t>
      </w:r>
      <w:r>
        <w:rPr>
          <w:rFonts w:ascii="SimSun" w:eastAsia="SimSun" w:hAnsi="SimSun" w:cs="SimSun"/>
          <w:sz w:val="21"/>
          <w:szCs w:val="21"/>
        </w:rPr>
        <w:t>息服务企业由于用户需求变化、技术更新慢、盈利模式逐渐失去效益等原因业务出现负增长。</w:t>
      </w:r>
    </w:p>
    <w:p>
      <w:pPr>
        <w:spacing w:line="285" w:lineRule="auto"/>
        <w:rPr>
          <w:rFonts w:ascii="SimSun" w:eastAsia="SimSun" w:hAnsi="SimSun" w:cs="SimSun"/>
          <w:sz w:val="21"/>
          <w:szCs w:val="21"/>
        </w:rPr>
        <w:sectPr>
          <w:headerReference w:type="default" r:id="rId19"/>
          <w:footerReference w:type="default" r:id="rId20"/>
          <w:type w:val="continuous"/>
          <w:pgSz w:w="11907" w:h="16839"/>
          <w:pgMar w:top="1336" w:right="1063" w:bottom="1272" w:left="868" w:header="1148" w:footer="1077" w:gutter="0"/>
          <w:pgNumType w:start="7"/>
          <w:cols w:num="1" w:space="708" w:equalWidth="0">
            <w:col w:w="9976" w:space="0"/>
          </w:cols>
        </w:sectPr>
      </w:pPr>
    </w:p>
    <w:p>
      <w:pPr>
        <w:spacing w:before="168"/>
      </w:pPr>
      <w:r>
        <w:pict>
          <v:rect id="_x0000_s1041" style="width:21.25pt;height:2.05pt;margin-top:234.12pt;margin-left:348.96pt;mso-position-horizontal-relative:page;mso-position-vertical-relative:page;position:absolute;z-index:251692032" o:allowincell="f" filled="t" fillcolor="#c0504d" stroked="f"/>
        </w:pict>
      </w:r>
      <w:r>
        <w:pict>
          <v:rect id="_x0000_s1042" style="width:21.25pt;height:2.05pt;margin-top:234.12pt;margin-left:426.72pt;mso-position-horizontal-relative:page;mso-position-vertical-relative:page;position:absolute;z-index:251694080" o:allowincell="f" filled="t" fillcolor="#8064a2" stroked="f"/>
        </w:pict>
      </w:r>
      <w:r>
        <w:pict>
          <v:rect id="_x0000_s1043" style="width:418.25pt;height:0.75pt;margin-top:108pt;margin-left:89.04pt;mso-position-horizontal-relative:page;mso-position-vertical-relative:page;position:absolute;z-index:251693056" o:allowincell="f" filled="t" fillcolor="#d9d9d9" stroked="f"/>
        </w:pict>
      </w:r>
      <w:r>
        <w:pict>
          <v:shape id="_x0000_s1044" type="#_x0000_t202" style="width:16.3pt;height:7.35pt;margin-top:117.32pt;margin-left:68.61pt;mso-position-horizontal-relative:page;mso-position-vertical-relative:page;position:absolute;z-index:251684864"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16000</w:t>
                  </w:r>
                </w:p>
              </w:txbxContent>
            </v:textbox>
          </v:shape>
        </w:pict>
      </w:r>
      <w:r>
        <w:pict>
          <v:shape id="_x0000_s1045" style="width:418.25pt;height:0.75pt;margin-top:120.12pt;margin-left:89.04pt;mso-position-horizontal-relative:page;mso-position-vertical-relative:page;position:absolute;z-index:-251646976" coordorigin="0,0" coordsize="8365,15" o:allowincell="f" path="m,7l8364,7e" filled="f" strokecolor="#d9d9d9" strokeweight="0.72pt"/>
        </w:pict>
      </w:r>
      <w:r>
        <w:pict>
          <v:shape id="_x0000_s1046" type="#_x0000_t202" style="width:16.3pt;height:7.35pt;margin-top:118.13pt;margin-left:362.03pt;mso-position-horizontal-relative:page;mso-position-vertical-relative:page;position:absolute;z-index:251683840"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14590</w:t>
                  </w:r>
                </w:p>
              </w:txbxContent>
            </v:textbox>
          </v:shape>
        </w:pict>
      </w:r>
      <w:r>
        <w:pict>
          <v:shape id="_x0000_s1047" type="#_x0000_t202" style="width:20.45pt;height:7.4pt;margin-top:118.54pt;margin-left:102.86pt;mso-position-horizontal-relative:page;mso-position-vertical-relative:page;position:absolute;z-index:251680768"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21.40%</w:t>
                  </w:r>
                </w:p>
              </w:txbxContent>
            </v:textbox>
          </v:shape>
        </w:pict>
      </w:r>
      <w:r>
        <w:pict>
          <v:shape id="_x0000_s1048" type="#_x0000_t202" style="width:24.55pt;height:14pt;margin-top:112.64pt;margin-left:270.16pt;mso-position-horizontal-relative:page;mso-position-vertical-relative:page;position:absolute;z-index:251673600" o:allowincell="f" filled="f" stroked="f">
            <o:lock v:ext="edit" aspectratio="f"/>
            <v:textbox inset="0,0,0,0">
              <w:txbxContent>
                <w:p>
                  <w:pPr>
                    <w:spacing w:before="20" w:line="208" w:lineRule="auto"/>
                    <w:ind w:left="20" w:right="20" w:firstLine="164"/>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15500</w:t>
                  </w:r>
                  <w:r>
                    <w:rPr>
                      <w:rFonts w:ascii="Times New Roman" w:eastAsia="Times New Roman" w:hAnsi="Times New Roman" w:cs="Times New Roman"/>
                      <w:color w:val="404040"/>
                      <w:sz w:val="12"/>
                      <w:szCs w:val="12"/>
                    </w:rPr>
                    <w:t xml:space="preserve"> </w:t>
                  </w:r>
                  <w:r>
                    <w:rPr>
                      <w:rFonts w:ascii="Times New Roman" w:eastAsia="Times New Roman" w:hAnsi="Times New Roman" w:cs="Times New Roman"/>
                      <w:color w:val="404040"/>
                      <w:spacing w:val="-1"/>
                      <w:sz w:val="12"/>
                      <w:szCs w:val="12"/>
                    </w:rPr>
                    <w:t>21.20%</w:t>
                  </w:r>
                </w:p>
              </w:txbxContent>
            </v:textbox>
          </v:shape>
        </w:pict>
      </w:r>
      <w:r>
        <w:pict>
          <v:group id="_x0000_s1049" style="width:377.2pt;height:96.75pt;margin-top:120.24pt;margin-left:109.56pt;mso-position-horizontal-relative:page;mso-position-vertical-relative:page;position:absolute;z-index:-251645952" coordorigin="0,0" coordsize="7544,1935"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width:7544;height:1935;position:absolute" filled="f" stroked="f">
              <v:imagedata r:id="rId21" o:title=""/>
            </v:shape>
            <v:shape id="_x0000_s1051" type="#_x0000_t202" style="width:5772;height:1755;left:1550;position:absolute;top:-11" filled="f" stroked="f">
              <o:lock v:ext="edit" aspectratio="f"/>
              <v:textbox inset="0,0,0,0">
                <w:txbxContent>
                  <w:p>
                    <w:pPr>
                      <w:spacing w:before="20" w:line="186" w:lineRule="auto"/>
                      <w:ind w:left="5394"/>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18.20%</w:t>
                    </w:r>
                  </w:p>
                  <w:p>
                    <w:pPr>
                      <w:spacing w:before="73" w:line="186" w:lineRule="auto"/>
                      <w:ind w:left="172"/>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12838</w:t>
                    </w:r>
                  </w:p>
                  <w:p>
                    <w:pPr>
                      <w:spacing w:before="66" w:line="199" w:lineRule="auto"/>
                      <w:ind w:left="375"/>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13.20%                                             13</w:t>
                    </w:r>
                    <w:r>
                      <w:rPr>
                        <w:rFonts w:ascii="Times New Roman" w:eastAsia="Times New Roman" w:hAnsi="Times New Roman" w:cs="Times New Roman"/>
                        <w:color w:val="404040"/>
                        <w:spacing w:val="-2"/>
                        <w:sz w:val="12"/>
                        <w:szCs w:val="12"/>
                      </w:rPr>
                      <w:t>.30%</w:t>
                    </w:r>
                  </w:p>
                  <w:p>
                    <w:pPr>
                      <w:spacing w:before="18" w:line="186" w:lineRule="auto"/>
                      <w:ind w:left="5191"/>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10294</w:t>
                    </w:r>
                  </w:p>
                  <w:p>
                    <w:pPr>
                      <w:spacing w:before="27"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12.50%</w:t>
                    </w:r>
                  </w:p>
                  <w:p>
                    <w:pPr>
                      <w:spacing w:line="314" w:lineRule="auto"/>
                      <w:rPr>
                        <w:rFonts w:ascii="Arial"/>
                        <w:sz w:val="21"/>
                      </w:rPr>
                    </w:pPr>
                  </w:p>
                  <w:p>
                    <w:pPr>
                      <w:spacing w:before="34" w:line="186" w:lineRule="auto"/>
                      <w:ind w:left="3743"/>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3.30%</w:t>
                    </w:r>
                  </w:p>
                  <w:p>
                    <w:pPr>
                      <w:spacing w:before="96" w:line="186" w:lineRule="auto"/>
                      <w:ind w:left="5091"/>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3.40%</w:t>
                    </w:r>
                  </w:p>
                  <w:p>
                    <w:pPr>
                      <w:spacing w:before="219" w:line="186" w:lineRule="auto"/>
                      <w:ind w:left="3376"/>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w:t>
                    </w:r>
                    <w:r>
                      <w:rPr>
                        <w:rFonts w:ascii="Times New Roman" w:eastAsia="Times New Roman" w:hAnsi="Times New Roman" w:cs="Times New Roman"/>
                        <w:color w:val="404040"/>
                        <w:spacing w:val="-16"/>
                        <w:sz w:val="12"/>
                        <w:szCs w:val="12"/>
                      </w:rPr>
                      <w:t xml:space="preserve"> </w:t>
                    </w:r>
                    <w:r>
                      <w:rPr>
                        <w:rFonts w:ascii="Times New Roman" w:eastAsia="Times New Roman" w:hAnsi="Times New Roman" w:cs="Times New Roman"/>
                        <w:color w:val="404040"/>
                        <w:spacing w:val="-3"/>
                        <w:sz w:val="12"/>
                        <w:szCs w:val="12"/>
                      </w:rPr>
                      <w:t>1.10%</w:t>
                    </w:r>
                  </w:p>
                </w:txbxContent>
              </v:textbox>
            </v:shape>
            <v:shape id="_x0000_s1052" style="width:1718;height:53;left:2075;position:absolute;top:587" coordorigin="0,0" coordsize="1718,53" path="m22,30l1695,22e" filled="f" strokecolor="#8064a2" strokeweight="2.28pt">
              <v:stroke endcap="round"/>
            </v:shape>
            <v:shape id="_x0000_s1053" type="#_x0000_t202" style="width:266;height:146;left:2210;position:absolute;top:1576"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1187</w:t>
                    </w:r>
                  </w:p>
                </w:txbxContent>
              </v:textbox>
            </v:shape>
            <v:shape id="_x0000_s1054" type="#_x0000_t202" style="width:266;height:146;left:3884;position:absolute;top:1560"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1320</w:t>
                    </w:r>
                  </w:p>
                </w:txbxContent>
              </v:textbox>
            </v:shape>
            <v:shape id="_x0000_s1055" type="#_x0000_t202" style="width:266;height:146;left:537;position:absolute;top:1595"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1024</w:t>
                    </w:r>
                  </w:p>
                </w:txbxContent>
              </v:textbox>
            </v:shape>
            <v:shape id="_x0000_s1056" type="#_x0000_t202" style="width:266;height:123;left:5556;position:absolute;top:1548" filled="f" stroked="f">
              <o:lock v:ext="edit" aspectratio="f"/>
              <v:textbox inset="0,0,0,0">
                <w:txbxContent>
                  <w:p>
                    <w:pPr>
                      <w:spacing w:before="20" w:line="82" w:lineRule="exact"/>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position w:val="-2"/>
                        <w:sz w:val="12"/>
                        <w:szCs w:val="12"/>
                      </w:rPr>
                      <w:t>1415</w:t>
                    </w:r>
                  </w:p>
                </w:txbxContent>
              </v:textbox>
            </v:shape>
          </v:group>
        </w:pict>
      </w:r>
      <w:r>
        <w:pict>
          <v:shape id="_x0000_s1057" type="#_x0000_t202" style="width:19.85pt;height:7.4pt;margin-top:124.4pt;margin-left:121.16pt;mso-position-horizontal-relative:page;mso-position-vertical-relative:page;position:absolute;z-index:251682816"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16.90%</w:t>
                  </w:r>
                </w:p>
              </w:txbxContent>
            </v:textbox>
          </v:shape>
        </w:pict>
      </w:r>
      <w:r>
        <w:pict>
          <v:shape id="_x0000_s1058" type="#_x0000_t202" style="width:16.3pt;height:19.45pt;margin-top:129.39pt;margin-left:68.61pt;mso-position-horizontal-relative:page;mso-position-vertical-relative:page;position:absolute;z-index:251674624"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14000</w:t>
                  </w:r>
                </w:p>
                <w:p>
                  <w:pPr>
                    <w:spacing w:before="134"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12000</w:t>
                  </w:r>
                </w:p>
              </w:txbxContent>
            </v:textbox>
          </v:shape>
        </w:pict>
      </w:r>
      <w:r>
        <w:pict>
          <v:shape id="_x0000_s1059" type="#_x0000_t202" style="width:420.25pt;height:87.25pt;margin-top:131.12pt;margin-left:88.04pt;mso-position-horizontal-relative:page;mso-position-vertical-relative:page;position:absolute;z-index:-251648000" o:allowincell="f" filled="f" stroked="f">
            <o:lock v:ext="edit" aspectratio="f"/>
            <v:textbox inset="0,0,0,0">
              <w:txbxContent>
                <w:p>
                  <w:pPr>
                    <w:spacing w:line="20" w:lineRule="exact"/>
                  </w:pPr>
                </w:p>
                <w:tbl>
                  <w:tblPr>
                    <w:tblStyle w:val="TableNormal3"/>
                    <w:tblW w:w="8364" w:type="dxa"/>
                    <w:tblInd w:w="20" w:type="dxa"/>
                    <w:tblBorders>
                      <w:top w:val="nil"/>
                      <w:left w:val="nil"/>
                      <w:bottom w:val="nil"/>
                      <w:right w:val="nil"/>
                      <w:insideH w:val="nil"/>
                      <w:insideV w:val="nil"/>
                    </w:tblBorders>
                    <w:tblLayout w:type="fixed"/>
                  </w:tblPr>
                  <w:tblGrid>
                    <w:gridCol w:w="8364"/>
                  </w:tblGrid>
                  <w:tr>
                    <w:tblPrEx>
                      <w:tblW w:w="8364" w:type="dxa"/>
                      <w:tblInd w:w="20" w:type="dxa"/>
                      <w:tblBorders>
                        <w:top w:val="nil"/>
                        <w:left w:val="nil"/>
                        <w:bottom w:val="nil"/>
                        <w:right w:val="nil"/>
                        <w:insideH w:val="nil"/>
                        <w:insideV w:val="nil"/>
                      </w:tblBorders>
                      <w:tblLayout w:type="fixed"/>
                    </w:tblPrEx>
                    <w:trPr>
                      <w:trHeight w:val="238"/>
                    </w:trPr>
                    <w:tc>
                      <w:tcPr>
                        <w:tcW w:w="8364" w:type="dxa"/>
                        <w:tcBorders>
                          <w:top w:val="single" w:sz="4" w:space="0" w:color="D9D9D9"/>
                          <w:bottom w:val="single" w:sz="4" w:space="0" w:color="D9D9D9"/>
                        </w:tcBorders>
                        <w:vAlign w:val="top"/>
                      </w:tcPr>
                      <w:p>
                        <w:pPr>
                          <w:spacing w:line="228" w:lineRule="exact"/>
                          <w:rPr>
                            <w:rFonts w:ascii="Arial"/>
                            <w:sz w:val="19"/>
                          </w:rPr>
                        </w:pPr>
                      </w:p>
                    </w:tc>
                  </w:tr>
                  <w:tr>
                    <w:tblPrEx>
                      <w:tblW w:w="8364" w:type="dxa"/>
                      <w:tblInd w:w="20" w:type="dxa"/>
                      <w:tblLayout w:type="fixed"/>
                    </w:tblPrEx>
                    <w:trPr>
                      <w:trHeight w:val="228"/>
                    </w:trPr>
                    <w:tc>
                      <w:tcPr>
                        <w:tcW w:w="8364" w:type="dxa"/>
                        <w:tcBorders>
                          <w:top w:val="single" w:sz="4" w:space="0" w:color="D9D9D9"/>
                          <w:bottom w:val="single" w:sz="4" w:space="0" w:color="D9D9D9"/>
                        </w:tcBorders>
                        <w:vAlign w:val="top"/>
                      </w:tcPr>
                      <w:p>
                        <w:pPr>
                          <w:spacing w:line="218" w:lineRule="exact"/>
                          <w:rPr>
                            <w:rFonts w:ascii="Arial"/>
                            <w:sz w:val="18"/>
                          </w:rPr>
                        </w:pPr>
                      </w:p>
                    </w:tc>
                  </w:tr>
                  <w:tr>
                    <w:tblPrEx>
                      <w:tblW w:w="8364" w:type="dxa"/>
                      <w:tblInd w:w="20" w:type="dxa"/>
                      <w:tblLayout w:type="fixed"/>
                    </w:tblPrEx>
                    <w:trPr>
                      <w:trHeight w:val="231"/>
                    </w:trPr>
                    <w:tc>
                      <w:tcPr>
                        <w:tcW w:w="8364" w:type="dxa"/>
                        <w:tcBorders>
                          <w:top w:val="single" w:sz="4" w:space="0" w:color="D9D9D9"/>
                          <w:bottom w:val="single" w:sz="4" w:space="0" w:color="D9D9D9"/>
                        </w:tcBorders>
                        <w:vAlign w:val="top"/>
                      </w:tcPr>
                      <w:p>
                        <w:pPr>
                          <w:spacing w:line="220" w:lineRule="exact"/>
                          <w:rPr>
                            <w:rFonts w:ascii="Arial"/>
                            <w:sz w:val="19"/>
                          </w:rPr>
                        </w:pPr>
                      </w:p>
                    </w:tc>
                  </w:tr>
                  <w:tr>
                    <w:tblPrEx>
                      <w:tblW w:w="8364" w:type="dxa"/>
                      <w:tblInd w:w="20" w:type="dxa"/>
                      <w:tblLayout w:type="fixed"/>
                    </w:tblPrEx>
                    <w:trPr>
                      <w:trHeight w:val="231"/>
                    </w:trPr>
                    <w:tc>
                      <w:tcPr>
                        <w:tcW w:w="8364" w:type="dxa"/>
                        <w:tcBorders>
                          <w:top w:val="single" w:sz="4" w:space="0" w:color="D9D9D9"/>
                          <w:bottom w:val="single" w:sz="4" w:space="0" w:color="D9D9D9"/>
                        </w:tcBorders>
                        <w:vAlign w:val="top"/>
                      </w:tcPr>
                      <w:p>
                        <w:pPr>
                          <w:spacing w:line="220" w:lineRule="exact"/>
                          <w:rPr>
                            <w:rFonts w:ascii="Arial"/>
                            <w:sz w:val="19"/>
                          </w:rPr>
                        </w:pPr>
                      </w:p>
                    </w:tc>
                  </w:tr>
                  <w:tr>
                    <w:tblPrEx>
                      <w:tblW w:w="8364" w:type="dxa"/>
                      <w:tblInd w:w="20" w:type="dxa"/>
                      <w:tblLayout w:type="fixed"/>
                    </w:tblPrEx>
                    <w:trPr>
                      <w:trHeight w:val="229"/>
                    </w:trPr>
                    <w:tc>
                      <w:tcPr>
                        <w:tcW w:w="8364" w:type="dxa"/>
                        <w:tcBorders>
                          <w:top w:val="single" w:sz="4" w:space="0" w:color="D9D9D9"/>
                          <w:bottom w:val="single" w:sz="4" w:space="0" w:color="D9D9D9"/>
                        </w:tcBorders>
                        <w:vAlign w:val="top"/>
                      </w:tcPr>
                      <w:p>
                        <w:pPr>
                          <w:spacing w:line="219" w:lineRule="exact"/>
                          <w:rPr>
                            <w:rFonts w:ascii="Arial"/>
                            <w:sz w:val="19"/>
                          </w:rPr>
                        </w:pPr>
                      </w:p>
                    </w:tc>
                  </w:tr>
                  <w:tr>
                    <w:tblPrEx>
                      <w:tblW w:w="8364" w:type="dxa"/>
                      <w:tblInd w:w="20" w:type="dxa"/>
                      <w:tblLayout w:type="fixed"/>
                    </w:tblPrEx>
                    <w:trPr>
                      <w:trHeight w:val="231"/>
                    </w:trPr>
                    <w:tc>
                      <w:tcPr>
                        <w:tcW w:w="8364" w:type="dxa"/>
                        <w:tcBorders>
                          <w:top w:val="single" w:sz="4" w:space="0" w:color="D9D9D9"/>
                          <w:bottom w:val="single" w:sz="4" w:space="0" w:color="D9D9D9"/>
                        </w:tcBorders>
                        <w:vAlign w:val="top"/>
                      </w:tcPr>
                      <w:p>
                        <w:pPr>
                          <w:spacing w:line="220" w:lineRule="exact"/>
                          <w:rPr>
                            <w:rFonts w:ascii="Arial"/>
                            <w:sz w:val="19"/>
                          </w:rPr>
                        </w:pPr>
                      </w:p>
                    </w:tc>
                  </w:tr>
                  <w:tr>
                    <w:tblPrEx>
                      <w:tblW w:w="8364" w:type="dxa"/>
                      <w:tblInd w:w="20" w:type="dxa"/>
                      <w:tblLayout w:type="fixed"/>
                    </w:tblPrEx>
                    <w:trPr>
                      <w:trHeight w:val="236"/>
                    </w:trPr>
                    <w:tc>
                      <w:tcPr>
                        <w:tcW w:w="8364" w:type="dxa"/>
                        <w:tcBorders>
                          <w:top w:val="single" w:sz="4" w:space="0" w:color="D9D9D9"/>
                          <w:bottom w:val="single" w:sz="4" w:space="0" w:color="D9D9D9"/>
                        </w:tcBorders>
                        <w:vAlign w:val="top"/>
                      </w:tcPr>
                      <w:p>
                        <w:pPr>
                          <w:spacing w:line="225" w:lineRule="exact"/>
                          <w:rPr>
                            <w:rFonts w:ascii="Arial"/>
                            <w:sz w:val="19"/>
                          </w:rPr>
                        </w:pPr>
                      </w:p>
                    </w:tc>
                  </w:tr>
                </w:tbl>
                <w:p>
                  <w:pPr>
                    <w:rPr>
                      <w:rFonts w:ascii="Arial"/>
                      <w:sz w:val="21"/>
                    </w:rPr>
                  </w:pPr>
                </w:p>
              </w:txbxContent>
            </v:textbox>
          </v:shape>
        </w:pict>
      </w:r>
      <w:r>
        <w:pict>
          <v:shape id="_x0000_s1060" type="#_x0000_t202" style="width:16.3pt;height:7.35pt;margin-top:133.4pt;margin-left:111.06pt;mso-position-horizontal-relative:page;mso-position-vertical-relative:page;position:absolute;z-index:251685888"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12061</w:t>
                  </w:r>
                </w:p>
              </w:txbxContent>
            </v:textbox>
          </v:shape>
        </w:pict>
      </w:r>
      <w:r>
        <w:pict>
          <v:shape id="_x0000_s1061" type="#_x0000_t202" style="width:16.3pt;height:19.45pt;margin-top:153.53pt;margin-left:68.61pt;mso-position-horizontal-relative:page;mso-position-vertical-relative:page;position:absolute;z-index:251675648"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10000</w:t>
                  </w:r>
                </w:p>
                <w:p>
                  <w:pPr>
                    <w:spacing w:before="134" w:line="186" w:lineRule="auto"/>
                    <w:ind w:left="73"/>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8000</w:t>
                  </w:r>
                </w:p>
              </w:txbxContent>
            </v:textbox>
          </v:shape>
        </w:pict>
      </w:r>
      <w:r>
        <w:pict>
          <v:shape id="_x0000_s1062" type="#_x0000_t202" style="width:13.95pt;height:19.45pt;margin-top:177.68pt;margin-left:71pt;mso-position-horizontal-relative:page;mso-position-vertical-relative:page;position:absolute;z-index:251678720" o:allowincell="f" filled="f" stroked="f">
            <o:lock v:ext="edit" aspectratio="f"/>
            <v:textbox inset="0,0,0,0">
              <w:txbxContent>
                <w:p>
                  <w:pPr>
                    <w:spacing w:before="20" w:line="186" w:lineRule="auto"/>
                    <w:ind w:left="23"/>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6000</w:t>
                  </w:r>
                </w:p>
                <w:p>
                  <w:pPr>
                    <w:spacing w:before="134"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4000</w:t>
                  </w:r>
                </w:p>
              </w:txbxContent>
            </v:textbox>
          </v:shape>
        </w:pict>
      </w:r>
      <w:r>
        <w:pict>
          <v:shape id="_x0000_s1063" type="#_x0000_t202" style="width:13.9pt;height:19.45pt;margin-top:201.82pt;margin-left:71.03pt;mso-position-horizontal-relative:page;mso-position-vertical-relative:page;position:absolute;z-index:251679744"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before="134" w:line="186" w:lineRule="auto"/>
                    <w:ind w:left="202"/>
                    <w:rPr>
                      <w:rFonts w:ascii="Times New Roman" w:eastAsia="Times New Roman" w:hAnsi="Times New Roman" w:cs="Times New Roman"/>
                      <w:sz w:val="12"/>
                      <w:szCs w:val="12"/>
                    </w:rPr>
                  </w:pPr>
                  <w:r>
                    <w:rPr>
                      <w:rFonts w:ascii="Times New Roman" w:eastAsia="Times New Roman" w:hAnsi="Times New Roman" w:cs="Times New Roman"/>
                      <w:color w:val="595959"/>
                      <w:sz w:val="12"/>
                      <w:szCs w:val="12"/>
                    </w:rPr>
                    <w:t>0</w:t>
                  </w:r>
                </w:p>
              </w:txbxContent>
            </v:textbox>
          </v:shape>
        </w:pict>
      </w:r>
      <w:r>
        <w:pict>
          <v:shape id="_x0000_s1064" style="width:19.2pt;height:3pt;margin-top:233.64pt;margin-left:128.52pt;mso-position-horizontal-relative:page;mso-position-vertical-relative:page;position:absolute;z-index:251687936" coordorigin="0,0" coordsize="384,60" o:allowincell="f" path="m,60l383,60l383,l,l,60xe" filled="t" fillcolor="#4f81bd" stroked="f"/>
        </w:pict>
      </w:r>
      <w:r>
        <w:pict>
          <v:shape id="_x0000_s1065" style="width:19.25pt;height:3pt;margin-top:233.64pt;margin-left:248.28pt;mso-position-horizontal-relative:page;mso-position-vertical-relative:page;position:absolute;z-index:251686912" coordorigin="0,0" coordsize="385,60" o:allowincell="f" path="m,60l384,60l384,l,l,60xe" filled="t" fillcolor="#9bbb59" stroked="f"/>
        </w:pict>
      </w:r>
      <w:r>
        <w:pict>
          <v:shape id="_x0000_s1066" style="width:481.8pt;height:0.5pt;margin-top:244.01pt;margin-left:56.88pt;mso-position-horizontal-relative:page;mso-position-vertical-relative:page;position:absolute;z-index:251677696" coordorigin="0,0" coordsize="9635,10" o:allowincell="f" path="m,9l9635,9l9635,l,l,9xe" filled="t" fillcolor="black" stroked="f"/>
        </w:pict>
      </w:r>
      <w:r>
        <w:pict>
          <v:shape id="_x0000_s1067" type="#_x0000_t202" style="width:20.45pt;height:7.4pt;margin-top:462.94pt;margin-left:117.83pt;mso-position-horizontal-relative:page;mso-position-vertical-relative:page;position:absolute;z-index:251681792" o:allowincell="f"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23</w:t>
                  </w:r>
                  <w:r>
                    <w:rPr>
                      <w:rFonts w:ascii="Times New Roman" w:eastAsia="Times New Roman" w:hAnsi="Times New Roman" w:cs="Times New Roman"/>
                      <w:color w:val="404040"/>
                      <w:spacing w:val="18"/>
                      <w:w w:val="103"/>
                      <w:sz w:val="12"/>
                      <w:szCs w:val="12"/>
                    </w:rPr>
                    <w:t xml:space="preserve"> </w:t>
                  </w:r>
                  <w:r>
                    <w:rPr>
                      <w:rFonts w:ascii="Times New Roman" w:eastAsia="Times New Roman" w:hAnsi="Times New Roman" w:cs="Times New Roman"/>
                      <w:color w:val="404040"/>
                      <w:spacing w:val="-3"/>
                      <w:sz w:val="12"/>
                      <w:szCs w:val="12"/>
                    </w:rPr>
                    <w:t>10%</w:t>
                  </w:r>
                </w:p>
              </w:txbxContent>
            </v:textbox>
          </v:shape>
        </w:pict>
      </w:r>
      <w:r>
        <w:pict>
          <v:shape id="_x0000_s1068" style="width:86.3pt;height:53.05pt;margin-top:531.72pt;margin-left:379.08pt;mso-position-horizontal-relative:page;mso-position-vertical-relative:page;position:absolute;z-index:-251643904" coordorigin="0,0" coordsize="1726,1060" o:allowincell="f" path="m22,22l1702,1037e" filled="f" strokecolor="#c0504d" strokeweight="2.28pt">
            <v:stroke endcap="round"/>
          </v:shape>
        </w:pict>
      </w:r>
      <w:r>
        <w:pict>
          <v:shape id="_x0000_s1069" style="width:86.4pt;height:65.2pt;margin-top:475.08pt;margin-left:126.84pt;mso-position-horizontal-relative:page;mso-position-vertical-relative:page;position:absolute;z-index:251689984" coordorigin="0,0" coordsize="1728,1303" o:allowincell="f" path="m22,22l1705,1280e" filled="f" strokecolor="#c0504d" strokeweight="2.28pt">
            <v:stroke endcap="round"/>
          </v:shape>
        </w:pict>
      </w:r>
      <w:r>
        <w:pict>
          <v:shape id="_x0000_s1070" style="width:86.3pt;height:6pt;margin-top:537.96pt;margin-left:210.96pt;mso-position-horizontal-relative:page;mso-position-vertical-relative:page;position:absolute;z-index:251688960" coordorigin="0,0" coordsize="1726,120" o:allowincell="f" path="m22,22l1702,97e" filled="f" strokecolor="#c0504d" strokeweight="2.28pt">
            <v:stroke endcap="round"/>
          </v:shape>
        </w:pict>
      </w:r>
      <w:r>
        <w:pict>
          <v:shape id="_x0000_s1071" style="width:86.3pt;height:7pt;margin-top:537.48pt;margin-left:210.96pt;mso-position-horizontal-relative:page;mso-position-vertical-relative:page;position:absolute;z-index:251691008" coordorigin="0,0" coordsize="1726,140" o:allowincell="f" path="m22,22l1702,116e" filled="f" strokecolor="#9bbb59" strokeweight="2.28pt">
            <v:stroke endcap="round"/>
          </v:shape>
        </w:pict>
      </w:r>
      <w:r>
        <w:drawing>
          <wp:anchor distT="0" distB="0" distL="0" distR="0" simplePos="0" relativeHeight="251671552" behindDoc="1" locked="0" layoutInCell="0" allowOverlap="1">
            <wp:simplePos x="0" y="0"/>
            <wp:positionH relativeFrom="page">
              <wp:posOffset>1458468</wp:posOffset>
            </wp:positionH>
            <wp:positionV relativeFrom="page">
              <wp:posOffset>6184392</wp:posOffset>
            </wp:positionV>
            <wp:extent cx="4605528" cy="141122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4605528" cy="1411224"/>
                    </a:xfrm>
                    <a:prstGeom prst="rect">
                      <a:avLst/>
                    </a:prstGeom>
                  </pic:spPr>
                </pic:pic>
              </a:graphicData>
            </a:graphic>
          </wp:anchor>
        </w:drawing>
      </w:r>
      <w:r>
        <w:pict>
          <v:shape id="_x0000_s1072" style="width:481.8pt;height:0.5pt;margin-top:626.86pt;margin-left:56.88pt;mso-position-horizontal-relative:page;mso-position-vertical-relative:page;position:absolute;z-index:251676672" coordorigin="0,0" coordsize="9635,10" o:allowincell="f" path="m,9l9635,9l9635,l,l,9xe" filled="t" fillcolor="black" stroked="f"/>
        </w:pict>
      </w:r>
    </w:p>
    <w:p>
      <w:pPr>
        <w:sectPr>
          <w:headerReference w:type="default" r:id="rId23"/>
          <w:footerReference w:type="default" r:id="rId24"/>
          <w:pgSz w:w="11907" w:h="16839"/>
          <w:pgMar w:top="1336" w:right="1041" w:bottom="1271" w:left="897" w:header="1148" w:footer="1077" w:gutter="0"/>
          <w:pgNumType w:start="8"/>
          <w:cols w:num="1" w:space="708" w:equalWidth="0">
            <w:col w:w="9968" w:space="0"/>
          </w:cols>
        </w:sectPr>
      </w:pPr>
    </w:p>
    <w:p>
      <w:pPr>
        <w:spacing w:before="36" w:line="218" w:lineRule="auto"/>
        <w:ind w:left="368"/>
        <w:rPr>
          <w:rFonts w:ascii="SimHei" w:eastAsia="SimHei" w:hAnsi="SimHei" w:cs="SimHei"/>
          <w:sz w:val="18"/>
          <w:szCs w:val="18"/>
        </w:rPr>
      </w:pPr>
      <w:r>
        <w:rPr>
          <w:rFonts w:ascii="SimHei" w:eastAsia="SimHei" w:hAnsi="SimHei" w:cs="SimHei"/>
          <w:spacing w:val="-1"/>
          <w:sz w:val="18"/>
          <w:szCs w:val="18"/>
        </w:rPr>
        <w:t>图表</w:t>
      </w:r>
      <w:r>
        <w:rPr>
          <w:rFonts w:ascii="SimHei" w:eastAsia="SimHei" w:hAnsi="SimHei" w:cs="SimHei"/>
          <w:spacing w:val="-34"/>
          <w:sz w:val="18"/>
          <w:szCs w:val="18"/>
        </w:rPr>
        <w:t xml:space="preserve"> </w:t>
      </w:r>
      <w:r>
        <w:rPr>
          <w:rFonts w:ascii="Times New Roman" w:eastAsia="Times New Roman" w:hAnsi="Times New Roman" w:cs="Times New Roman"/>
          <w:spacing w:val="-1"/>
          <w:sz w:val="18"/>
          <w:szCs w:val="18"/>
        </w:rPr>
        <w:t>3.</w:t>
      </w:r>
      <w:r>
        <w:rPr>
          <w:rFonts w:ascii="Times New Roman" w:eastAsia="Times New Roman" w:hAnsi="Times New Roman" w:cs="Times New Roman"/>
          <w:spacing w:val="13"/>
          <w:sz w:val="18"/>
          <w:szCs w:val="18"/>
        </w:rPr>
        <w:t xml:space="preserve"> </w:t>
      </w:r>
      <w:r>
        <w:rPr>
          <w:rFonts w:ascii="Times New Roman" w:eastAsia="Times New Roman" w:hAnsi="Times New Roman" w:cs="Times New Roman"/>
          <w:spacing w:val="-1"/>
          <w:sz w:val="18"/>
          <w:szCs w:val="18"/>
        </w:rPr>
        <w:t xml:space="preserve">2019 </w:t>
      </w:r>
      <w:r>
        <w:rPr>
          <w:rFonts w:ascii="SimHei" w:eastAsia="SimHei" w:hAnsi="SimHei" w:cs="SimHei"/>
          <w:spacing w:val="-1"/>
          <w:sz w:val="18"/>
          <w:szCs w:val="18"/>
        </w:rPr>
        <w:t>年以来我国规模以上互联网企业业务收入和利润情况</w:t>
      </w:r>
    </w:p>
    <w:p>
      <w:pPr>
        <w:spacing w:before="129" w:line="186" w:lineRule="auto"/>
        <w:ind w:left="494"/>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18000</w:t>
      </w:r>
    </w:p>
    <w:p>
      <w:pPr>
        <w:spacing w:before="172" w:line="1935" w:lineRule="exact"/>
        <w:ind w:firstLine="1293"/>
      </w:pPr>
      <w:r>
        <w:rPr>
          <w:position w:val="-38"/>
        </w:rPr>
        <w:pict>
          <v:group id="_x0000_i1073" style="width:377.2pt;height:96.75pt;mso-position-horizontal-relative:char;mso-position-vertical-relative:line" coordorigin="0,0" coordsize="7544,1935" filled="f" stroked="f">
            <v:shape id="_x0000_s1074" type="#_x0000_t202" style="width:7584;height:1975;left:-20;position:absolute;top:-20" filled="f" stroked="f">
              <o:lock v:ext="edit" aspectratio="f"/>
              <v:textbox inset="0,0,0,0">
                <w:txbxContent>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35" w:line="186" w:lineRule="auto"/>
                      <w:ind w:left="7243"/>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959.3</w:t>
                    </w:r>
                  </w:p>
                </w:txbxContent>
              </v:textbox>
            </v:shape>
            <w10:wrap type="none"/>
          </v:group>
        </w:pict>
      </w:r>
    </w:p>
    <w:p>
      <w:pPr>
        <w:spacing w:before="89" w:line="220" w:lineRule="auto"/>
        <w:ind w:left="8093"/>
        <w:rPr>
          <w:rFonts w:ascii="SimSun" w:eastAsia="SimSun" w:hAnsi="SimSun" w:cs="SimSun"/>
          <w:sz w:val="12"/>
          <w:szCs w:val="12"/>
        </w:rPr>
      </w:pPr>
      <w:r>
        <w:pict>
          <v:shape id="_x0000_s1075" type="#_x0000_t202" style="width:19.9pt;height:9.15pt;margin-top:3.45pt;margin-left:159.67pt;position:absolute;z-index:251700224"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2020</w:t>
                  </w:r>
                  <w:r>
                    <w:rPr>
                      <w:rFonts w:ascii="SimSun" w:eastAsia="SimSun" w:hAnsi="SimSun" w:cs="SimSun"/>
                      <w:color w:val="595959"/>
                      <w:spacing w:val="-1"/>
                      <w:sz w:val="12"/>
                      <w:szCs w:val="12"/>
                    </w:rPr>
                    <w:t>年</w:t>
                  </w:r>
                </w:p>
              </w:txbxContent>
            </v:textbox>
          </v:shape>
        </w:pict>
      </w:r>
      <w:r>
        <w:pict>
          <v:shape id="_x0000_s1076" type="#_x0000_t202" style="width:19.9pt;height:9.15pt;margin-top:3.45pt;margin-left:243.33pt;position:absolute;z-index:251699200"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2021</w:t>
                  </w:r>
                  <w:r>
                    <w:rPr>
                      <w:rFonts w:ascii="SimSun" w:eastAsia="SimSun" w:hAnsi="SimSun" w:cs="SimSun"/>
                      <w:color w:val="595959"/>
                      <w:spacing w:val="-1"/>
                      <w:sz w:val="12"/>
                      <w:szCs w:val="12"/>
                    </w:rPr>
                    <w:t>年</w:t>
                  </w:r>
                </w:p>
              </w:txbxContent>
            </v:textbox>
          </v:shape>
        </w:pict>
      </w:r>
      <w:r>
        <w:pict>
          <v:shape id="_x0000_s1077" type="#_x0000_t202" style="width:19.9pt;height:9.15pt;margin-top:3.45pt;margin-left:326.97pt;position:absolute;z-index:251701248"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2022</w:t>
                  </w:r>
                  <w:r>
                    <w:rPr>
                      <w:rFonts w:ascii="SimSun" w:eastAsia="SimSun" w:hAnsi="SimSun" w:cs="SimSun"/>
                      <w:color w:val="595959"/>
                      <w:spacing w:val="-1"/>
                      <w:sz w:val="12"/>
                      <w:szCs w:val="12"/>
                    </w:rPr>
                    <w:t>年</w:t>
                  </w:r>
                </w:p>
              </w:txbxContent>
            </v:textbox>
          </v:shape>
        </w:pict>
      </w:r>
      <w:r>
        <w:pict>
          <v:shape id="_x0000_s1078" type="#_x0000_t202" style="width:19.9pt;height:9.15pt;margin-top:3.45pt;margin-left:76.01pt;position:absolute;z-index:251698176"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2019</w:t>
                  </w:r>
                  <w:r>
                    <w:rPr>
                      <w:rFonts w:ascii="SimSun" w:eastAsia="SimSun" w:hAnsi="SimSun" w:cs="SimSun"/>
                      <w:color w:val="595959"/>
                      <w:spacing w:val="-1"/>
                      <w:sz w:val="12"/>
                      <w:szCs w:val="12"/>
                    </w:rPr>
                    <w:t>年</w:t>
                  </w:r>
                </w:p>
              </w:txbxContent>
            </v:textbox>
          </v:shape>
        </w:pict>
      </w:r>
      <w:r>
        <w:rPr>
          <w:rFonts w:ascii="Times New Roman" w:eastAsia="Times New Roman" w:hAnsi="Times New Roman" w:cs="Times New Roman"/>
          <w:color w:val="595959"/>
          <w:spacing w:val="-1"/>
          <w:sz w:val="12"/>
          <w:szCs w:val="12"/>
        </w:rPr>
        <w:t>2023</w:t>
      </w:r>
      <w:r>
        <w:rPr>
          <w:rFonts w:ascii="SimSun" w:eastAsia="SimSun" w:hAnsi="SimSun" w:cs="SimSun"/>
          <w:color w:val="595959"/>
          <w:spacing w:val="-1"/>
          <w:sz w:val="12"/>
          <w:szCs w:val="12"/>
        </w:rPr>
        <w:t>年</w:t>
      </w:r>
      <w:r>
        <w:rPr>
          <w:rFonts w:ascii="Times New Roman" w:eastAsia="Times New Roman" w:hAnsi="Times New Roman" w:cs="Times New Roman"/>
          <w:color w:val="595959"/>
          <w:spacing w:val="-1"/>
          <w:sz w:val="12"/>
          <w:szCs w:val="12"/>
        </w:rPr>
        <w:t>1-9</w:t>
      </w:r>
      <w:r>
        <w:rPr>
          <w:rFonts w:ascii="SimSun" w:eastAsia="SimSun" w:hAnsi="SimSun" w:cs="SimSun"/>
          <w:color w:val="595959"/>
          <w:spacing w:val="-1"/>
          <w:sz w:val="12"/>
          <w:szCs w:val="12"/>
        </w:rPr>
        <w:t>月</w:t>
      </w:r>
    </w:p>
    <w:p>
      <w:pPr>
        <w:spacing w:before="66" w:line="185" w:lineRule="auto"/>
        <w:ind w:left="2103"/>
        <w:rPr>
          <w:rFonts w:ascii="SimSun" w:eastAsia="SimSun" w:hAnsi="SimSun" w:cs="SimSun"/>
          <w:sz w:val="12"/>
          <w:szCs w:val="12"/>
        </w:rPr>
      </w:pPr>
      <w:r>
        <w:pict>
          <v:shape id="_x0000_s1079" type="#_x0000_t202" style="width:49.35pt;height:9.15pt;margin-top:2.34pt;margin-left:223.88pt;position:absolute;z-index:251695104" filled="f" stroked="f">
            <o:lock v:ext="edit" aspectratio="f"/>
            <v:textbox inset="0,0,0,0">
              <w:txbxContent>
                <w:p>
                  <w:pPr>
                    <w:spacing w:before="19" w:line="220" w:lineRule="auto"/>
                    <w:ind w:left="20"/>
                    <w:rPr>
                      <w:rFonts w:ascii="SimSun" w:eastAsia="SimSun" w:hAnsi="SimSun" w:cs="SimSun"/>
                      <w:sz w:val="12"/>
                      <w:szCs w:val="12"/>
                    </w:rPr>
                  </w:pPr>
                  <w:r>
                    <w:rPr>
                      <w:rFonts w:ascii="SimSun" w:eastAsia="SimSun" w:hAnsi="SimSun" w:cs="SimSun"/>
                      <w:color w:val="595959"/>
                      <w:spacing w:val="-2"/>
                      <w:sz w:val="12"/>
                      <w:szCs w:val="12"/>
                    </w:rPr>
                    <w:t>利润总额（亿元）</w:t>
                  </w:r>
                </w:p>
              </w:txbxContent>
            </v:textbox>
          </v:shape>
        </w:pict>
      </w:r>
      <w:r>
        <w:pict>
          <v:shape id="_x0000_s1080" type="#_x0000_t202" style="width:25.6pt;height:9.15pt;margin-top:2.34pt;margin-left:325.84pt;position:absolute;z-index:251697152" filled="f" stroked="f">
            <o:lock v:ext="edit" aspectratio="f"/>
            <v:textbox inset="0,0,0,0">
              <w:txbxContent>
                <w:p>
                  <w:pPr>
                    <w:spacing w:before="19" w:line="220" w:lineRule="auto"/>
                    <w:ind w:left="20"/>
                    <w:rPr>
                      <w:rFonts w:ascii="SimSun" w:eastAsia="SimSun" w:hAnsi="SimSun" w:cs="SimSun"/>
                      <w:sz w:val="12"/>
                      <w:szCs w:val="12"/>
                    </w:rPr>
                  </w:pPr>
                  <w:r>
                    <w:rPr>
                      <w:rFonts w:ascii="SimSun" w:eastAsia="SimSun" w:hAnsi="SimSun" w:cs="SimSun"/>
                      <w:color w:val="595959"/>
                      <w:spacing w:val="-2"/>
                      <w:sz w:val="12"/>
                      <w:szCs w:val="12"/>
                    </w:rPr>
                    <w:t>收入增速</w:t>
                  </w:r>
                </w:p>
              </w:txbxContent>
            </v:textbox>
          </v:shape>
        </w:pict>
      </w:r>
      <w:r>
        <w:pict>
          <v:shape id="_x0000_s1081" type="#_x0000_t202" style="width:25.75pt;height:9.2pt;margin-top:2.34pt;margin-left:403.42pt;position:absolute;z-index:251696128"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color w:val="595959"/>
                      <w:spacing w:val="-1"/>
                      <w:sz w:val="12"/>
                      <w:szCs w:val="12"/>
                    </w:rPr>
                    <w:t>利润增速</w:t>
                  </w:r>
                </w:p>
              </w:txbxContent>
            </v:textbox>
          </v:shape>
        </w:pict>
      </w:r>
      <w:r>
        <w:rPr>
          <w:rFonts w:ascii="SimSun" w:eastAsia="SimSun" w:hAnsi="SimSun" w:cs="SimSun"/>
          <w:color w:val="595959"/>
          <w:spacing w:val="-2"/>
          <w:sz w:val="12"/>
          <w:szCs w:val="12"/>
        </w:rPr>
        <w:t>互联网业务收入（亿元）</w:t>
      </w:r>
    </w:p>
    <w:p>
      <w:pPr>
        <w:spacing w:line="14" w:lineRule="auto"/>
        <w:rPr>
          <w:rFonts w:ascii="Arial"/>
          <w:sz w:val="2"/>
        </w:rPr>
      </w:pPr>
      <w:r>
        <w:rPr>
          <w:rFonts w:ascii="Arial" w:eastAsia="Arial" w:hAnsi="Arial" w:cs="Arial"/>
          <w:sz w:val="2"/>
          <w:szCs w:val="2"/>
        </w:rPr>
        <w:br w:type="column"/>
      </w:r>
    </w:p>
    <w:p>
      <w:pPr>
        <w:spacing w:line="340" w:lineRule="auto"/>
        <w:rPr>
          <w:rFonts w:ascii="Arial"/>
          <w:sz w:val="21"/>
        </w:rPr>
      </w:pPr>
    </w:p>
    <w:p>
      <w:pPr>
        <w:spacing w:before="34" w:line="186" w:lineRule="auto"/>
        <w:ind w:left="105"/>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25.00%</w:t>
      </w:r>
    </w:p>
    <w:p>
      <w:pPr>
        <w:spacing w:before="255" w:line="186" w:lineRule="auto"/>
        <w:ind w:left="105"/>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before="255" w:line="186" w:lineRule="auto"/>
        <w:ind w:left="117"/>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15.00%</w:t>
      </w:r>
    </w:p>
    <w:p>
      <w:pPr>
        <w:spacing w:before="255" w:line="186" w:lineRule="auto"/>
        <w:ind w:left="117"/>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before="255"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5.00%</w:t>
      </w:r>
    </w:p>
    <w:p>
      <w:pPr>
        <w:spacing w:before="254" w:line="186" w:lineRule="auto"/>
        <w:ind w:left="10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before="256" w:line="186" w:lineRule="auto"/>
        <w:ind w:left="10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-5.00%</w:t>
      </w:r>
    </w:p>
    <w:p>
      <w:pPr>
        <w:spacing w:line="186" w:lineRule="auto"/>
        <w:rPr>
          <w:rFonts w:ascii="Times New Roman" w:eastAsia="Times New Roman" w:hAnsi="Times New Roman" w:cs="Times New Roman"/>
          <w:sz w:val="12"/>
          <w:szCs w:val="12"/>
        </w:rPr>
        <w:sectPr>
          <w:headerReference w:type="default" r:id="rId25"/>
          <w:footerReference w:type="default" r:id="rId26"/>
          <w:type w:val="continuous"/>
          <w:pgSz w:w="11907" w:h="16839"/>
          <w:pgMar w:top="1336" w:right="1041" w:bottom="1271" w:left="897" w:header="1148" w:footer="1077" w:gutter="0"/>
          <w:pgNumType w:start="9"/>
          <w:cols w:num="2" w:space="708" w:equalWidth="0">
            <w:col w:w="9247" w:space="0"/>
            <w:col w:w="720" w:space="0"/>
          </w:cols>
        </w:sectPr>
      </w:pPr>
    </w:p>
    <w:p>
      <w:pPr>
        <w:spacing w:before="213" w:line="221" w:lineRule="auto"/>
        <w:ind w:left="356"/>
        <w:rPr>
          <w:rFonts w:ascii="SimSun" w:eastAsia="SimSun" w:hAnsi="SimSun" w:cs="SimSun"/>
          <w:sz w:val="15"/>
          <w:szCs w:val="15"/>
        </w:rPr>
      </w:pPr>
      <w:r>
        <w:rPr>
          <w:rFonts w:ascii="SimSun" w:eastAsia="SimSun" w:hAnsi="SimSun" w:cs="SimSun"/>
          <w:spacing w:val="-4"/>
          <w:sz w:val="15"/>
          <w:szCs w:val="15"/>
        </w:rPr>
        <w:t>注：根据公开资料整理绘制。</w:t>
      </w:r>
    </w:p>
    <w:p>
      <w:pPr>
        <w:spacing w:before="203" w:line="283" w:lineRule="auto"/>
        <w:ind w:left="242" w:right="87" w:firstLine="12"/>
        <w:jc w:val="both"/>
        <w:rPr>
          <w:rFonts w:ascii="SimSun" w:eastAsia="SimSun" w:hAnsi="SimSun" w:cs="SimSun"/>
          <w:sz w:val="21"/>
          <w:szCs w:val="21"/>
        </w:rPr>
      </w:pPr>
      <w:r>
        <w:rPr>
          <w:rFonts w:ascii="SimSun" w:eastAsia="SimSun" w:hAnsi="SimSun" w:cs="SimSun"/>
          <w:spacing w:val="-2"/>
          <w:sz w:val="21"/>
          <w:szCs w:val="21"/>
        </w:rPr>
        <w:t>随着国内互联网用户增速不断放缓，</w:t>
      </w:r>
      <w:r>
        <w:rPr>
          <w:rFonts w:ascii="SimSun" w:eastAsia="SimSun" w:hAnsi="SimSun" w:cs="SimSun"/>
          <w:spacing w:val="-19"/>
          <w:sz w:val="21"/>
          <w:szCs w:val="21"/>
        </w:rPr>
        <w:t xml:space="preserve"> </w:t>
      </w:r>
      <w:r>
        <w:rPr>
          <w:rFonts w:ascii="SimSun" w:eastAsia="SimSun" w:hAnsi="SimSun" w:cs="SimSun"/>
          <w:spacing w:val="-2"/>
          <w:sz w:val="21"/>
          <w:szCs w:val="21"/>
        </w:rPr>
        <w:t>互联网行业不</w:t>
      </w:r>
      <w:r>
        <w:rPr>
          <w:rFonts w:ascii="SimSun" w:eastAsia="SimSun" w:hAnsi="SimSun" w:cs="SimSun"/>
          <w:spacing w:val="-3"/>
          <w:sz w:val="21"/>
          <w:szCs w:val="21"/>
        </w:rPr>
        <w:t xml:space="preserve">断趋近饱和状态，加之 </w:t>
      </w:r>
      <w:r>
        <w:rPr>
          <w:rFonts w:ascii="Times New Roman" w:eastAsia="Times New Roman" w:hAnsi="Times New Roman" w:cs="Times New Roman"/>
          <w:spacing w:val="-3"/>
          <w:sz w:val="21"/>
          <w:szCs w:val="21"/>
        </w:rPr>
        <w:t>2021</w:t>
      </w:r>
      <w:r>
        <w:rPr>
          <w:rFonts w:ascii="Times New Roman" w:eastAsia="Times New Roman" w:hAnsi="Times New Roman" w:cs="Times New Roman"/>
          <w:spacing w:val="50"/>
          <w:sz w:val="21"/>
          <w:szCs w:val="21"/>
        </w:rPr>
        <w:t xml:space="preserve"> </w:t>
      </w:r>
      <w:r>
        <w:rPr>
          <w:rFonts w:ascii="SimSun" w:eastAsia="SimSun" w:hAnsi="SimSun" w:cs="SimSun"/>
          <w:spacing w:val="-3"/>
          <w:sz w:val="21"/>
          <w:szCs w:val="21"/>
        </w:rPr>
        <w:t>年开始国家加强行业监管</w:t>
      </w:r>
      <w:r>
        <w:rPr>
          <w:rFonts w:ascii="SimSun" w:eastAsia="SimSun" w:hAnsi="SimSun" w:cs="SimSun"/>
          <w:sz w:val="21"/>
          <w:szCs w:val="21"/>
        </w:rPr>
        <w:t xml:space="preserve"> </w:t>
      </w:r>
      <w:r>
        <w:rPr>
          <w:rFonts w:ascii="SimSun" w:eastAsia="SimSun" w:hAnsi="SimSun" w:cs="SimSun"/>
          <w:sz w:val="21"/>
          <w:szCs w:val="21"/>
        </w:rPr>
        <w:t>和规范整顿，国内互联网企业为应对外部环境冲击</w:t>
      </w:r>
      <w:r>
        <w:rPr>
          <w:rFonts w:ascii="SimSun" w:eastAsia="SimSun" w:hAnsi="SimSun" w:cs="SimSun"/>
          <w:spacing w:val="-1"/>
          <w:sz w:val="21"/>
          <w:szCs w:val="21"/>
        </w:rPr>
        <w:t>及内部增长压力，纷纷实施业务结构调整、缩减亏损业</w:t>
      </w:r>
      <w:r>
        <w:rPr>
          <w:rFonts w:ascii="SimSun" w:eastAsia="SimSun" w:hAnsi="SimSun" w:cs="SimSun"/>
          <w:sz w:val="21"/>
          <w:szCs w:val="21"/>
        </w:rPr>
        <w:t xml:space="preserve"> </w:t>
      </w:r>
      <w:r>
        <w:rPr>
          <w:rFonts w:ascii="SimSun" w:eastAsia="SimSun" w:hAnsi="SimSun" w:cs="SimSun"/>
          <w:spacing w:val="-1"/>
          <w:sz w:val="21"/>
          <w:szCs w:val="21"/>
        </w:rPr>
        <w:t>务、收紧营销和运营开支等降本增效的经营</w:t>
      </w:r>
      <w:r>
        <w:rPr>
          <w:rFonts w:ascii="SimSun" w:eastAsia="SimSun" w:hAnsi="SimSun" w:cs="SimSun"/>
          <w:spacing w:val="-2"/>
          <w:sz w:val="21"/>
          <w:szCs w:val="21"/>
        </w:rPr>
        <w:t>策略，并取得一定成效，</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年规模以上互联网和相关服务企</w:t>
      </w:r>
      <w:r>
        <w:rPr>
          <w:rFonts w:ascii="SimSun" w:eastAsia="SimSun" w:hAnsi="SimSun" w:cs="SimSun"/>
          <w:sz w:val="21"/>
          <w:szCs w:val="21"/>
        </w:rPr>
        <w:t xml:space="preserve"> </w:t>
      </w:r>
      <w:r>
        <w:rPr>
          <w:rFonts w:ascii="SimSun" w:eastAsia="SimSun" w:hAnsi="SimSun" w:cs="SimSun"/>
          <w:spacing w:val="-1"/>
          <w:sz w:val="21"/>
          <w:szCs w:val="21"/>
        </w:rPr>
        <w:t>业虽然整体收入下滑，但利润总额仍实现</w:t>
      </w:r>
      <w:r>
        <w:rPr>
          <w:rFonts w:ascii="SimSun" w:eastAsia="SimSun" w:hAnsi="SimSun" w:cs="SimSun"/>
          <w:spacing w:val="-43"/>
          <w:sz w:val="21"/>
          <w:szCs w:val="21"/>
        </w:rPr>
        <w:t xml:space="preserve"> </w:t>
      </w:r>
      <w:r>
        <w:rPr>
          <w:rFonts w:ascii="Times New Roman" w:eastAsia="Times New Roman" w:hAnsi="Times New Roman" w:cs="Times New Roman"/>
          <w:spacing w:val="-1"/>
          <w:sz w:val="21"/>
          <w:szCs w:val="21"/>
        </w:rPr>
        <w:t>3.3%</w:t>
      </w:r>
      <w:r>
        <w:rPr>
          <w:rFonts w:ascii="SimSun" w:eastAsia="SimSun" w:hAnsi="SimSun" w:cs="SimSun"/>
          <w:spacing w:val="-1"/>
          <w:sz w:val="21"/>
          <w:szCs w:val="21"/>
        </w:rPr>
        <w:t>的增长至</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14</w:t>
      </w:r>
      <w:r>
        <w:rPr>
          <w:rFonts w:ascii="Times New Roman" w:eastAsia="Times New Roman" w:hAnsi="Times New Roman" w:cs="Times New Roman"/>
          <w:spacing w:val="-2"/>
          <w:sz w:val="21"/>
          <w:szCs w:val="21"/>
        </w:rPr>
        <w:t xml:space="preserve">15 </w:t>
      </w:r>
      <w:r>
        <w:rPr>
          <w:rFonts w:ascii="SimSun" w:eastAsia="SimSun" w:hAnsi="SimSun" w:cs="SimSun"/>
          <w:spacing w:val="-2"/>
          <w:sz w:val="21"/>
          <w:szCs w:val="21"/>
        </w:rPr>
        <w:t>亿元，</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年前三季度利润总额更是实现了</w:t>
      </w:r>
      <w:r>
        <w:rPr>
          <w:rFonts w:ascii="SimSun" w:eastAsia="SimSun" w:hAnsi="SimSun" w:cs="SimSun"/>
          <w:sz w:val="21"/>
          <w:szCs w:val="21"/>
        </w:rPr>
        <w:t xml:space="preserve"> </w:t>
      </w:r>
      <w:r>
        <w:rPr>
          <w:rFonts w:ascii="Times New Roman" w:eastAsia="Times New Roman" w:hAnsi="Times New Roman" w:cs="Times New Roman"/>
          <w:spacing w:val="-1"/>
          <w:sz w:val="21"/>
          <w:szCs w:val="21"/>
        </w:rPr>
        <w:t>18.2%</w:t>
      </w:r>
      <w:r>
        <w:rPr>
          <w:rFonts w:ascii="SimSun" w:eastAsia="SimSun" w:hAnsi="SimSun" w:cs="SimSun"/>
          <w:spacing w:val="-1"/>
          <w:sz w:val="21"/>
          <w:szCs w:val="21"/>
        </w:rPr>
        <w:t>的较快增长，大幅超过收入增速，甚至超过了</w:t>
      </w:r>
      <w:r>
        <w:rPr>
          <w:rFonts w:ascii="SimSun" w:eastAsia="SimSun" w:hAnsi="SimSun" w:cs="SimSun"/>
          <w:spacing w:val="-40"/>
          <w:sz w:val="21"/>
          <w:szCs w:val="21"/>
        </w:rPr>
        <w:t xml:space="preserve"> </w:t>
      </w:r>
      <w:r>
        <w:rPr>
          <w:rFonts w:ascii="Times New Roman" w:eastAsia="Times New Roman" w:hAnsi="Times New Roman" w:cs="Times New Roman"/>
          <w:spacing w:val="-1"/>
          <w:sz w:val="21"/>
          <w:szCs w:val="21"/>
        </w:rPr>
        <w:t xml:space="preserve">2019 </w:t>
      </w:r>
      <w:r>
        <w:rPr>
          <w:rFonts w:ascii="SimSun" w:eastAsia="SimSun" w:hAnsi="SimSun" w:cs="SimSun"/>
          <w:spacing w:val="-1"/>
          <w:sz w:val="21"/>
          <w:szCs w:val="21"/>
        </w:rPr>
        <w:t>年</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16.9%</w:t>
      </w:r>
      <w:r>
        <w:rPr>
          <w:rFonts w:ascii="SimSun" w:eastAsia="SimSun" w:hAnsi="SimSun" w:cs="SimSun"/>
          <w:spacing w:val="-1"/>
          <w:sz w:val="21"/>
          <w:szCs w:val="21"/>
        </w:rPr>
        <w:t>的利润增速。</w:t>
      </w:r>
    </w:p>
    <w:p>
      <w:pPr>
        <w:spacing w:before="214" w:line="283" w:lineRule="auto"/>
        <w:ind w:left="243" w:right="15"/>
        <w:jc w:val="both"/>
        <w:rPr>
          <w:rFonts w:ascii="SimSun" w:eastAsia="SimSun" w:hAnsi="SimSun" w:cs="SimSun"/>
          <w:sz w:val="21"/>
          <w:szCs w:val="21"/>
        </w:rPr>
      </w:pPr>
      <w:r>
        <w:rPr>
          <w:rFonts w:ascii="SimSun" w:eastAsia="SimSun" w:hAnsi="SimSun" w:cs="SimSun"/>
          <w:spacing w:val="-1"/>
          <w:sz w:val="21"/>
          <w:szCs w:val="21"/>
        </w:rPr>
        <w:t xml:space="preserve">技术研发是互联网企业发展的核心竞争力之一。随着人工智能、云计算、大数据、物联网等新一代信息技 </w:t>
      </w:r>
      <w:r>
        <w:rPr>
          <w:rFonts w:ascii="SimSun" w:eastAsia="SimSun" w:hAnsi="SimSun" w:cs="SimSun"/>
          <w:spacing w:val="-4"/>
          <w:sz w:val="21"/>
          <w:szCs w:val="21"/>
        </w:rPr>
        <w:t>术的不断发展，</w:t>
      </w:r>
      <w:r>
        <w:rPr>
          <w:rFonts w:ascii="SimSun" w:eastAsia="SimSun" w:hAnsi="SimSun" w:cs="SimSun"/>
          <w:spacing w:val="-39"/>
          <w:sz w:val="21"/>
          <w:szCs w:val="21"/>
        </w:rPr>
        <w:t xml:space="preserve"> </w:t>
      </w:r>
      <w:r>
        <w:rPr>
          <w:rFonts w:ascii="SimSun" w:eastAsia="SimSun" w:hAnsi="SimSun" w:cs="SimSun"/>
          <w:spacing w:val="-4"/>
          <w:sz w:val="21"/>
          <w:szCs w:val="21"/>
        </w:rPr>
        <w:t>互联网行业内企业一直保持较高的研发投入力度，</w:t>
      </w:r>
      <w:r>
        <w:rPr>
          <w:rFonts w:ascii="SimSun" w:eastAsia="SimSun" w:hAnsi="SimSun" w:cs="SimSun"/>
          <w:spacing w:val="-62"/>
          <w:sz w:val="21"/>
          <w:szCs w:val="21"/>
        </w:rPr>
        <w:t xml:space="preserve"> </w:t>
      </w:r>
      <w:r>
        <w:rPr>
          <w:rFonts w:ascii="Times New Roman" w:eastAsia="Times New Roman" w:hAnsi="Times New Roman" w:cs="Times New Roman"/>
          <w:spacing w:val="-4"/>
          <w:sz w:val="21"/>
          <w:szCs w:val="21"/>
        </w:rPr>
        <w:t xml:space="preserve">2022 </w:t>
      </w:r>
      <w:r>
        <w:rPr>
          <w:rFonts w:ascii="SimSun" w:eastAsia="SimSun" w:hAnsi="SimSun" w:cs="SimSun"/>
          <w:spacing w:val="-4"/>
          <w:sz w:val="21"/>
          <w:szCs w:val="21"/>
        </w:rPr>
        <w:t xml:space="preserve">年我国规模以上互联网和相关服务 </w:t>
      </w:r>
      <w:r>
        <w:rPr>
          <w:rFonts w:ascii="SimSun" w:eastAsia="SimSun" w:hAnsi="SimSun" w:cs="SimSun"/>
          <w:spacing w:val="-1"/>
          <w:sz w:val="21"/>
          <w:szCs w:val="21"/>
        </w:rPr>
        <w:t>企业研发投入</w:t>
      </w:r>
      <w:r>
        <w:rPr>
          <w:rFonts w:ascii="SimSun" w:eastAsia="SimSun" w:hAnsi="SimSun" w:cs="SimSun"/>
          <w:spacing w:val="-30"/>
          <w:sz w:val="21"/>
          <w:szCs w:val="21"/>
        </w:rPr>
        <w:t xml:space="preserve"> </w:t>
      </w:r>
      <w:r>
        <w:rPr>
          <w:rFonts w:ascii="Times New Roman" w:eastAsia="Times New Roman" w:hAnsi="Times New Roman" w:cs="Times New Roman"/>
          <w:spacing w:val="-1"/>
          <w:sz w:val="21"/>
          <w:szCs w:val="21"/>
        </w:rPr>
        <w:t>771.8</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亿元，同比增长</w:t>
      </w:r>
      <w:r>
        <w:rPr>
          <w:rFonts w:ascii="SimSun" w:eastAsia="SimSun" w:hAnsi="SimSun" w:cs="SimSun"/>
          <w:spacing w:val="-30"/>
          <w:sz w:val="21"/>
          <w:szCs w:val="21"/>
        </w:rPr>
        <w:t xml:space="preserve"> </w:t>
      </w:r>
      <w:r>
        <w:rPr>
          <w:rFonts w:ascii="Times New Roman" w:eastAsia="Times New Roman" w:hAnsi="Times New Roman" w:cs="Times New Roman"/>
          <w:spacing w:val="-1"/>
          <w:sz w:val="21"/>
          <w:szCs w:val="21"/>
        </w:rPr>
        <w:t>7.7%</w:t>
      </w:r>
      <w:r>
        <w:rPr>
          <w:rFonts w:ascii="SimSun" w:eastAsia="SimSun" w:hAnsi="SimSun" w:cs="SimSun"/>
          <w:spacing w:val="-1"/>
          <w:sz w:val="21"/>
          <w:szCs w:val="21"/>
        </w:rPr>
        <w:t>，研发投入比例为</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5.29%</w:t>
      </w:r>
      <w:r>
        <w:rPr>
          <w:rFonts w:ascii="SimSun" w:eastAsia="SimSun" w:hAnsi="SimSun" w:cs="SimSun"/>
          <w:spacing w:val="-2"/>
          <w:sz w:val="21"/>
          <w:szCs w:val="21"/>
        </w:rPr>
        <w:t>，较上年上升</w:t>
      </w:r>
      <w:r>
        <w:rPr>
          <w:rFonts w:ascii="SimSun" w:eastAsia="SimSun" w:hAnsi="SimSun" w:cs="SimSun"/>
          <w:spacing w:val="-30"/>
          <w:sz w:val="21"/>
          <w:szCs w:val="21"/>
        </w:rPr>
        <w:t xml:space="preserve"> </w:t>
      </w:r>
      <w:r>
        <w:rPr>
          <w:rFonts w:ascii="Times New Roman" w:eastAsia="Times New Roman" w:hAnsi="Times New Roman" w:cs="Times New Roman"/>
          <w:spacing w:val="-2"/>
          <w:sz w:val="21"/>
          <w:szCs w:val="21"/>
        </w:rPr>
        <w:t>0.42</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个百分点。但</w:t>
      </w:r>
      <w:r>
        <w:rPr>
          <w:rFonts w:ascii="SimSun" w:eastAsia="SimSun" w:hAnsi="SimSun" w:cs="SimSun"/>
          <w:spacing w:val="-24"/>
          <w:sz w:val="21"/>
          <w:szCs w:val="21"/>
        </w:rPr>
        <w:t xml:space="preserve"> </w:t>
      </w:r>
      <w:r>
        <w:rPr>
          <w:rFonts w:ascii="Times New Roman" w:eastAsia="Times New Roman" w:hAnsi="Times New Roman" w:cs="Times New Roman"/>
          <w:spacing w:val="-2"/>
          <w:sz w:val="21"/>
          <w:szCs w:val="21"/>
        </w:rPr>
        <w:t xml:space="preserve">2023  </w:t>
      </w:r>
      <w:r>
        <w:rPr>
          <w:rFonts w:ascii="SimSun" w:eastAsia="SimSun" w:hAnsi="SimSun" w:cs="SimSun"/>
          <w:spacing w:val="-1"/>
          <w:sz w:val="21"/>
          <w:szCs w:val="21"/>
        </w:rPr>
        <w:t>年前三季度，规模以上互联网和相关服务企业研发投入</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495.9</w:t>
      </w:r>
      <w:r>
        <w:rPr>
          <w:rFonts w:ascii="Times New Roman" w:eastAsia="Times New Roman" w:hAnsi="Times New Roman" w:cs="Times New Roman"/>
          <w:spacing w:val="29"/>
          <w:sz w:val="21"/>
          <w:szCs w:val="21"/>
        </w:rPr>
        <w:t xml:space="preserve"> </w:t>
      </w:r>
      <w:r>
        <w:rPr>
          <w:rFonts w:ascii="SimSun" w:eastAsia="SimSun" w:hAnsi="SimSun" w:cs="SimSun"/>
          <w:spacing w:val="-1"/>
          <w:sz w:val="21"/>
          <w:szCs w:val="21"/>
        </w:rPr>
        <w:t>亿</w:t>
      </w:r>
      <w:r>
        <w:rPr>
          <w:rFonts w:ascii="SimSun" w:eastAsia="SimSun" w:hAnsi="SimSun" w:cs="SimSun"/>
          <w:spacing w:val="-2"/>
          <w:sz w:val="21"/>
          <w:szCs w:val="21"/>
        </w:rPr>
        <w:t>元，同比下滑</w:t>
      </w:r>
      <w:r>
        <w:rPr>
          <w:rFonts w:ascii="SimSun" w:eastAsia="SimSun" w:hAnsi="SimSun" w:cs="SimSun"/>
          <w:spacing w:val="-22"/>
          <w:sz w:val="21"/>
          <w:szCs w:val="21"/>
        </w:rPr>
        <w:t xml:space="preserve"> </w:t>
      </w:r>
      <w:r>
        <w:rPr>
          <w:rFonts w:ascii="Times New Roman" w:eastAsia="Times New Roman" w:hAnsi="Times New Roman" w:cs="Times New Roman"/>
          <w:spacing w:val="-2"/>
          <w:sz w:val="21"/>
          <w:szCs w:val="21"/>
        </w:rPr>
        <w:t>6.1%</w:t>
      </w:r>
      <w:r>
        <w:rPr>
          <w:rFonts w:ascii="SimSun" w:eastAsia="SimSun" w:hAnsi="SimSun" w:cs="SimSun"/>
          <w:spacing w:val="-2"/>
          <w:sz w:val="21"/>
          <w:szCs w:val="21"/>
        </w:rPr>
        <w:t>，为近年来首次下滑，</w:t>
      </w:r>
      <w:r>
        <w:rPr>
          <w:rFonts w:ascii="SimSun" w:eastAsia="SimSun" w:hAnsi="SimSun" w:cs="SimSun"/>
          <w:sz w:val="21"/>
          <w:szCs w:val="21"/>
        </w:rPr>
        <w:t xml:space="preserve"> </w:t>
      </w:r>
      <w:r>
        <w:rPr>
          <w:rFonts w:ascii="SimSun" w:eastAsia="SimSun" w:hAnsi="SimSun" w:cs="SimSun"/>
          <w:spacing w:val="-3"/>
          <w:sz w:val="21"/>
          <w:szCs w:val="21"/>
        </w:rPr>
        <w:t>行业内企业在经营环境承压的背景下，对新产品技术研发</w:t>
      </w:r>
      <w:r>
        <w:rPr>
          <w:rFonts w:ascii="SimSun" w:eastAsia="SimSun" w:hAnsi="SimSun" w:cs="SimSun"/>
          <w:spacing w:val="-4"/>
          <w:sz w:val="21"/>
          <w:szCs w:val="21"/>
        </w:rPr>
        <w:t>趋于谨慎，或将削弱行业内企业的长期发展能力。</w:t>
      </w:r>
    </w:p>
    <w:p>
      <w:pPr>
        <w:spacing w:before="141" w:line="218" w:lineRule="auto"/>
        <w:ind w:left="368"/>
        <w:rPr>
          <w:rFonts w:ascii="SimHei" w:eastAsia="SimHei" w:hAnsi="SimHei" w:cs="SimHei"/>
          <w:sz w:val="18"/>
          <w:szCs w:val="18"/>
        </w:rPr>
      </w:pPr>
      <w:r>
        <w:rPr>
          <w:rFonts w:ascii="SimHei" w:eastAsia="SimHei" w:hAnsi="SimHei" w:cs="SimHei"/>
          <w:spacing w:val="-1"/>
          <w:sz w:val="18"/>
          <w:szCs w:val="18"/>
        </w:rPr>
        <w:t>图表</w:t>
      </w:r>
      <w:r>
        <w:rPr>
          <w:rFonts w:ascii="SimHei" w:eastAsia="SimHei" w:hAnsi="SimHei" w:cs="SimHei"/>
          <w:spacing w:val="-36"/>
          <w:sz w:val="18"/>
          <w:szCs w:val="18"/>
        </w:rPr>
        <w:t xml:space="preserve"> </w:t>
      </w:r>
      <w:r>
        <w:rPr>
          <w:rFonts w:ascii="Times New Roman" w:eastAsia="Times New Roman" w:hAnsi="Times New Roman" w:cs="Times New Roman"/>
          <w:spacing w:val="-1"/>
          <w:sz w:val="18"/>
          <w:szCs w:val="18"/>
        </w:rPr>
        <w:t>4.</w:t>
      </w:r>
      <w:r>
        <w:rPr>
          <w:rFonts w:ascii="Times New Roman" w:eastAsia="Times New Roman" w:hAnsi="Times New Roman" w:cs="Times New Roman"/>
          <w:spacing w:val="12"/>
          <w:w w:val="101"/>
          <w:sz w:val="18"/>
          <w:szCs w:val="18"/>
        </w:rPr>
        <w:t xml:space="preserve"> </w:t>
      </w:r>
      <w:r>
        <w:rPr>
          <w:rFonts w:ascii="Times New Roman" w:eastAsia="Times New Roman" w:hAnsi="Times New Roman" w:cs="Times New Roman"/>
          <w:spacing w:val="-1"/>
          <w:sz w:val="18"/>
          <w:szCs w:val="18"/>
        </w:rPr>
        <w:t xml:space="preserve">2019 </w:t>
      </w:r>
      <w:r>
        <w:rPr>
          <w:rFonts w:ascii="SimHei" w:eastAsia="SimHei" w:hAnsi="SimHei" w:cs="SimHei"/>
          <w:spacing w:val="-1"/>
          <w:sz w:val="18"/>
          <w:szCs w:val="18"/>
        </w:rPr>
        <w:t>年以来我国规模以上互联网企业研发投入情况</w:t>
      </w:r>
    </w:p>
    <w:p>
      <w:pPr>
        <w:spacing w:line="138" w:lineRule="exact"/>
      </w:pPr>
    </w:p>
    <w:p>
      <w:pPr>
        <w:spacing w:line="138" w:lineRule="exact"/>
        <w:sectPr>
          <w:headerReference w:type="default" r:id="rId27"/>
          <w:footerReference w:type="default" r:id="rId28"/>
          <w:type w:val="continuous"/>
          <w:pgSz w:w="11907" w:h="16839"/>
          <w:pgMar w:top="1336" w:right="1041" w:bottom="1271" w:left="897" w:header="1148" w:footer="1077" w:gutter="0"/>
          <w:pgNumType w:start="10"/>
          <w:cols w:num="1" w:space="708" w:equalWidth="0">
            <w:col w:w="9968" w:space="0"/>
          </w:cols>
        </w:sectPr>
      </w:pPr>
    </w:p>
    <w:p>
      <w:pPr>
        <w:spacing w:before="64"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850</w:t>
      </w:r>
    </w:p>
    <w:p>
      <w:pPr>
        <w:spacing w:before="179"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800</w:t>
      </w:r>
    </w:p>
    <w:p>
      <w:pPr>
        <w:spacing w:before="179" w:line="187" w:lineRule="auto"/>
        <w:ind w:right="1"/>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750</w:t>
      </w:r>
    </w:p>
    <w:p>
      <w:pPr>
        <w:spacing w:before="179" w:line="186" w:lineRule="auto"/>
        <w:ind w:right="1"/>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700</w:t>
      </w:r>
    </w:p>
    <w:p>
      <w:pPr>
        <w:spacing w:before="180" w:line="186" w:lineRule="auto"/>
        <w:ind w:right="1"/>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650</w:t>
      </w:r>
    </w:p>
    <w:p>
      <w:pPr>
        <w:spacing w:before="179" w:line="186" w:lineRule="auto"/>
        <w:ind w:right="1"/>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600</w:t>
      </w:r>
    </w:p>
    <w:p>
      <w:pPr>
        <w:spacing w:before="180"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550</w:t>
      </w:r>
    </w:p>
    <w:p>
      <w:pPr>
        <w:spacing w:before="179"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500</w:t>
      </w:r>
    </w:p>
    <w:p>
      <w:pPr>
        <w:spacing w:before="179" w:line="186" w:lineRule="auto"/>
        <w:ind w:right="2"/>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450</w:t>
      </w:r>
    </w:p>
    <w:p>
      <w:pPr>
        <w:spacing w:before="180" w:line="186" w:lineRule="auto"/>
        <w:ind w:right="2"/>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w:t>
      </w:r>
    </w:p>
    <w:p>
      <w:pPr>
        <w:spacing w:line="14" w:lineRule="auto"/>
        <w:rPr>
          <w:rFonts w:ascii="Arial"/>
          <w:sz w:val="2"/>
        </w:rPr>
      </w:pPr>
      <w:r>
        <w:rPr>
          <w:rFonts w:ascii="Arial" w:eastAsia="Arial" w:hAnsi="Arial" w:cs="Arial"/>
          <w:sz w:val="2"/>
          <w:szCs w:val="2"/>
        </w:rPr>
        <w:br w:type="column"/>
      </w:r>
    </w:p>
    <w:p>
      <w:pPr>
        <w:spacing w:line="68" w:lineRule="exact"/>
      </w:pPr>
    </w:p>
    <w:tbl>
      <w:tblPr>
        <w:tblStyle w:val="TableNormal3"/>
        <w:tblW w:w="8404" w:type="dxa"/>
        <w:tblInd w:w="0" w:type="dxa"/>
        <w:tblBorders>
          <w:top w:val="nil"/>
          <w:left w:val="nil"/>
          <w:bottom w:val="nil"/>
          <w:right w:val="nil"/>
          <w:insideH w:val="nil"/>
          <w:insideV w:val="nil"/>
        </w:tblBorders>
        <w:tblLayout w:type="fixed"/>
      </w:tblPr>
      <w:tblGrid>
        <w:gridCol w:w="600"/>
        <w:gridCol w:w="2765"/>
        <w:gridCol w:w="4435"/>
        <w:gridCol w:w="604"/>
      </w:tblGrid>
      <w:tr>
        <w:tblPrEx>
          <w:tblW w:w="8404" w:type="dxa"/>
          <w:tblInd w:w="0" w:type="dxa"/>
          <w:tblBorders>
            <w:top w:val="nil"/>
            <w:left w:val="nil"/>
            <w:bottom w:val="nil"/>
            <w:right w:val="nil"/>
            <w:insideH w:val="nil"/>
            <w:insideV w:val="nil"/>
          </w:tblBorders>
          <w:tblLayout w:type="fixed"/>
        </w:tblPrEx>
        <w:trPr>
          <w:trHeight w:val="310"/>
        </w:trPr>
        <w:tc>
          <w:tcPr>
            <w:tcW w:w="600" w:type="dxa"/>
            <w:tcBorders>
              <w:top w:val="single" w:sz="4" w:space="0" w:color="D9D9D9"/>
              <w:bottom w:val="single" w:sz="4" w:space="0" w:color="D9D9D9"/>
            </w:tcBorders>
            <w:vAlign w:val="top"/>
          </w:tcPr>
          <w:p>
            <w:pPr>
              <w:rPr>
                <w:rFonts w:ascii="Arial"/>
                <w:sz w:val="21"/>
              </w:rPr>
            </w:pPr>
          </w:p>
        </w:tc>
        <w:tc>
          <w:tcPr>
            <w:tcW w:w="7200" w:type="dxa"/>
            <w:gridSpan w:val="2"/>
            <w:tcBorders>
              <w:top w:val="single" w:sz="4" w:space="0" w:color="D9D9D9"/>
              <w:bottom w:val="single" w:sz="4" w:space="0" w:color="D9D9D9"/>
            </w:tcBorders>
            <w:vAlign w:val="top"/>
          </w:tcPr>
          <w:p>
            <w:pPr>
              <w:spacing w:line="7" w:lineRule="exact"/>
              <w:ind w:left="181"/>
              <w:rPr>
                <w:rFonts w:ascii="Times New Roman" w:eastAsia="Times New Roman" w:hAnsi="Times New Roman" w:cs="Times New Roman"/>
                <w:sz w:val="2"/>
                <w:szCs w:val="2"/>
              </w:rPr>
            </w:pPr>
            <w:r>
              <w:pict>
                <v:shape id="_x0000_s1082" type="#_x0000_t202" style="width:10.8pt;height:7.35pt;margin-top:8.26pt;margin-left:-269.24pt;mso-position-horizontal-relative:right-margin-area;mso-position-vertical-relative:top-margin-area;position:absolute;z-index:251714560"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788</w:t>
                        </w:r>
                      </w:p>
                    </w:txbxContent>
                  </v:textbox>
                </v:shape>
              </w:pict>
            </w:r>
            <w:r>
              <w:rPr>
                <w:rFonts w:ascii="Times New Roman" w:eastAsia="Times New Roman" w:hAnsi="Times New Roman" w:cs="Times New Roman"/>
                <w:color w:val="404040"/>
                <w:spacing w:val="12"/>
                <w:w w:val="175"/>
                <w:sz w:val="2"/>
                <w:szCs w:val="2"/>
              </w:rPr>
              <w:t>.</w:t>
            </w: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89"/>
        </w:trPr>
        <w:tc>
          <w:tcPr>
            <w:tcW w:w="600" w:type="dxa"/>
            <w:vMerge w:val="restart"/>
            <w:tcBorders>
              <w:top w:val="single" w:sz="4" w:space="0" w:color="D9D9D9"/>
              <w:bottom w:val="nil"/>
            </w:tcBorders>
            <w:vAlign w:val="top"/>
          </w:tcPr>
          <w:p>
            <w:pPr>
              <w:rPr>
                <w:rFonts w:ascii="Arial"/>
                <w:sz w:val="21"/>
              </w:rPr>
            </w:pPr>
          </w:p>
        </w:tc>
        <w:tc>
          <w:tcPr>
            <w:tcW w:w="7200" w:type="dxa"/>
            <w:gridSpan w:val="2"/>
            <w:tcBorders>
              <w:top w:val="single" w:sz="4" w:space="0" w:color="D9D9D9"/>
            </w:tcBorders>
            <w:vAlign w:val="top"/>
          </w:tcPr>
          <w:p>
            <w:pPr>
              <w:spacing w:line="211" w:lineRule="auto"/>
              <w:ind w:left="5152"/>
              <w:rPr>
                <w:rFonts w:ascii="Times New Roman" w:eastAsia="Times New Roman" w:hAnsi="Times New Roman" w:cs="Times New Roman"/>
                <w:sz w:val="5"/>
                <w:szCs w:val="5"/>
              </w:rPr>
            </w:pPr>
            <w:r>
              <w:rPr>
                <w:rFonts w:ascii="Times New Roman" w:eastAsia="Times New Roman" w:hAnsi="Times New Roman" w:cs="Times New Roman"/>
                <w:color w:val="404040"/>
                <w:spacing w:val="18"/>
                <w:w w:val="157"/>
                <w:sz w:val="5"/>
                <w:szCs w:val="5"/>
              </w:rPr>
              <w:t>771.8</w:t>
            </w:r>
          </w:p>
        </w:tc>
        <w:tc>
          <w:tcPr>
            <w:tcW w:w="604" w:type="dxa"/>
            <w:vMerge w:val="restart"/>
            <w:tcBorders>
              <w:top w:val="single" w:sz="4" w:space="0" w:color="D9D9D9"/>
              <w:bottom w:val="nil"/>
            </w:tcBorders>
            <w:vAlign w:val="top"/>
          </w:tcPr>
          <w:p>
            <w:pPr>
              <w:rPr>
                <w:rFonts w:ascii="Arial"/>
                <w:sz w:val="21"/>
              </w:rPr>
            </w:pPr>
          </w:p>
        </w:tc>
      </w:tr>
      <w:tr>
        <w:tblPrEx>
          <w:tblW w:w="8404" w:type="dxa"/>
          <w:tblInd w:w="0" w:type="dxa"/>
          <w:tblLayout w:type="fixed"/>
        </w:tblPrEx>
        <w:trPr>
          <w:trHeight w:val="188"/>
        </w:trPr>
        <w:tc>
          <w:tcPr>
            <w:tcW w:w="600" w:type="dxa"/>
            <w:vMerge/>
            <w:tcBorders>
              <w:top w:val="nil"/>
              <w:bottom w:val="single" w:sz="4" w:space="0" w:color="D9D9D9"/>
            </w:tcBorders>
            <w:vAlign w:val="top"/>
          </w:tcPr>
          <w:p>
            <w:pPr>
              <w:rPr>
                <w:rFonts w:ascii="Arial"/>
                <w:sz w:val="21"/>
              </w:rPr>
            </w:pPr>
          </w:p>
        </w:tc>
        <w:tc>
          <w:tcPr>
            <w:tcW w:w="7200" w:type="dxa"/>
            <w:gridSpan w:val="2"/>
            <w:tcBorders>
              <w:bottom w:val="single" w:sz="4" w:space="0" w:color="D9D9D9"/>
            </w:tcBorders>
            <w:vAlign w:val="top"/>
          </w:tcPr>
          <w:p>
            <w:pPr>
              <w:spacing w:line="177" w:lineRule="exact"/>
              <w:rPr>
                <w:rFonts w:ascii="Arial"/>
                <w:sz w:val="15"/>
              </w:rPr>
            </w:pPr>
            <w:r>
              <w:pict>
                <v:shape id="_x0000_s1083" type="#_x0000_t202" style="width:15.35pt;height:7.4pt;margin-top:-2.53pt;margin-left:-187.45pt;mso-position-horizontal-relative:right-margin-area;mso-position-vertical-relative:top-margin-area;position:absolute;z-index:251710464" filled="f" stroked="f">
                  <o:lock v:ext="edit" aspectratio="f"/>
                  <v:textbox inset="0,0,0,0">
                    <w:txbxContent>
                      <w:p>
                        <w:pPr>
                          <w:spacing w:before="19" w:line="187"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754.2</w:t>
                        </w:r>
                      </w:p>
                    </w:txbxContent>
                  </v:textbox>
                </v:shape>
              </w:pict>
            </w:r>
          </w:p>
        </w:tc>
        <w:tc>
          <w:tcPr>
            <w:tcW w:w="604" w:type="dxa"/>
            <w:vMerge/>
            <w:tcBorders>
              <w:top w:val="nil"/>
              <w:bottom w:val="single" w:sz="4" w:space="0" w:color="D9D9D9"/>
            </w:tcBorders>
            <w:vAlign w:val="top"/>
          </w:tcPr>
          <w:p>
            <w:pPr>
              <w:rPr>
                <w:rFonts w:ascii="Arial"/>
                <w:sz w:val="21"/>
              </w:rPr>
            </w:pPr>
          </w:p>
        </w:tc>
      </w:tr>
      <w:tr>
        <w:tblPrEx>
          <w:tblW w:w="8404" w:type="dxa"/>
          <w:tblInd w:w="0" w:type="dxa"/>
          <w:tblLayout w:type="fixed"/>
        </w:tblPrEx>
        <w:trPr>
          <w:trHeight w:val="274"/>
        </w:trPr>
        <w:tc>
          <w:tcPr>
            <w:tcW w:w="600" w:type="dxa"/>
            <w:tcBorders>
              <w:top w:val="single" w:sz="4" w:space="0" w:color="D9D9D9"/>
              <w:bottom w:val="single" w:sz="4" w:space="0" w:color="D9D9D9"/>
            </w:tcBorders>
            <w:vAlign w:val="top"/>
          </w:tcPr>
          <w:p>
            <w:pPr>
              <w:rPr>
                <w:rFonts w:ascii="Arial"/>
                <w:sz w:val="21"/>
              </w:rPr>
            </w:pPr>
          </w:p>
        </w:tc>
        <w:tc>
          <w:tcPr>
            <w:tcW w:w="7200" w:type="dxa"/>
            <w:gridSpan w:val="2"/>
            <w:tcBorders>
              <w:top w:val="single" w:sz="4" w:space="0" w:color="D9D9D9"/>
              <w:bottom w:val="single" w:sz="4" w:space="0" w:color="D9D9D9"/>
            </w:tcBorders>
            <w:vAlign w:val="top"/>
          </w:tcPr>
          <w:p>
            <w:pPr>
              <w:rPr>
                <w:rFonts w:ascii="Arial"/>
                <w:sz w:val="21"/>
              </w:rPr>
            </w:pP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275"/>
        </w:trPr>
        <w:tc>
          <w:tcPr>
            <w:tcW w:w="600" w:type="dxa"/>
            <w:tcBorders>
              <w:top w:val="single" w:sz="4" w:space="0" w:color="D9D9D9"/>
              <w:bottom w:val="single" w:sz="4" w:space="0" w:color="D9D9D9"/>
            </w:tcBorders>
            <w:vAlign w:val="top"/>
          </w:tcPr>
          <w:p>
            <w:pPr>
              <w:rPr>
                <w:rFonts w:ascii="Arial"/>
                <w:sz w:val="21"/>
              </w:rPr>
            </w:pPr>
          </w:p>
        </w:tc>
        <w:tc>
          <w:tcPr>
            <w:tcW w:w="7200" w:type="dxa"/>
            <w:gridSpan w:val="2"/>
            <w:tcBorders>
              <w:top w:val="single" w:sz="4" w:space="0" w:color="D9D9D9"/>
              <w:bottom w:val="single" w:sz="4" w:space="0" w:color="D9D9D9"/>
            </w:tcBorders>
            <w:vAlign w:val="top"/>
          </w:tcPr>
          <w:p>
            <w:pPr>
              <w:rPr>
                <w:rFonts w:ascii="Arial"/>
                <w:sz w:val="21"/>
              </w:rPr>
            </w:pPr>
            <w:r>
              <w:pict>
                <v:shape id="_x0000_s1084" type="#_x0000_t202" style="width:17.35pt;height:7.4pt;margin-top:7.15pt;margin-left:-104.34pt;mso-position-horizontal-relative:right-margin-area;mso-position-vertical-relative:top-margin-area;position:absolute;z-index:251708416"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7.70%</w:t>
                        </w:r>
                      </w:p>
                    </w:txbxContent>
                  </v:textbox>
                </v:shape>
              </w:pict>
            </w: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274"/>
        </w:trPr>
        <w:tc>
          <w:tcPr>
            <w:tcW w:w="600" w:type="dxa"/>
            <w:tcBorders>
              <w:top w:val="single" w:sz="4" w:space="0" w:color="D9D9D9"/>
              <w:bottom w:val="single" w:sz="4" w:space="0" w:color="D9D9D9"/>
            </w:tcBorders>
            <w:vAlign w:val="top"/>
          </w:tcPr>
          <w:p>
            <w:pPr>
              <w:rPr>
                <w:rFonts w:ascii="Arial"/>
                <w:sz w:val="21"/>
              </w:rPr>
            </w:pPr>
          </w:p>
        </w:tc>
        <w:tc>
          <w:tcPr>
            <w:tcW w:w="2765" w:type="dxa"/>
            <w:tcBorders>
              <w:top w:val="single" w:sz="4" w:space="0" w:color="D9D9D9"/>
              <w:bottom w:val="single" w:sz="4" w:space="0" w:color="D9D9D9"/>
            </w:tcBorders>
            <w:vAlign w:val="top"/>
          </w:tcPr>
          <w:p>
            <w:pPr>
              <w:rPr>
                <w:rFonts w:ascii="Arial"/>
                <w:sz w:val="21"/>
              </w:rPr>
            </w:pPr>
            <w:r>
              <w:pict>
                <v:shape id="_x0000_s1085" type="#_x0000_t202" style="width:17.3pt;height:7.4pt;margin-top:-0.84pt;margin-left:-50.69pt;mso-position-horizontal-relative:right-margin-area;mso-position-vertical-relative:top-margin-area;position:absolute;z-index:251713536"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6.00%</w:t>
                        </w:r>
                      </w:p>
                    </w:txbxContent>
                  </v:textbox>
                </v:shape>
              </w:pict>
            </w:r>
          </w:p>
        </w:tc>
        <w:tc>
          <w:tcPr>
            <w:tcW w:w="4435" w:type="dxa"/>
            <w:tcBorders>
              <w:top w:val="single" w:sz="4" w:space="0" w:color="D9D9D9"/>
              <w:bottom w:val="single" w:sz="4" w:space="0" w:color="D9D9D9"/>
            </w:tcBorders>
            <w:vAlign w:val="top"/>
          </w:tcPr>
          <w:p>
            <w:pPr>
              <w:rPr>
                <w:rFonts w:ascii="Arial"/>
                <w:sz w:val="21"/>
              </w:rPr>
            </w:pPr>
            <w:r>
              <w:pict>
                <v:shape id="_x0000_s1086" style="width:86.4pt;height:12.25pt;margin-top:4.99pt;margin-left:-181.08pt;mso-position-horizontal-relative:right-margin-area;mso-position-vertical-relative:top-margin-area;position:absolute;z-index:251711488" coordorigin="0,0" coordsize="1728,245" path="m22,222l1705,22e" filled="f" strokecolor="#c0504d" strokeweight="2.28pt">
                  <v:stroke endcap="round"/>
                </v:shape>
              </w:pict>
            </w:r>
            <w:r>
              <w:pict>
                <v:shape id="_x0000_s1087" type="#_x0000_t202" style="width:17.3pt;height:7.4pt;margin-top:2.83pt;margin-left:-188.34pt;mso-position-horizontal-relative:right-margin-area;mso-position-vertical-relative:top-margin-area;position:absolute;z-index:251712512"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5.00%</w:t>
                        </w:r>
                      </w:p>
                    </w:txbxContent>
                  </v:textbox>
                </v:shape>
              </w:pict>
            </w: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277"/>
        </w:trPr>
        <w:tc>
          <w:tcPr>
            <w:tcW w:w="600" w:type="dxa"/>
            <w:tcBorders>
              <w:top w:val="single" w:sz="4" w:space="0" w:color="D9D9D9"/>
              <w:bottom w:val="single" w:sz="4" w:space="0" w:color="D9D9D9"/>
            </w:tcBorders>
            <w:vAlign w:val="top"/>
          </w:tcPr>
          <w:p>
            <w:pPr>
              <w:rPr>
                <w:rFonts w:ascii="Arial"/>
                <w:sz w:val="21"/>
              </w:rPr>
            </w:pPr>
          </w:p>
        </w:tc>
        <w:tc>
          <w:tcPr>
            <w:tcW w:w="2765" w:type="dxa"/>
            <w:tcBorders>
              <w:top w:val="single" w:sz="4" w:space="0" w:color="D9D9D9"/>
              <w:bottom w:val="single" w:sz="4" w:space="0" w:color="D9D9D9"/>
            </w:tcBorders>
            <w:vAlign w:val="top"/>
          </w:tcPr>
          <w:p>
            <w:pPr>
              <w:rPr>
                <w:rFonts w:ascii="Arial"/>
                <w:sz w:val="21"/>
              </w:rPr>
            </w:pPr>
            <w:r>
              <w:pict>
                <v:shape id="_x0000_s1088" style="width:86.4pt;height:8.55pt;margin-top:-3.45pt;margin-left:-127.45pt;mso-position-horizontal-relative:right-margin-area;mso-position-vertical-relative:top-margin-area;position:absolute;z-index:251716608" coordorigin="0,0" coordsize="1728,171" path="m22,147l1705,22e" filled="f" strokecolor="#9bbb59" strokeweight="2.28pt">
                  <v:stroke endcap="round"/>
                </v:shape>
              </w:pict>
            </w:r>
            <w:r>
              <w:pict>
                <v:shape id="_x0000_s1089" type="#_x0000_t202" style="width:98.15pt;height:9.75pt;margin-top:5.36pt;margin-left:-131.5pt;mso-position-horizontal-relative:right-margin-area;mso-position-vertical-relative:top-margin-area;position:absolute;z-index:251704320" filled="f" stroked="f">
                  <o:lock v:ext="edit" aspectratio="f"/>
                  <v:textbox inset="0,0,0,0">
                    <w:txbxContent>
                      <w:p>
                        <w:pPr>
                          <w:spacing w:before="19" w:line="21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position w:val="-2"/>
                            <w:sz w:val="12"/>
                            <w:szCs w:val="12"/>
                          </w:rPr>
                          <w:t xml:space="preserve">535                                                 </w:t>
                        </w:r>
                        <w:r>
                          <w:rPr>
                            <w:rFonts w:ascii="Times New Roman" w:eastAsia="Times New Roman" w:hAnsi="Times New Roman" w:cs="Times New Roman"/>
                            <w:color w:val="404040"/>
                            <w:spacing w:val="-1"/>
                            <w:position w:val="1"/>
                            <w:sz w:val="12"/>
                            <w:szCs w:val="12"/>
                          </w:rPr>
                          <w:t>6.14%</w:t>
                        </w:r>
                      </w:p>
                    </w:txbxContent>
                  </v:textbox>
                </v:shape>
              </w:pict>
            </w:r>
          </w:p>
        </w:tc>
        <w:tc>
          <w:tcPr>
            <w:tcW w:w="4435" w:type="dxa"/>
            <w:tcBorders>
              <w:top w:val="single" w:sz="4" w:space="0" w:color="D9D9D9"/>
              <w:bottom w:val="single" w:sz="4" w:space="0" w:color="D9D9D9"/>
            </w:tcBorders>
            <w:vAlign w:val="top"/>
          </w:tcPr>
          <w:p>
            <w:pPr>
              <w:rPr>
                <w:rFonts w:ascii="Arial"/>
                <w:sz w:val="21"/>
              </w:rPr>
            </w:pPr>
            <w:r>
              <w:pict>
                <v:shape id="_x0000_s1090" style="width:170.45pt;height:4.1pt;margin-top:-0.33pt;margin-left:-181.08pt;mso-position-horizontal-relative:right-margin-area;mso-position-vertical-relative:top-margin-area;position:absolute;z-index:251715584" coordorigin="0,0" coordsize="3408,81" path="m22,54l1705,22l3385,58e" filled="f" strokecolor="#9bbb59" strokeweight="2.28pt">
                  <v:stroke endcap="round"/>
                </v:shape>
              </w:pict>
            </w:r>
            <w:r>
              <w:pict>
                <v:shape id="_x0000_s1091" type="#_x0000_t202" style="width:185.6pt;height:9.1pt;margin-top:8.48pt;margin-left:-188.53pt;mso-position-horizontal-relative:right-margin-area;mso-position-vertical-relative:top-margin-area;position:absolute;z-index:251718656" filled="f" stroked="f">
                  <o:lock v:ext="edit" aspectratio="f"/>
                  <v:textbox inset="0,0,0,0">
                    <w:txbxContent>
                      <w:p>
                        <w:pPr>
                          <w:spacing w:before="20" w:line="194"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2"/>
                            <w:sz w:val="12"/>
                            <w:szCs w:val="12"/>
                          </w:rPr>
                          <w:t>4</w:t>
                        </w:r>
                        <w:r>
                          <w:rPr>
                            <w:rFonts w:ascii="Times New Roman" w:eastAsia="Times New Roman" w:hAnsi="Times New Roman" w:cs="Times New Roman"/>
                            <w:color w:val="404040"/>
                            <w:spacing w:val="13"/>
                            <w:w w:val="101"/>
                            <w:sz w:val="12"/>
                            <w:szCs w:val="12"/>
                          </w:rPr>
                          <w:t xml:space="preserve"> </w:t>
                        </w:r>
                        <w:r>
                          <w:rPr>
                            <w:rFonts w:ascii="Times New Roman" w:eastAsia="Times New Roman" w:hAnsi="Times New Roman" w:cs="Times New Roman"/>
                            <w:color w:val="404040"/>
                            <w:spacing w:val="-2"/>
                            <w:sz w:val="12"/>
                            <w:szCs w:val="12"/>
                          </w:rPr>
                          <w:t>87%</w:t>
                        </w:r>
                        <w:r>
                          <w:rPr>
                            <w:rFonts w:ascii="Times New Roman" w:eastAsia="Times New Roman" w:hAnsi="Times New Roman" w:cs="Times New Roman"/>
                            <w:color w:val="404040"/>
                            <w:spacing w:val="1"/>
                            <w:sz w:val="12"/>
                            <w:szCs w:val="12"/>
                          </w:rPr>
                          <w:t xml:space="preserve">                         </w:t>
                        </w:r>
                        <w:r>
                          <w:rPr>
                            <w:rFonts w:ascii="Times New Roman" w:eastAsia="Times New Roman" w:hAnsi="Times New Roman" w:cs="Times New Roman"/>
                            <w:color w:val="404040"/>
                            <w:sz w:val="12"/>
                            <w:szCs w:val="12"/>
                          </w:rPr>
                          <w:t xml:space="preserve">                    </w:t>
                        </w:r>
                        <w:r>
                          <w:rPr>
                            <w:rFonts w:ascii="Times New Roman" w:eastAsia="Times New Roman" w:hAnsi="Times New Roman" w:cs="Times New Roman"/>
                            <w:color w:val="404040"/>
                            <w:spacing w:val="-2"/>
                            <w:position w:val="2"/>
                            <w:sz w:val="12"/>
                            <w:szCs w:val="12"/>
                          </w:rPr>
                          <w:t>5.29%</w:t>
                        </w:r>
                        <w:r>
                          <w:rPr>
                            <w:rFonts w:ascii="Times New Roman" w:eastAsia="Times New Roman" w:hAnsi="Times New Roman" w:cs="Times New Roman"/>
                            <w:color w:val="404040"/>
                            <w:spacing w:val="1"/>
                            <w:position w:val="2"/>
                            <w:sz w:val="12"/>
                            <w:szCs w:val="12"/>
                          </w:rPr>
                          <w:t xml:space="preserve">                      </w:t>
                        </w:r>
                        <w:r>
                          <w:rPr>
                            <w:rFonts w:ascii="Times New Roman" w:eastAsia="Times New Roman" w:hAnsi="Times New Roman" w:cs="Times New Roman"/>
                            <w:color w:val="404040"/>
                            <w:position w:val="2"/>
                            <w:sz w:val="12"/>
                            <w:szCs w:val="12"/>
                          </w:rPr>
                          <w:t xml:space="preserve">                       </w:t>
                        </w:r>
                        <w:r>
                          <w:rPr>
                            <w:rFonts w:ascii="Times New Roman" w:eastAsia="Times New Roman" w:hAnsi="Times New Roman" w:cs="Times New Roman"/>
                            <w:color w:val="404040"/>
                            <w:spacing w:val="-2"/>
                            <w:position w:val="-1"/>
                            <w:sz w:val="12"/>
                            <w:szCs w:val="12"/>
                          </w:rPr>
                          <w:t>4</w:t>
                        </w:r>
                        <w:r>
                          <w:rPr>
                            <w:rFonts w:ascii="Times New Roman" w:eastAsia="Times New Roman" w:hAnsi="Times New Roman" w:cs="Times New Roman"/>
                            <w:color w:val="404040"/>
                            <w:spacing w:val="10"/>
                            <w:position w:val="-1"/>
                            <w:sz w:val="12"/>
                            <w:szCs w:val="12"/>
                          </w:rPr>
                          <w:t xml:space="preserve"> </w:t>
                        </w:r>
                        <w:r>
                          <w:rPr>
                            <w:rFonts w:ascii="Times New Roman" w:eastAsia="Times New Roman" w:hAnsi="Times New Roman" w:cs="Times New Roman"/>
                            <w:color w:val="404040"/>
                            <w:spacing w:val="-2"/>
                            <w:position w:val="-1"/>
                            <w:sz w:val="12"/>
                            <w:szCs w:val="12"/>
                          </w:rPr>
                          <w:t>82%</w:t>
                        </w:r>
                      </w:p>
                    </w:txbxContent>
                  </v:textbox>
                </v:shape>
              </w:pict>
            </w: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274"/>
        </w:trPr>
        <w:tc>
          <w:tcPr>
            <w:tcW w:w="600" w:type="dxa"/>
            <w:tcBorders>
              <w:top w:val="single" w:sz="4" w:space="0" w:color="D9D9D9"/>
              <w:bottom w:val="single" w:sz="4" w:space="0" w:color="D9D9D9"/>
            </w:tcBorders>
            <w:vAlign w:val="top"/>
          </w:tcPr>
          <w:p>
            <w:pPr>
              <w:rPr>
                <w:rFonts w:ascii="Arial"/>
                <w:sz w:val="21"/>
              </w:rPr>
            </w:pPr>
          </w:p>
        </w:tc>
        <w:tc>
          <w:tcPr>
            <w:tcW w:w="7200" w:type="dxa"/>
            <w:gridSpan w:val="2"/>
            <w:tcBorders>
              <w:top w:val="single" w:sz="4" w:space="0" w:color="D9D9D9"/>
              <w:bottom w:val="single" w:sz="4" w:space="0" w:color="D9D9D9"/>
            </w:tcBorders>
            <w:vAlign w:val="top"/>
          </w:tcPr>
          <w:p>
            <w:pPr>
              <w:rPr>
                <w:rFonts w:ascii="Arial"/>
                <w:sz w:val="21"/>
              </w:rPr>
            </w:pPr>
            <w:r>
              <w:pict>
                <v:shape id="_x0000_s1092" type="#_x0000_t202" style="width:342.7pt;height:7.4pt;margin-top:-2.72pt;margin-left:-356.68pt;mso-position-horizontal-relative:right-margin-area;mso-position-vertical-relative:top-margin-area;position:absolute;z-index:251717632" filled="f" stroked="f">
                  <o:lock v:ext="edit" aspectratio="f"/>
                  <v:textbox inset="0,0,0,0">
                    <w:txbxContent>
                      <w:p>
                        <w:pPr>
                          <w:spacing w:before="20" w:line="107" w:lineRule="exact"/>
                          <w:ind w:left="20"/>
                          <w:rPr>
                            <w:rFonts w:ascii="Times New Roman" w:eastAsia="Times New Roman" w:hAnsi="Times New Roman" w:cs="Times New Roman"/>
                            <w:sz w:val="12"/>
                            <w:szCs w:val="12"/>
                          </w:rPr>
                        </w:pPr>
                        <w:r>
                          <w:rPr>
                            <w:rFonts w:ascii="Times New Roman" w:eastAsia="Times New Roman" w:hAnsi="Times New Roman" w:cs="Times New Roman"/>
                            <w:color w:val="404040"/>
                            <w:position w:val="-1"/>
                            <w:sz w:val="12"/>
                            <w:szCs w:val="12"/>
                          </w:rPr>
                          <w:t xml:space="preserve">4.44%                                                                         </w:t>
                        </w:r>
                        <w:r>
                          <w:rPr>
                            <w:rFonts w:ascii="Times New Roman" w:eastAsia="Times New Roman" w:hAnsi="Times New Roman" w:cs="Times New Roman"/>
                            <w:color w:val="404040"/>
                            <w:spacing w:val="-1"/>
                            <w:position w:val="-1"/>
                            <w:sz w:val="12"/>
                            <w:szCs w:val="12"/>
                          </w:rPr>
                          <w:t xml:space="preserve">                                 </w:t>
                        </w:r>
                        <w:r>
                          <w:rPr>
                            <w:rFonts w:ascii="Times New Roman" w:eastAsia="Times New Roman" w:hAnsi="Times New Roman" w:cs="Times New Roman"/>
                            <w:color w:val="404040"/>
                            <w:spacing w:val="-1"/>
                            <w:position w:val="2"/>
                            <w:sz w:val="12"/>
                            <w:szCs w:val="12"/>
                          </w:rPr>
                          <w:t xml:space="preserve">.                                                                                                                  </w:t>
                        </w:r>
                        <w:r>
                          <w:rPr>
                            <w:rFonts w:ascii="Times New Roman" w:eastAsia="Times New Roman" w:hAnsi="Times New Roman" w:cs="Times New Roman"/>
                            <w:color w:val="404040"/>
                            <w:spacing w:val="-1"/>
                            <w:position w:val="1"/>
                            <w:sz w:val="12"/>
                            <w:szCs w:val="12"/>
                          </w:rPr>
                          <w:t>.</w:t>
                        </w:r>
                      </w:p>
                    </w:txbxContent>
                  </v:textbox>
                </v:shape>
              </w:pict>
            </w:r>
            <w:r>
              <w:pict>
                <v:shape id="_x0000_s1093" type="#_x0000_t202" style="width:15.5pt;height:7.35pt;margin-top:4.55pt;margin-left:-19.43pt;mso-position-horizontal-relative:right-margin-area;mso-position-vertical-relative:top-margin-area;position:absolute;z-index:251709440"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495.9</w:t>
                        </w:r>
                      </w:p>
                    </w:txbxContent>
                  </v:textbox>
                </v:shape>
              </w:pict>
            </w: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275"/>
        </w:trPr>
        <w:tc>
          <w:tcPr>
            <w:tcW w:w="600" w:type="dxa"/>
            <w:tcBorders>
              <w:top w:val="single" w:sz="4" w:space="0" w:color="D9D9D9"/>
              <w:bottom w:val="single" w:sz="4" w:space="0" w:color="D9D9D9"/>
            </w:tcBorders>
            <w:vAlign w:val="top"/>
          </w:tcPr>
          <w:p>
            <w:pPr>
              <w:rPr>
                <w:rFonts w:ascii="Arial"/>
                <w:sz w:val="21"/>
              </w:rPr>
            </w:pPr>
          </w:p>
        </w:tc>
        <w:tc>
          <w:tcPr>
            <w:tcW w:w="7200" w:type="dxa"/>
            <w:gridSpan w:val="2"/>
            <w:tcBorders>
              <w:top w:val="single" w:sz="4" w:space="0" w:color="D9D9D9"/>
              <w:bottom w:val="single" w:sz="4" w:space="0" w:color="D9D9D9"/>
            </w:tcBorders>
            <w:vAlign w:val="top"/>
          </w:tcPr>
          <w:p>
            <w:pPr>
              <w:rPr>
                <w:rFonts w:ascii="Arial"/>
                <w:sz w:val="21"/>
              </w:rPr>
            </w:pPr>
            <w:r>
              <w:pict>
                <v:shape id="_x0000_s1094" type="#_x0000_t202" style="width:19.35pt;height:7.4pt;margin-top:0.96pt;margin-left:-21.32pt;mso-position-horizontal-relative:right-margin-area;mso-position-vertical-relative:top-margin-area;position:absolute;z-index:251707392"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-6.10%</w:t>
                        </w:r>
                      </w:p>
                    </w:txbxContent>
                  </v:textbox>
                </v:shape>
              </w:pict>
            </w:r>
          </w:p>
        </w:tc>
        <w:tc>
          <w:tcPr>
            <w:tcW w:w="604" w:type="dxa"/>
            <w:tcBorders>
              <w:top w:val="single" w:sz="4" w:space="0" w:color="D9D9D9"/>
              <w:bottom w:val="single" w:sz="4" w:space="0" w:color="D9D9D9"/>
            </w:tcBorders>
            <w:vAlign w:val="top"/>
          </w:tcPr>
          <w:p>
            <w:pPr>
              <w:rPr>
                <w:rFonts w:ascii="Arial"/>
                <w:sz w:val="21"/>
              </w:rPr>
            </w:pPr>
          </w:p>
        </w:tc>
      </w:tr>
      <w:tr>
        <w:tblPrEx>
          <w:tblW w:w="8404" w:type="dxa"/>
          <w:tblInd w:w="0" w:type="dxa"/>
          <w:tblLayout w:type="fixed"/>
        </w:tblPrEx>
        <w:trPr>
          <w:trHeight w:val="284"/>
        </w:trPr>
        <w:tc>
          <w:tcPr>
            <w:tcW w:w="600" w:type="dxa"/>
            <w:tcBorders>
              <w:top w:val="single" w:sz="4" w:space="0" w:color="D9D9D9"/>
              <w:bottom w:val="single" w:sz="4" w:space="0" w:color="D9D9D9"/>
            </w:tcBorders>
            <w:vAlign w:val="top"/>
          </w:tcPr>
          <w:p>
            <w:pPr>
              <w:rPr>
                <w:rFonts w:ascii="Arial"/>
                <w:sz w:val="21"/>
              </w:rPr>
            </w:pPr>
          </w:p>
        </w:tc>
        <w:tc>
          <w:tcPr>
            <w:tcW w:w="7200" w:type="dxa"/>
            <w:gridSpan w:val="2"/>
            <w:tcBorders>
              <w:top w:val="single" w:sz="4" w:space="0" w:color="D9D9D9"/>
              <w:bottom w:val="single" w:sz="4" w:space="0" w:color="D9D9D9"/>
            </w:tcBorders>
            <w:vAlign w:val="top"/>
          </w:tcPr>
          <w:p>
            <w:pPr>
              <w:rPr>
                <w:rFonts w:ascii="Arial"/>
                <w:sz w:val="21"/>
              </w:rPr>
            </w:pPr>
          </w:p>
        </w:tc>
        <w:tc>
          <w:tcPr>
            <w:tcW w:w="604" w:type="dxa"/>
            <w:tcBorders>
              <w:top w:val="single" w:sz="4" w:space="0" w:color="D9D9D9"/>
              <w:bottom w:val="single" w:sz="4" w:space="0" w:color="D9D9D9"/>
            </w:tcBorders>
            <w:vAlign w:val="top"/>
          </w:tcPr>
          <w:p>
            <w:pPr>
              <w:rPr>
                <w:rFonts w:ascii="Arial"/>
                <w:sz w:val="21"/>
              </w:rPr>
            </w:pPr>
          </w:p>
        </w:tc>
      </w:tr>
    </w:tbl>
    <w:p>
      <w:pPr>
        <w:spacing w:before="82" w:line="220" w:lineRule="auto"/>
        <w:ind w:left="7249"/>
        <w:rPr>
          <w:rFonts w:ascii="SimSun" w:eastAsia="SimSun" w:hAnsi="SimSun" w:cs="SimSun"/>
          <w:sz w:val="12"/>
          <w:szCs w:val="12"/>
        </w:rPr>
      </w:pPr>
      <w:r>
        <w:pict>
          <v:shape id="_x0000_s1095" type="#_x0000_t202" style="width:19.9pt;height:9.15pt;margin-top:3.07pt;margin-left:116.2pt;position:absolute;z-index:251706368"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2020</w:t>
                  </w:r>
                  <w:r>
                    <w:rPr>
                      <w:rFonts w:ascii="SimSun" w:eastAsia="SimSun" w:hAnsi="SimSun" w:cs="SimSun"/>
                      <w:color w:val="595959"/>
                      <w:spacing w:val="-1"/>
                      <w:sz w:val="12"/>
                      <w:szCs w:val="12"/>
                    </w:rPr>
                    <w:t>年</w:t>
                  </w:r>
                </w:p>
              </w:txbxContent>
            </v:textbox>
          </v:shape>
        </w:pict>
      </w:r>
      <w:r>
        <w:pict>
          <v:shape id="_x0000_s1096" type="#_x0000_t202" style="width:39.7pt;height:20.55pt;margin-top:3.07pt;margin-left:200.27pt;position:absolute;z-index:251703296"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2021</w:t>
                  </w:r>
                  <w:r>
                    <w:rPr>
                      <w:rFonts w:ascii="SimSun" w:eastAsia="SimSun" w:hAnsi="SimSun" w:cs="SimSun"/>
                      <w:color w:val="595959"/>
                      <w:spacing w:val="-1"/>
                      <w:sz w:val="12"/>
                      <w:szCs w:val="12"/>
                    </w:rPr>
                    <w:t>年</w:t>
                  </w:r>
                </w:p>
                <w:p>
                  <w:pPr>
                    <w:spacing w:before="84" w:line="221" w:lineRule="auto"/>
                    <w:ind w:left="86"/>
                    <w:rPr>
                      <w:rFonts w:ascii="SimSun" w:eastAsia="SimSun" w:hAnsi="SimSun" w:cs="SimSun"/>
                      <w:sz w:val="12"/>
                      <w:szCs w:val="12"/>
                    </w:rPr>
                  </w:pPr>
                  <w:r>
                    <w:rPr>
                      <w:rFonts w:ascii="SimSun" w:eastAsia="SimSun" w:hAnsi="SimSun" w:cs="SimSun"/>
                      <w:color w:val="595959"/>
                      <w:position w:val="2"/>
                      <w:sz w:val="12"/>
                      <w:szCs w:val="12"/>
                    </w:rPr>
                    <w:drawing>
                      <wp:inline distT="0" distB="0" distL="0" distR="0">
                        <wp:extent cx="269747" cy="2590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9"/>
                                <a:stretch>
                                  <a:fillRect/>
                                </a:stretch>
                              </pic:blipFill>
                              <pic:spPr>
                                <a:xfrm>
                                  <a:off x="0" y="0"/>
                                  <a:ext cx="269747" cy="25908"/>
                                </a:xfrm>
                                <a:prstGeom prst="rect">
                                  <a:avLst/>
                                </a:prstGeom>
                              </pic:spPr>
                            </pic:pic>
                          </a:graphicData>
                        </a:graphic>
                      </wp:inline>
                    </w:drawing>
                  </w:r>
                  <w:r>
                    <w:rPr>
                      <w:rFonts w:ascii="SimSun" w:eastAsia="SimSun" w:hAnsi="SimSun" w:cs="SimSun"/>
                      <w:color w:val="595959"/>
                      <w:spacing w:val="-33"/>
                      <w:sz w:val="12"/>
                      <w:szCs w:val="12"/>
                    </w:rPr>
                    <w:t xml:space="preserve"> </w:t>
                  </w:r>
                  <w:r>
                    <w:rPr>
                      <w:rFonts w:ascii="SimSun" w:eastAsia="SimSun" w:hAnsi="SimSun" w:cs="SimSun"/>
                      <w:color w:val="595959"/>
                      <w:spacing w:val="-2"/>
                      <w:sz w:val="12"/>
                      <w:szCs w:val="12"/>
                    </w:rPr>
                    <w:t>增速</w:t>
                  </w:r>
                </w:p>
              </w:txbxContent>
            </v:textbox>
          </v:shape>
        </w:pict>
      </w:r>
      <w:r>
        <w:pict>
          <v:shape id="_x0000_s1097" type="#_x0000_t202" style="width:60.35pt;height:20.55pt;margin-top:3.07pt;margin-left:262.4pt;position:absolute;z-index:251702272" filled="f" stroked="f">
            <o:lock v:ext="edit" aspectratio="f"/>
            <v:textbox inset="0,0,0,0">
              <w:txbxContent>
                <w:p>
                  <w:pPr>
                    <w:spacing w:before="19" w:line="220" w:lineRule="auto"/>
                    <w:ind w:left="458"/>
                    <w:rPr>
                      <w:rFonts w:ascii="SimSun" w:eastAsia="SimSun" w:hAnsi="SimSun" w:cs="SimSun"/>
                      <w:sz w:val="12"/>
                      <w:szCs w:val="12"/>
                    </w:rPr>
                  </w:pPr>
                  <w:r>
                    <w:rPr>
                      <w:rFonts w:ascii="Times New Roman" w:eastAsia="Times New Roman" w:hAnsi="Times New Roman" w:cs="Times New Roman"/>
                      <w:color w:val="595959"/>
                      <w:spacing w:val="-1"/>
                      <w:sz w:val="12"/>
                      <w:szCs w:val="12"/>
                    </w:rPr>
                    <w:t>2022</w:t>
                  </w:r>
                  <w:r>
                    <w:rPr>
                      <w:rFonts w:ascii="SimSun" w:eastAsia="SimSun" w:hAnsi="SimSun" w:cs="SimSun"/>
                      <w:color w:val="595959"/>
                      <w:spacing w:val="-1"/>
                      <w:sz w:val="12"/>
                      <w:szCs w:val="12"/>
                    </w:rPr>
                    <w:t>年</w:t>
                  </w:r>
                </w:p>
                <w:p>
                  <w:pPr>
                    <w:spacing w:before="84" w:line="220" w:lineRule="auto"/>
                    <w:ind w:left="20"/>
                    <w:rPr>
                      <w:rFonts w:ascii="SimSun" w:eastAsia="SimSun" w:hAnsi="SimSun" w:cs="SimSun"/>
                      <w:sz w:val="12"/>
                      <w:szCs w:val="12"/>
                    </w:rPr>
                  </w:pPr>
                  <w:r>
                    <w:rPr>
                      <w:rFonts w:ascii="SimSun" w:eastAsia="SimSun" w:hAnsi="SimSun" w:cs="SimSun"/>
                      <w:color w:val="595959"/>
                      <w:position w:val="2"/>
                      <w:sz w:val="12"/>
                      <w:szCs w:val="12"/>
                    </w:rPr>
                    <w:drawing>
                      <wp:inline distT="0" distB="0" distL="0" distR="0">
                        <wp:extent cx="269747" cy="2590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0"/>
                                <a:stretch>
                                  <a:fillRect/>
                                </a:stretch>
                              </pic:blipFill>
                              <pic:spPr>
                                <a:xfrm>
                                  <a:off x="0" y="0"/>
                                  <a:ext cx="269747" cy="25908"/>
                                </a:xfrm>
                                <a:prstGeom prst="rect">
                                  <a:avLst/>
                                </a:prstGeom>
                              </pic:spPr>
                            </pic:pic>
                          </a:graphicData>
                        </a:graphic>
                      </wp:inline>
                    </w:drawing>
                  </w:r>
                  <w:r>
                    <w:rPr>
                      <w:rFonts w:ascii="SimSun" w:eastAsia="SimSun" w:hAnsi="SimSun" w:cs="SimSun"/>
                      <w:color w:val="595959"/>
                      <w:spacing w:val="-33"/>
                      <w:sz w:val="12"/>
                      <w:szCs w:val="12"/>
                    </w:rPr>
                    <w:t xml:space="preserve"> </w:t>
                  </w:r>
                  <w:r>
                    <w:rPr>
                      <w:rFonts w:ascii="SimSun" w:eastAsia="SimSun" w:hAnsi="SimSun" w:cs="SimSun"/>
                      <w:color w:val="595959"/>
                      <w:spacing w:val="-1"/>
                      <w:sz w:val="12"/>
                      <w:szCs w:val="12"/>
                    </w:rPr>
                    <w:t>研发投入比例</w:t>
                  </w:r>
                </w:p>
              </w:txbxContent>
            </v:textbox>
          </v:shape>
        </w:pict>
      </w:r>
      <w:r>
        <w:pict>
          <v:shape id="_x0000_s1098" type="#_x0000_t202" style="width:19.9pt;height:9.15pt;margin-top:3.07pt;margin-left:32.11pt;position:absolute;z-index:251705344" filled="f" stroked="f">
            <o:lock v:ext="edit" aspectratio="f"/>
            <v:textbox inset="0,0,0,0">
              <w:txbxContent>
                <w:p>
                  <w:pPr>
                    <w:spacing w:before="19" w:line="220" w:lineRule="auto"/>
                    <w:ind w:left="20"/>
                    <w:rPr>
                      <w:rFonts w:ascii="SimSun" w:eastAsia="SimSun" w:hAnsi="SimSun" w:cs="SimSun"/>
                      <w:sz w:val="12"/>
                      <w:szCs w:val="12"/>
                    </w:rPr>
                  </w:pPr>
                  <w:r>
                    <w:rPr>
                      <w:rFonts w:ascii="Times New Roman" w:eastAsia="Times New Roman" w:hAnsi="Times New Roman" w:cs="Times New Roman"/>
                      <w:color w:val="595959"/>
                      <w:spacing w:val="-1"/>
                      <w:sz w:val="12"/>
                      <w:szCs w:val="12"/>
                    </w:rPr>
                    <w:t>2019</w:t>
                  </w:r>
                  <w:r>
                    <w:rPr>
                      <w:rFonts w:ascii="SimSun" w:eastAsia="SimSun" w:hAnsi="SimSun" w:cs="SimSun"/>
                      <w:color w:val="595959"/>
                      <w:spacing w:val="-1"/>
                      <w:sz w:val="12"/>
                      <w:szCs w:val="12"/>
                    </w:rPr>
                    <w:t>年</w:t>
                  </w:r>
                </w:p>
              </w:txbxContent>
            </v:textbox>
          </v:shape>
        </w:pict>
      </w:r>
      <w:r>
        <w:rPr>
          <w:rFonts w:ascii="Times New Roman" w:eastAsia="Times New Roman" w:hAnsi="Times New Roman" w:cs="Times New Roman"/>
          <w:color w:val="595959"/>
          <w:spacing w:val="-1"/>
          <w:sz w:val="12"/>
          <w:szCs w:val="12"/>
        </w:rPr>
        <w:t>2023</w:t>
      </w:r>
      <w:r>
        <w:rPr>
          <w:rFonts w:ascii="SimSun" w:eastAsia="SimSun" w:hAnsi="SimSun" w:cs="SimSun"/>
          <w:color w:val="595959"/>
          <w:spacing w:val="-1"/>
          <w:sz w:val="12"/>
          <w:szCs w:val="12"/>
        </w:rPr>
        <w:t>年</w:t>
      </w:r>
      <w:r>
        <w:rPr>
          <w:rFonts w:ascii="Times New Roman" w:eastAsia="Times New Roman" w:hAnsi="Times New Roman" w:cs="Times New Roman"/>
          <w:color w:val="595959"/>
          <w:spacing w:val="-1"/>
          <w:sz w:val="12"/>
          <w:szCs w:val="12"/>
        </w:rPr>
        <w:t>1-9</w:t>
      </w:r>
      <w:r>
        <w:rPr>
          <w:rFonts w:ascii="SimSun" w:eastAsia="SimSun" w:hAnsi="SimSun" w:cs="SimSun"/>
          <w:color w:val="595959"/>
          <w:spacing w:val="-1"/>
          <w:sz w:val="12"/>
          <w:szCs w:val="12"/>
        </w:rPr>
        <w:t>月</w:t>
      </w:r>
    </w:p>
    <w:p>
      <w:pPr>
        <w:spacing w:before="84" w:line="185" w:lineRule="auto"/>
        <w:ind w:left="2217"/>
        <w:rPr>
          <w:rFonts w:ascii="SimSun" w:eastAsia="SimSun" w:hAnsi="SimSun" w:cs="SimSun"/>
          <w:sz w:val="12"/>
          <w:szCs w:val="12"/>
        </w:rPr>
      </w:pPr>
      <w:r>
        <w:rPr>
          <w:rFonts w:ascii="SimSun" w:eastAsia="SimSun" w:hAnsi="SimSun" w:cs="SimSun"/>
          <w:color w:val="595959"/>
          <w:position w:val="1"/>
          <w:sz w:val="12"/>
          <w:szCs w:val="12"/>
        </w:rPr>
        <w:drawing>
          <wp:inline distT="0" distB="0" distL="0" distR="0">
            <wp:extent cx="243839"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1"/>
                    <a:stretch>
                      <a:fillRect/>
                    </a:stretch>
                  </pic:blipFill>
                  <pic:spPr>
                    <a:xfrm>
                      <a:off x="0" y="0"/>
                      <a:ext cx="243839" cy="38100"/>
                    </a:xfrm>
                    <a:prstGeom prst="rect">
                      <a:avLst/>
                    </a:prstGeom>
                  </pic:spPr>
                </pic:pic>
              </a:graphicData>
            </a:graphic>
          </wp:inline>
        </w:drawing>
      </w:r>
      <w:r>
        <w:rPr>
          <w:rFonts w:ascii="SimSun" w:eastAsia="SimSun" w:hAnsi="SimSun" w:cs="SimSun"/>
          <w:color w:val="595959"/>
          <w:spacing w:val="-11"/>
          <w:sz w:val="12"/>
          <w:szCs w:val="12"/>
        </w:rPr>
        <w:t xml:space="preserve"> </w:t>
      </w:r>
      <w:r>
        <w:rPr>
          <w:rFonts w:ascii="SimSun" w:eastAsia="SimSun" w:hAnsi="SimSun" w:cs="SimSun"/>
          <w:color w:val="595959"/>
          <w:spacing w:val="-2"/>
          <w:sz w:val="12"/>
          <w:szCs w:val="12"/>
        </w:rPr>
        <w:t>研发经费（亿元）</w:t>
      </w:r>
    </w:p>
    <w:p>
      <w:pPr>
        <w:spacing w:line="14" w:lineRule="auto"/>
        <w:rPr>
          <w:rFonts w:ascii="Arial"/>
          <w:sz w:val="2"/>
        </w:rPr>
      </w:pPr>
      <w:r>
        <w:rPr>
          <w:rFonts w:ascii="Arial" w:eastAsia="Arial" w:hAnsi="Arial" w:cs="Arial"/>
          <w:sz w:val="2"/>
          <w:szCs w:val="2"/>
        </w:rPr>
        <w:br w:type="column"/>
      </w:r>
    </w:p>
    <w:p>
      <w:pPr>
        <w:spacing w:before="62" w:line="186" w:lineRule="auto"/>
        <w:ind w:left="8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25.00%</w:t>
      </w:r>
    </w:p>
    <w:p>
      <w:pPr>
        <w:spacing w:before="261" w:line="186" w:lineRule="auto"/>
        <w:ind w:left="8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before="261" w:line="186" w:lineRule="auto"/>
        <w:ind w:left="9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15.00%</w:t>
      </w:r>
    </w:p>
    <w:p>
      <w:pPr>
        <w:spacing w:before="262" w:line="186" w:lineRule="auto"/>
        <w:ind w:left="9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before="261" w:line="186" w:lineRule="auto"/>
        <w:ind w:left="9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5.00%</w:t>
      </w:r>
    </w:p>
    <w:p>
      <w:pPr>
        <w:spacing w:before="261" w:line="186" w:lineRule="auto"/>
        <w:ind w:left="8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before="261" w:line="186" w:lineRule="auto"/>
        <w:ind w:left="9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-5.00%</w:t>
      </w:r>
    </w:p>
    <w:p>
      <w:pPr>
        <w:spacing w:before="262" w:line="186" w:lineRule="auto"/>
        <w:ind w:left="9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-10.00%</w:t>
      </w:r>
    </w:p>
    <w:p>
      <w:pPr>
        <w:spacing w:line="186" w:lineRule="auto"/>
        <w:rPr>
          <w:rFonts w:ascii="Times New Roman" w:eastAsia="Times New Roman" w:hAnsi="Times New Roman" w:cs="Times New Roman"/>
          <w:sz w:val="12"/>
          <w:szCs w:val="12"/>
        </w:rPr>
        <w:sectPr>
          <w:headerReference w:type="default" r:id="rId32"/>
          <w:footerReference w:type="default" r:id="rId33"/>
          <w:type w:val="continuous"/>
          <w:pgSz w:w="11907" w:h="16839"/>
          <w:pgMar w:top="1336" w:right="1041" w:bottom="1271" w:left="897" w:header="1148" w:footer="1077" w:gutter="0"/>
          <w:pgNumType w:start="11"/>
          <w:cols w:num="3" w:space="708" w:equalWidth="0">
            <w:col w:w="723" w:space="100"/>
            <w:col w:w="8405" w:space="19"/>
            <w:col w:w="720" w:space="0"/>
          </w:cols>
        </w:sectPr>
      </w:pPr>
    </w:p>
    <w:p>
      <w:pPr>
        <w:spacing w:before="230" w:line="221" w:lineRule="auto"/>
        <w:ind w:left="362"/>
        <w:rPr>
          <w:rFonts w:ascii="SimSun" w:eastAsia="SimSun" w:hAnsi="SimSun" w:cs="SimSun"/>
          <w:sz w:val="15"/>
          <w:szCs w:val="15"/>
        </w:rPr>
        <w:sectPr>
          <w:headerReference w:type="default" r:id="rId34"/>
          <w:footerReference w:type="default" r:id="rId35"/>
          <w:type w:val="continuous"/>
          <w:pgSz w:w="11907" w:h="16839"/>
          <w:pgMar w:top="1336" w:right="1041" w:bottom="1271" w:left="897" w:header="1148" w:footer="1077" w:gutter="0"/>
          <w:pgNumType w:start="12"/>
          <w:cols w:num="1" w:space="708" w:equalWidth="0">
            <w:col w:w="9968" w:space="0"/>
          </w:cols>
        </w:sectPr>
      </w:pPr>
      <w:r>
        <w:rPr>
          <w:rFonts w:ascii="SimSun" w:eastAsia="SimSun" w:hAnsi="SimSun" w:cs="SimSun"/>
          <w:spacing w:val="-5"/>
          <w:sz w:val="15"/>
          <w:szCs w:val="15"/>
        </w:rPr>
        <w:t>资料来源：工信部。</w:t>
      </w:r>
    </w:p>
    <w:p>
      <w:pPr>
        <w:spacing w:before="202" w:line="273" w:lineRule="auto"/>
        <w:ind w:left="243" w:right="89" w:hanging="1"/>
        <w:jc w:val="both"/>
        <w:rPr>
          <w:rFonts w:ascii="SimSun" w:eastAsia="SimSun" w:hAnsi="SimSun" w:cs="SimSun"/>
          <w:sz w:val="21"/>
          <w:szCs w:val="21"/>
        </w:rPr>
      </w:pPr>
      <w:r>
        <w:rPr>
          <w:rFonts w:ascii="SimSun" w:eastAsia="SimSun" w:hAnsi="SimSun" w:cs="SimSun"/>
          <w:sz w:val="21"/>
          <w:szCs w:val="21"/>
        </w:rPr>
        <w:t>在竞争方面，根据工信部的统计数据，</w:t>
      </w:r>
      <w:r>
        <w:rPr>
          <w:rFonts w:ascii="Times New Roman" w:eastAsia="Times New Roman" w:hAnsi="Times New Roman" w:cs="Times New Roman"/>
          <w:sz w:val="21"/>
          <w:szCs w:val="21"/>
        </w:rPr>
        <w:t>2020-202</w:t>
      </w:r>
      <w:r>
        <w:rPr>
          <w:rFonts w:ascii="Times New Roman" w:eastAsia="Times New Roman" w:hAnsi="Times New Roman" w:cs="Times New Roman"/>
          <w:spacing w:val="-1"/>
          <w:sz w:val="21"/>
          <w:szCs w:val="21"/>
        </w:rPr>
        <w:t xml:space="preserve">2 </w:t>
      </w:r>
      <w:r>
        <w:rPr>
          <w:rFonts w:ascii="SimSun" w:eastAsia="SimSun" w:hAnsi="SimSun" w:cs="SimSun"/>
          <w:spacing w:val="-1"/>
          <w:sz w:val="21"/>
          <w:szCs w:val="21"/>
        </w:rPr>
        <w:t>年末国内互联网企业数量分别为</w:t>
      </w:r>
      <w:r>
        <w:rPr>
          <w:rFonts w:ascii="SimSun" w:eastAsia="SimSun" w:hAnsi="SimSun" w:cs="SimSun"/>
          <w:spacing w:val="-41"/>
          <w:sz w:val="21"/>
          <w:szCs w:val="21"/>
        </w:rPr>
        <w:t xml:space="preserve"> </w:t>
      </w:r>
      <w:r>
        <w:rPr>
          <w:rFonts w:ascii="Times New Roman" w:eastAsia="Times New Roman" w:hAnsi="Times New Roman" w:cs="Times New Roman"/>
          <w:spacing w:val="-1"/>
          <w:sz w:val="21"/>
          <w:szCs w:val="21"/>
        </w:rPr>
        <w:t>6.22</w:t>
      </w:r>
      <w:r>
        <w:rPr>
          <w:rFonts w:ascii="Times New Roman" w:eastAsia="Times New Roman" w:hAnsi="Times New Roman" w:cs="Times New Roman"/>
          <w:spacing w:val="14"/>
          <w:sz w:val="21"/>
          <w:szCs w:val="21"/>
        </w:rPr>
        <w:t xml:space="preserve"> </w:t>
      </w:r>
      <w:r>
        <w:rPr>
          <w:rFonts w:ascii="SimSun" w:eastAsia="SimSun" w:hAnsi="SimSun" w:cs="SimSun"/>
          <w:spacing w:val="-1"/>
          <w:sz w:val="21"/>
          <w:szCs w:val="21"/>
        </w:rPr>
        <w:t>万家、</w:t>
      </w:r>
      <w:r>
        <w:rPr>
          <w:rFonts w:ascii="Times New Roman" w:eastAsia="Times New Roman" w:hAnsi="Times New Roman" w:cs="Times New Roman"/>
          <w:spacing w:val="-1"/>
          <w:sz w:val="21"/>
          <w:szCs w:val="21"/>
        </w:rPr>
        <w:t>7.87</w:t>
      </w:r>
      <w:r>
        <w:rPr>
          <w:rFonts w:ascii="Times New Roman" w:eastAsia="Times New Roman" w:hAnsi="Times New Roman" w:cs="Times New Roman"/>
          <w:spacing w:val="13"/>
          <w:w w:val="101"/>
          <w:sz w:val="21"/>
          <w:szCs w:val="21"/>
        </w:rPr>
        <w:t xml:space="preserve"> </w:t>
      </w:r>
      <w:r>
        <w:rPr>
          <w:rFonts w:ascii="SimSun" w:eastAsia="SimSun" w:hAnsi="SimSun" w:cs="SimSun"/>
          <w:spacing w:val="-1"/>
          <w:sz w:val="21"/>
          <w:szCs w:val="21"/>
        </w:rPr>
        <w:t>万家和</w:t>
      </w:r>
      <w:r>
        <w:rPr>
          <w:rFonts w:ascii="SimSun" w:eastAsia="SimSun" w:hAnsi="SimSun" w:cs="SimSun"/>
          <w:sz w:val="21"/>
          <w:szCs w:val="21"/>
        </w:rPr>
        <w:t xml:space="preserve"> </w:t>
      </w:r>
      <w:r>
        <w:rPr>
          <w:rFonts w:ascii="Times New Roman" w:eastAsia="Times New Roman" w:hAnsi="Times New Roman" w:cs="Times New Roman"/>
          <w:spacing w:val="-1"/>
          <w:sz w:val="21"/>
          <w:szCs w:val="21"/>
        </w:rPr>
        <w:t>8.91</w:t>
      </w:r>
      <w:r>
        <w:rPr>
          <w:rFonts w:ascii="Times New Roman" w:eastAsia="Times New Roman" w:hAnsi="Times New Roman" w:cs="Times New Roman"/>
          <w:spacing w:val="20"/>
          <w:w w:val="101"/>
          <w:sz w:val="21"/>
          <w:szCs w:val="21"/>
        </w:rPr>
        <w:t xml:space="preserve"> </w:t>
      </w:r>
      <w:r>
        <w:rPr>
          <w:rFonts w:ascii="SimSun" w:eastAsia="SimSun" w:hAnsi="SimSun" w:cs="SimSun"/>
          <w:spacing w:val="-1"/>
          <w:sz w:val="21"/>
          <w:szCs w:val="21"/>
        </w:rPr>
        <w:t>万家，国内互联网企业数量众多，且数量仍在持续较快增长，加之国内互联网用户增速不断放缓，互</w:t>
      </w:r>
      <w:r>
        <w:rPr>
          <w:rFonts w:ascii="SimSun" w:eastAsia="SimSun" w:hAnsi="SimSun" w:cs="SimSun"/>
          <w:sz w:val="21"/>
          <w:szCs w:val="21"/>
        </w:rPr>
        <w:t xml:space="preserve"> </w:t>
      </w:r>
      <w:r>
        <w:rPr>
          <w:rFonts w:ascii="SimSun" w:eastAsia="SimSun" w:hAnsi="SimSun" w:cs="SimSun"/>
          <w:spacing w:val="-2"/>
          <w:sz w:val="21"/>
          <w:szCs w:val="21"/>
        </w:rPr>
        <w:t>联网行业市场竞争正不断加剧。</w:t>
      </w:r>
    </w:p>
    <w:p>
      <w:pPr>
        <w:spacing w:before="211" w:line="271" w:lineRule="auto"/>
        <w:ind w:left="244" w:right="87" w:firstLine="1"/>
        <w:jc w:val="both"/>
        <w:rPr>
          <w:rFonts w:ascii="SimSun" w:eastAsia="SimSun" w:hAnsi="SimSun" w:cs="SimSun"/>
          <w:sz w:val="21"/>
          <w:szCs w:val="21"/>
        </w:rPr>
      </w:pPr>
      <w:r>
        <w:rPr>
          <w:rFonts w:ascii="SimSun" w:eastAsia="SimSun" w:hAnsi="SimSun" w:cs="SimSun"/>
          <w:spacing w:val="-1"/>
          <w:sz w:val="21"/>
          <w:szCs w:val="21"/>
        </w:rPr>
        <w:t>互联网行业的竞争格局可分为巨头竞争、垂直领域竞争和新兴领域竞争。巨头竞争主要体现在互联网巨头</w:t>
      </w:r>
      <w:r>
        <w:rPr>
          <w:rFonts w:ascii="SimSun" w:eastAsia="SimSun" w:hAnsi="SimSun" w:cs="SimSun"/>
          <w:spacing w:val="18"/>
          <w:sz w:val="21"/>
          <w:szCs w:val="21"/>
        </w:rPr>
        <w:t xml:space="preserve"> </w:t>
      </w:r>
      <w:r>
        <w:rPr>
          <w:rFonts w:ascii="SimSun" w:eastAsia="SimSun" w:hAnsi="SimSun" w:cs="SimSun"/>
          <w:spacing w:val="-2"/>
          <w:sz w:val="21"/>
          <w:szCs w:val="21"/>
        </w:rPr>
        <w:t>之间的竞争，比如阿里巴巴、腾讯、百度和京东等。这些巨头企业</w:t>
      </w:r>
      <w:r>
        <w:rPr>
          <w:rFonts w:ascii="SimSun" w:eastAsia="SimSun" w:hAnsi="SimSun" w:cs="SimSun"/>
          <w:spacing w:val="-3"/>
          <w:sz w:val="21"/>
          <w:szCs w:val="21"/>
        </w:rPr>
        <w:t>在国内市场上占据了较大的份额，</w:t>
      </w:r>
      <w:r>
        <w:rPr>
          <w:rFonts w:ascii="SimSun" w:eastAsia="SimSun" w:hAnsi="SimSun" w:cs="SimSun"/>
          <w:spacing w:val="-23"/>
          <w:sz w:val="21"/>
          <w:szCs w:val="21"/>
        </w:rPr>
        <w:t xml:space="preserve"> </w:t>
      </w:r>
      <w:r>
        <w:rPr>
          <w:rFonts w:ascii="SimSun" w:eastAsia="SimSun" w:hAnsi="SimSun" w:cs="SimSun"/>
          <w:spacing w:val="-3"/>
          <w:sz w:val="21"/>
          <w:szCs w:val="21"/>
        </w:rPr>
        <w:t>它们</w:t>
      </w:r>
      <w:r>
        <w:rPr>
          <w:rFonts w:ascii="SimSun" w:eastAsia="SimSun" w:hAnsi="SimSun" w:cs="SimSun"/>
          <w:sz w:val="21"/>
          <w:szCs w:val="21"/>
        </w:rPr>
        <w:t xml:space="preserve"> </w:t>
      </w:r>
      <w:r>
        <w:rPr>
          <w:rFonts w:ascii="SimSun" w:eastAsia="SimSun" w:hAnsi="SimSun" w:cs="SimSun"/>
          <w:sz w:val="21"/>
          <w:szCs w:val="21"/>
        </w:rPr>
        <w:t>之间相互竞争，并通过资源整合、产品创新和</w:t>
      </w:r>
      <w:r>
        <w:rPr>
          <w:rFonts w:ascii="SimSun" w:eastAsia="SimSun" w:hAnsi="SimSun" w:cs="SimSun"/>
          <w:spacing w:val="-1"/>
          <w:sz w:val="21"/>
          <w:szCs w:val="21"/>
        </w:rPr>
        <w:t>资本运作等形式争夺市场份额。垂直领域竞争则是指在特定</w:t>
      </w:r>
      <w:r>
        <w:rPr>
          <w:rFonts w:ascii="SimSun" w:eastAsia="SimSun" w:hAnsi="SimSun" w:cs="SimSun"/>
          <w:sz w:val="21"/>
          <w:szCs w:val="21"/>
        </w:rPr>
        <w:t xml:space="preserve"> </w:t>
      </w:r>
      <w:r>
        <w:rPr>
          <w:rFonts w:ascii="SimSun" w:eastAsia="SimSun" w:hAnsi="SimSun" w:cs="SimSun"/>
          <w:spacing w:val="-1"/>
          <w:sz w:val="21"/>
          <w:szCs w:val="21"/>
        </w:rPr>
        <w:t>的细分领域内，不同企业之间的竞争。例如，电商领域内的淘宝和京东之间的竞争，以及社交媒体领域内</w:t>
      </w:r>
    </w:p>
    <w:p>
      <w:pPr>
        <w:spacing w:line="271" w:lineRule="auto"/>
        <w:rPr>
          <w:rFonts w:ascii="SimSun" w:eastAsia="SimSun" w:hAnsi="SimSun" w:cs="SimSun"/>
          <w:sz w:val="21"/>
          <w:szCs w:val="21"/>
        </w:rPr>
        <w:sectPr>
          <w:headerReference w:type="default" r:id="rId36"/>
          <w:footerReference w:type="default" r:id="rId37"/>
          <w:type w:val="nextPage"/>
          <w:pgSz w:w="11907" w:h="16839"/>
          <w:pgMar w:top="1336" w:right="1041" w:bottom="1271" w:left="897" w:header="1148" w:footer="1077" w:gutter="0"/>
          <w:pgNumType w:start="13"/>
          <w:cols w:num="1" w:space="708" w:equalWidth="0">
            <w:col w:w="9968" w:space="0"/>
          </w:cols>
          <w:titlePg w:val="0"/>
        </w:sectPr>
      </w:pPr>
    </w:p>
    <w:p>
      <w:pPr>
        <w:spacing w:line="324" w:lineRule="auto"/>
        <w:rPr>
          <w:rFonts w:ascii="Arial"/>
          <w:sz w:val="21"/>
        </w:rPr>
      </w:pPr>
      <w:r>
        <w:pict>
          <v:shape id="_x0000_s1099" style="width:353.65pt;height:41.8pt;margin-top:462.84pt;margin-left:119.52pt;mso-position-horizontal-relative:page;mso-position-vertical-relative:page;position:absolute;z-index:251722752" coordorigin="0,0" coordsize="7072,835" o:allowincell="f" path="m22,447l1429,303l2833,557l4239,22l5645,812l7050,534e" filled="f" strokecolor="#c0504d" strokeweight="2.28pt">
            <v:stroke endcap="round"/>
          </v:shape>
        </w:pict>
      </w:r>
      <w:r>
        <w:drawing>
          <wp:anchor distT="0" distB="0" distL="0" distR="0" simplePos="0" relativeHeight="251721728" behindDoc="0" locked="0" layoutInCell="0" allowOverlap="1">
            <wp:simplePos x="0" y="0"/>
            <wp:positionH relativeFrom="page">
              <wp:posOffset>1392936</wp:posOffset>
            </wp:positionH>
            <wp:positionV relativeFrom="page">
              <wp:posOffset>5977128</wp:posOffset>
            </wp:positionV>
            <wp:extent cx="4742688" cy="1283207"/>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8"/>
                    <a:stretch>
                      <a:fillRect/>
                    </a:stretch>
                  </pic:blipFill>
                  <pic:spPr>
                    <a:xfrm>
                      <a:off x="0" y="0"/>
                      <a:ext cx="4742688" cy="1283207"/>
                    </a:xfrm>
                    <a:prstGeom prst="rect">
                      <a:avLst/>
                    </a:prstGeom>
                  </pic:spPr>
                </pic:pic>
              </a:graphicData>
            </a:graphic>
          </wp:anchor>
        </w:drawing>
      </w:r>
      <w:r>
        <w:pict>
          <v:shape id="_x0000_s1100" style="width:19.2pt;height:2.55pt;margin-top:586.68pt;margin-left:228.48pt;mso-position-horizontal-relative:page;mso-position-vertical-relative:page;position:absolute;z-index:251720704" coordorigin="0,0" coordsize="384,50" o:allowincell="f" path="m,50l383,50l383,l,l,50xe" filled="t" fillcolor="#4f81bd" stroked="f"/>
        </w:pict>
      </w:r>
      <w:r>
        <w:pict>
          <v:shape id="_x0000_s1101" style="width:481.8pt;height:0.5pt;margin-top:596.38pt;margin-left:56.88pt;mso-position-horizontal-relative:page;mso-position-vertical-relative:page;position:absolute;z-index:251719680" coordorigin="0,0" coordsize="9635,10" o:allowincell="f" path="m,9l9635,9l9635,l,l,9xe" filled="t" fillcolor="black" stroked="f"/>
        </w:pict>
      </w:r>
    </w:p>
    <w:p>
      <w:pPr>
        <w:spacing w:before="68" w:line="260" w:lineRule="auto"/>
        <w:ind w:left="252" w:right="87" w:hanging="17"/>
        <w:rPr>
          <w:rFonts w:ascii="SimSun" w:eastAsia="SimSun" w:hAnsi="SimSun" w:cs="SimSun"/>
          <w:sz w:val="21"/>
          <w:szCs w:val="21"/>
        </w:rPr>
      </w:pPr>
      <w:r>
        <w:rPr>
          <w:rFonts w:ascii="SimSun" w:eastAsia="SimSun" w:hAnsi="SimSun" w:cs="SimSun"/>
          <w:sz w:val="21"/>
          <w:szCs w:val="21"/>
        </w:rPr>
        <w:t>微信和微博之间的竞争。新兴领域竞争则是指在</w:t>
      </w:r>
      <w:r>
        <w:rPr>
          <w:rFonts w:ascii="SimSun" w:eastAsia="SimSun" w:hAnsi="SimSun" w:cs="SimSun"/>
          <w:spacing w:val="-1"/>
          <w:sz w:val="21"/>
          <w:szCs w:val="21"/>
        </w:rPr>
        <w:t>新兴互联网领域的不同企业之间的竞争。如云计算领域内</w:t>
      </w:r>
      <w:r>
        <w:rPr>
          <w:rFonts w:ascii="SimSun" w:eastAsia="SimSun" w:hAnsi="SimSun" w:cs="SimSun"/>
          <w:sz w:val="21"/>
          <w:szCs w:val="21"/>
        </w:rPr>
        <w:t xml:space="preserve"> </w:t>
      </w:r>
      <w:r>
        <w:rPr>
          <w:rFonts w:ascii="SimSun" w:eastAsia="SimSun" w:hAnsi="SimSun" w:cs="SimSun"/>
          <w:spacing w:val="-2"/>
          <w:sz w:val="21"/>
          <w:szCs w:val="21"/>
        </w:rPr>
        <w:t>的亚马逊、微软和谷歌等企业之间的竞争。</w:t>
      </w:r>
    </w:p>
    <w:p>
      <w:pPr>
        <w:spacing w:before="210" w:line="288" w:lineRule="auto"/>
        <w:ind w:left="235" w:right="15" w:firstLine="20"/>
        <w:jc w:val="both"/>
        <w:rPr>
          <w:rFonts w:ascii="SimSun" w:eastAsia="SimSun" w:hAnsi="SimSun" w:cs="SimSun"/>
          <w:sz w:val="21"/>
          <w:szCs w:val="21"/>
        </w:rPr>
      </w:pPr>
      <w:r>
        <w:rPr>
          <w:rFonts w:ascii="SimSun" w:eastAsia="SimSun" w:hAnsi="SimSun" w:cs="SimSun"/>
          <w:spacing w:val="-3"/>
          <w:sz w:val="21"/>
          <w:szCs w:val="21"/>
        </w:rPr>
        <w:t>巨头垄断和马太效应是互联网行业的重要竞争特点。这些巨头企业拥有先发优势和强大的资金实力，</w:t>
      </w:r>
      <w:r>
        <w:rPr>
          <w:rFonts w:ascii="SimSun" w:eastAsia="SimSun" w:hAnsi="SimSun" w:cs="SimSun"/>
          <w:spacing w:val="-21"/>
          <w:sz w:val="21"/>
          <w:szCs w:val="21"/>
        </w:rPr>
        <w:t xml:space="preserve"> </w:t>
      </w:r>
      <w:r>
        <w:rPr>
          <w:rFonts w:ascii="SimSun" w:eastAsia="SimSun" w:hAnsi="SimSun" w:cs="SimSun"/>
          <w:spacing w:val="-3"/>
          <w:sz w:val="21"/>
          <w:szCs w:val="21"/>
        </w:rPr>
        <w:t xml:space="preserve">能够 </w:t>
      </w:r>
      <w:r>
        <w:rPr>
          <w:rFonts w:ascii="SimSun" w:eastAsia="SimSun" w:hAnsi="SimSun" w:cs="SimSun"/>
          <w:spacing w:val="-1"/>
          <w:sz w:val="21"/>
          <w:szCs w:val="21"/>
        </w:rPr>
        <w:t xml:space="preserve">通过大规模的市场推广和品牌建设来获取更多的用户。此外，它们还通过多元化战略，将业务拓展到其他 </w:t>
      </w:r>
      <w:r>
        <w:rPr>
          <w:rFonts w:ascii="SimSun" w:eastAsia="SimSun" w:hAnsi="SimSun" w:cs="SimSun"/>
          <w:spacing w:val="-7"/>
          <w:sz w:val="21"/>
          <w:szCs w:val="21"/>
        </w:rPr>
        <w:t>相关领域， 以进一步增强自身竞争力。 从资本、技术、用户资源看，</w:t>
      </w:r>
      <w:r>
        <w:rPr>
          <w:rFonts w:ascii="SimSun" w:eastAsia="SimSun" w:hAnsi="SimSun" w:cs="SimSun"/>
          <w:spacing w:val="-9"/>
          <w:sz w:val="21"/>
          <w:szCs w:val="21"/>
        </w:rPr>
        <w:t xml:space="preserve"> </w:t>
      </w:r>
      <w:r>
        <w:rPr>
          <w:rFonts w:ascii="SimSun" w:eastAsia="SimSun" w:hAnsi="SimSun" w:cs="SimSun"/>
          <w:spacing w:val="-7"/>
          <w:sz w:val="21"/>
          <w:szCs w:val="21"/>
        </w:rPr>
        <w:t xml:space="preserve">大企业具备强大的大数据、云计算服 </w:t>
      </w:r>
      <w:r>
        <w:rPr>
          <w:rFonts w:ascii="SimSun" w:eastAsia="SimSun" w:hAnsi="SimSun" w:cs="SimSun"/>
          <w:spacing w:val="-2"/>
          <w:sz w:val="21"/>
          <w:szCs w:val="21"/>
        </w:rPr>
        <w:t>务能力做支撑，产品用户粘性高且规模庞大；</w:t>
      </w:r>
      <w:r>
        <w:rPr>
          <w:rFonts w:ascii="SimSun" w:eastAsia="SimSun" w:hAnsi="SimSun" w:cs="SimSun"/>
          <w:spacing w:val="-26"/>
          <w:sz w:val="21"/>
          <w:szCs w:val="21"/>
        </w:rPr>
        <w:t xml:space="preserve"> </w:t>
      </w:r>
      <w:r>
        <w:rPr>
          <w:rFonts w:ascii="SimSun" w:eastAsia="SimSun" w:hAnsi="SimSun" w:cs="SimSun"/>
          <w:spacing w:val="-2"/>
          <w:sz w:val="21"/>
          <w:szCs w:val="21"/>
        </w:rPr>
        <w:t>企业资本雄</w:t>
      </w:r>
      <w:r>
        <w:rPr>
          <w:rFonts w:ascii="SimSun" w:eastAsia="SimSun" w:hAnsi="SimSun" w:cs="SimSun"/>
          <w:spacing w:val="-3"/>
          <w:sz w:val="21"/>
          <w:szCs w:val="21"/>
        </w:rPr>
        <w:t xml:space="preserve">厚，能够更大力度地进行研发投入和产品技术创 </w:t>
      </w:r>
      <w:r>
        <w:rPr>
          <w:rFonts w:ascii="SimSun" w:eastAsia="SimSun" w:hAnsi="SimSun" w:cs="SimSun"/>
          <w:spacing w:val="-4"/>
          <w:sz w:val="21"/>
          <w:szCs w:val="21"/>
        </w:rPr>
        <w:t>新，</w:t>
      </w:r>
      <w:r>
        <w:rPr>
          <w:rFonts w:ascii="SimSun" w:eastAsia="SimSun" w:hAnsi="SimSun" w:cs="SimSun"/>
          <w:spacing w:val="-28"/>
          <w:sz w:val="21"/>
          <w:szCs w:val="21"/>
        </w:rPr>
        <w:t xml:space="preserve"> </w:t>
      </w:r>
      <w:r>
        <w:rPr>
          <w:rFonts w:ascii="SimSun" w:eastAsia="SimSun" w:hAnsi="SimSun" w:cs="SimSun"/>
          <w:spacing w:val="-4"/>
          <w:sz w:val="21"/>
          <w:szCs w:val="21"/>
        </w:rPr>
        <w:t>并且能够频繁在资本市场投资和收购中小企</w:t>
      </w:r>
      <w:r>
        <w:rPr>
          <w:rFonts w:ascii="SimSun" w:eastAsia="SimSun" w:hAnsi="SimSun" w:cs="SimSun"/>
          <w:spacing w:val="-5"/>
          <w:sz w:val="21"/>
          <w:szCs w:val="21"/>
        </w:rPr>
        <w:t xml:space="preserve">业。在日趋激烈的行业竞争中， 中小互联网企业的生存日 </w:t>
      </w:r>
      <w:r>
        <w:rPr>
          <w:rFonts w:ascii="SimSun" w:eastAsia="SimSun" w:hAnsi="SimSun" w:cs="SimSun"/>
          <w:spacing w:val="-3"/>
          <w:sz w:val="21"/>
          <w:szCs w:val="21"/>
        </w:rPr>
        <w:t>益艰难，而互联网大厂的优势将日益突出，</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年国内</w:t>
      </w:r>
      <w:r>
        <w:rPr>
          <w:rFonts w:ascii="SimSun" w:eastAsia="SimSun" w:hAnsi="SimSun" w:cs="SimSun"/>
          <w:spacing w:val="-34"/>
          <w:sz w:val="21"/>
          <w:szCs w:val="21"/>
        </w:rPr>
        <w:t xml:space="preserve"> </w:t>
      </w:r>
      <w:r>
        <w:rPr>
          <w:rFonts w:ascii="Times New Roman" w:eastAsia="Times New Roman" w:hAnsi="Times New Roman" w:cs="Times New Roman"/>
          <w:spacing w:val="-3"/>
          <w:sz w:val="21"/>
          <w:szCs w:val="21"/>
        </w:rPr>
        <w:t xml:space="preserve">Top10 </w:t>
      </w:r>
      <w:r>
        <w:rPr>
          <w:rFonts w:ascii="SimSun" w:eastAsia="SimSun" w:hAnsi="SimSun" w:cs="SimSun"/>
          <w:spacing w:val="-3"/>
          <w:sz w:val="21"/>
          <w:szCs w:val="21"/>
        </w:rPr>
        <w:t>上市互联网企业营收占比超过</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80%</w:t>
      </w:r>
      <w:r>
        <w:rPr>
          <w:rFonts w:ascii="SimSun" w:eastAsia="SimSun" w:hAnsi="SimSun" w:cs="SimSun"/>
          <w:spacing w:val="-3"/>
          <w:sz w:val="21"/>
          <w:szCs w:val="21"/>
        </w:rPr>
        <w:t xml:space="preserve">，营收增 </w:t>
      </w:r>
      <w:r>
        <w:rPr>
          <w:rFonts w:ascii="SimSun" w:eastAsia="SimSun" w:hAnsi="SimSun" w:cs="SimSun"/>
          <w:spacing w:val="-1"/>
          <w:sz w:val="21"/>
          <w:szCs w:val="21"/>
        </w:rPr>
        <w:t>速为</w:t>
      </w:r>
      <w:r>
        <w:rPr>
          <w:rFonts w:ascii="SimSun" w:eastAsia="SimSun" w:hAnsi="SimSun" w:cs="SimSun"/>
          <w:spacing w:val="-26"/>
          <w:sz w:val="21"/>
          <w:szCs w:val="21"/>
        </w:rPr>
        <w:t xml:space="preserve"> </w:t>
      </w:r>
      <w:r>
        <w:rPr>
          <w:rFonts w:ascii="Times New Roman" w:eastAsia="Times New Roman" w:hAnsi="Times New Roman" w:cs="Times New Roman"/>
          <w:spacing w:val="-1"/>
          <w:sz w:val="21"/>
          <w:szCs w:val="21"/>
        </w:rPr>
        <w:t>5.9%</w:t>
      </w:r>
      <w:r>
        <w:rPr>
          <w:rFonts w:ascii="SimSun" w:eastAsia="SimSun" w:hAnsi="SimSun" w:cs="SimSun"/>
          <w:spacing w:val="-1"/>
          <w:sz w:val="21"/>
          <w:szCs w:val="21"/>
        </w:rPr>
        <w:t>，高于上市互联网企业总营收增速。预计互联网行业发展将不断分化，集中度有望进一步提升。</w:t>
      </w:r>
    </w:p>
    <w:p>
      <w:pPr>
        <w:spacing w:line="274" w:lineRule="auto"/>
        <w:rPr>
          <w:rFonts w:ascii="Arial"/>
          <w:sz w:val="21"/>
        </w:rPr>
      </w:pPr>
    </w:p>
    <w:p>
      <w:pPr>
        <w:spacing w:before="78" w:line="218" w:lineRule="auto"/>
        <w:ind w:left="255"/>
        <w:rPr>
          <w:rFonts w:ascii="SimHei" w:eastAsia="SimHei" w:hAnsi="SimHei" w:cs="SimHei"/>
          <w:sz w:val="24"/>
          <w:szCs w:val="24"/>
        </w:rPr>
      </w:pPr>
      <w:r>
        <w:rPr>
          <w:rFonts w:ascii="Times New Roman" w:eastAsia="Times New Roman" w:hAnsi="Times New Roman" w:cs="Times New Roman"/>
          <w:spacing w:val="-3"/>
          <w:sz w:val="24"/>
          <w:szCs w:val="24"/>
        </w:rPr>
        <w:t>1.2.</w:t>
      </w:r>
      <w:r>
        <w:rPr>
          <w:rFonts w:ascii="Times New Roman" w:eastAsia="Times New Roman" w:hAnsi="Times New Roman" w:cs="Times New Roman"/>
          <w:spacing w:val="14"/>
          <w:sz w:val="24"/>
          <w:szCs w:val="24"/>
        </w:rPr>
        <w:t xml:space="preserve">   </w:t>
      </w:r>
      <w:r>
        <w:rPr>
          <w:rFonts w:ascii="SimHei" w:eastAsia="SimHei" w:hAnsi="SimHei" w:cs="SimHei"/>
          <w:spacing w:val="-3"/>
          <w:sz w:val="24"/>
          <w:szCs w:val="24"/>
        </w:rPr>
        <w:t>软件与信息技术服务行业</w:t>
      </w:r>
    </w:p>
    <w:p>
      <w:pPr>
        <w:spacing w:line="441" w:lineRule="auto"/>
        <w:rPr>
          <w:rFonts w:ascii="Arial"/>
          <w:sz w:val="21"/>
        </w:rPr>
      </w:pPr>
    </w:p>
    <w:p>
      <w:pPr>
        <w:spacing w:before="68" w:line="270" w:lineRule="auto"/>
        <w:ind w:left="236" w:right="86" w:firstLine="9"/>
        <w:jc w:val="both"/>
        <w:rPr>
          <w:rFonts w:ascii="SimHei" w:eastAsia="SimHei" w:hAnsi="SimHei" w:cs="SimHei"/>
          <w:sz w:val="21"/>
          <w:szCs w:val="21"/>
        </w:rPr>
      </w:pPr>
      <w:r>
        <w:rPr>
          <w:rFonts w:ascii="SimHei" w:eastAsia="SimHei" w:hAnsi="SimHei" w:cs="SimHei"/>
          <w:spacing w:val="-4"/>
          <w:sz w:val="21"/>
          <w:szCs w:val="21"/>
        </w:rPr>
        <w:t>受益于国家政策推动以及新一代信息技术和传统产业的融合渗透，</w:t>
      </w:r>
      <w:r>
        <w:rPr>
          <w:rFonts w:ascii="SimHei" w:eastAsia="SimHei" w:hAnsi="SimHei" w:cs="SimHei"/>
          <w:spacing w:val="-59"/>
          <w:sz w:val="21"/>
          <w:szCs w:val="21"/>
        </w:rPr>
        <w:t xml:space="preserve"> </w:t>
      </w:r>
      <w:r>
        <w:rPr>
          <w:rFonts w:ascii="SimHei" w:eastAsia="SimHei" w:hAnsi="SimHei" w:cs="SimHei"/>
          <w:spacing w:val="-4"/>
          <w:sz w:val="21"/>
          <w:szCs w:val="21"/>
        </w:rPr>
        <w:t>信息化需求持续上升，</w:t>
      </w:r>
      <w:r>
        <w:rPr>
          <w:rFonts w:ascii="SimHei" w:eastAsia="SimHei" w:hAnsi="SimHei" w:cs="SimHei"/>
          <w:spacing w:val="-39"/>
          <w:sz w:val="21"/>
          <w:szCs w:val="21"/>
        </w:rPr>
        <w:t xml:space="preserve"> </w:t>
      </w:r>
      <w:r>
        <w:rPr>
          <w:rFonts w:ascii="Times New Roman" w:eastAsia="Times New Roman" w:hAnsi="Times New Roman" w:cs="Times New Roman"/>
          <w:spacing w:val="-4"/>
          <w:sz w:val="21"/>
          <w:szCs w:val="21"/>
        </w:rPr>
        <w:t xml:space="preserve">2022 </w:t>
      </w:r>
      <w:r>
        <w:rPr>
          <w:rFonts w:ascii="SimHei" w:eastAsia="SimHei" w:hAnsi="SimHei" w:cs="SimHei"/>
          <w:spacing w:val="-4"/>
          <w:sz w:val="21"/>
          <w:szCs w:val="21"/>
        </w:rPr>
        <w:t>年</w:t>
      </w:r>
      <w:r>
        <w:rPr>
          <w:rFonts w:ascii="SimHei" w:eastAsia="SimHei" w:hAnsi="SimHei" w:cs="SimHei"/>
          <w:spacing w:val="-5"/>
          <w:sz w:val="21"/>
          <w:szCs w:val="21"/>
        </w:rPr>
        <w:t>以来我国</w:t>
      </w:r>
      <w:r>
        <w:rPr>
          <w:rFonts w:ascii="SimHei" w:eastAsia="SimHei" w:hAnsi="SimHei" w:cs="SimHei"/>
          <w:sz w:val="21"/>
          <w:szCs w:val="21"/>
        </w:rPr>
        <w:t xml:space="preserve"> </w:t>
      </w:r>
      <w:r>
        <w:rPr>
          <w:rFonts w:ascii="SimHei" w:eastAsia="SimHei" w:hAnsi="SimHei" w:cs="SimHei"/>
          <w:spacing w:val="-3"/>
          <w:sz w:val="21"/>
          <w:szCs w:val="21"/>
        </w:rPr>
        <w:t>软件行业持续较快增长，</w:t>
      </w:r>
      <w:r>
        <w:rPr>
          <w:rFonts w:ascii="SimHei" w:eastAsia="SimHei" w:hAnsi="SimHei" w:cs="SimHei"/>
          <w:spacing w:val="-31"/>
          <w:sz w:val="21"/>
          <w:szCs w:val="21"/>
        </w:rPr>
        <w:t xml:space="preserve"> </w:t>
      </w:r>
      <w:r>
        <w:rPr>
          <w:rFonts w:ascii="SimHei" w:eastAsia="SimHei" w:hAnsi="SimHei" w:cs="SimHei"/>
          <w:spacing w:val="-3"/>
          <w:sz w:val="21"/>
          <w:szCs w:val="21"/>
        </w:rPr>
        <w:t>产业规模持续扩大。</w:t>
      </w:r>
      <w:r>
        <w:rPr>
          <w:rFonts w:ascii="SimHei" w:eastAsia="SimHei" w:hAnsi="SimHei" w:cs="SimHei"/>
          <w:spacing w:val="-41"/>
          <w:sz w:val="21"/>
          <w:szCs w:val="21"/>
        </w:rPr>
        <w:t xml:space="preserve"> </w:t>
      </w:r>
      <w:r>
        <w:rPr>
          <w:rFonts w:ascii="SimHei" w:eastAsia="SimHei" w:hAnsi="SimHei" w:cs="SimHei"/>
          <w:spacing w:val="-3"/>
          <w:sz w:val="21"/>
          <w:szCs w:val="21"/>
        </w:rPr>
        <w:t>但</w:t>
      </w:r>
      <w:r>
        <w:rPr>
          <w:rFonts w:ascii="SimHei" w:eastAsia="SimHei" w:hAnsi="SimHei" w:cs="SimHei"/>
          <w:spacing w:val="-4"/>
          <w:sz w:val="21"/>
          <w:szCs w:val="21"/>
        </w:rPr>
        <w:t>软件行业进入门槛相对较低且细分领域广泛，行业内企业</w:t>
      </w:r>
      <w:r>
        <w:rPr>
          <w:rFonts w:ascii="SimHei" w:eastAsia="SimHei" w:hAnsi="SimHei" w:cs="SimHei"/>
          <w:sz w:val="21"/>
          <w:szCs w:val="21"/>
        </w:rPr>
        <w:t xml:space="preserve"> </w:t>
      </w:r>
      <w:r>
        <w:rPr>
          <w:rFonts w:ascii="SimHei" w:eastAsia="SimHei" w:hAnsi="SimHei" w:cs="SimHei"/>
          <w:spacing w:val="-4"/>
          <w:sz w:val="21"/>
          <w:szCs w:val="21"/>
        </w:rPr>
        <w:t>数量众多，</w:t>
      </w:r>
      <w:r>
        <w:rPr>
          <w:rFonts w:ascii="SimHei" w:eastAsia="SimHei" w:hAnsi="SimHei" w:cs="SimHei"/>
          <w:spacing w:val="-21"/>
          <w:sz w:val="21"/>
          <w:szCs w:val="21"/>
        </w:rPr>
        <w:t xml:space="preserve"> </w:t>
      </w:r>
      <w:r>
        <w:rPr>
          <w:rFonts w:ascii="SimHei" w:eastAsia="SimHei" w:hAnsi="SimHei" w:cs="SimHei"/>
          <w:spacing w:val="-4"/>
          <w:sz w:val="21"/>
          <w:szCs w:val="21"/>
        </w:rPr>
        <w:t>集中度低，企业规模普遍偏小偏弱且缺乏核心竞争力，</w:t>
      </w:r>
      <w:r>
        <w:rPr>
          <w:rFonts w:ascii="SimHei" w:eastAsia="SimHei" w:hAnsi="SimHei" w:cs="SimHei"/>
          <w:spacing w:val="-4"/>
          <w:sz w:val="21"/>
          <w:szCs w:val="21"/>
        </w:rPr>
        <w:t xml:space="preserve"> </w:t>
      </w:r>
      <w:r>
        <w:rPr>
          <w:rFonts w:ascii="SimHei" w:eastAsia="SimHei" w:hAnsi="SimHei" w:cs="SimHei"/>
          <w:spacing w:val="-4"/>
          <w:sz w:val="21"/>
          <w:szCs w:val="21"/>
        </w:rPr>
        <w:t>同质化竞争严重，盈利</w:t>
      </w:r>
      <w:r>
        <w:rPr>
          <w:rFonts w:ascii="SimHei" w:eastAsia="SimHei" w:hAnsi="SimHei" w:cs="SimHei"/>
          <w:spacing w:val="-5"/>
          <w:sz w:val="21"/>
          <w:szCs w:val="21"/>
        </w:rPr>
        <w:t>能力仍较弱。</w:t>
      </w:r>
    </w:p>
    <w:p>
      <w:pPr>
        <w:spacing w:before="217" w:line="280" w:lineRule="auto"/>
        <w:ind w:left="236" w:right="87" w:firstLine="1"/>
        <w:jc w:val="both"/>
        <w:rPr>
          <w:rFonts w:ascii="SimSun" w:eastAsia="SimSun" w:hAnsi="SimSun" w:cs="SimSun"/>
          <w:sz w:val="21"/>
          <w:szCs w:val="21"/>
        </w:rPr>
      </w:pPr>
      <w:r>
        <w:rPr>
          <w:rFonts w:ascii="SimSun" w:eastAsia="SimSun" w:hAnsi="SimSun" w:cs="SimSun"/>
          <w:spacing w:val="-3"/>
          <w:sz w:val="21"/>
          <w:szCs w:val="21"/>
        </w:rPr>
        <w:t>软件行业作为支柱性产业，受益于国家政策的持续大力推动，</w:t>
      </w:r>
      <w:r>
        <w:rPr>
          <w:rFonts w:ascii="SimSun" w:eastAsia="SimSun" w:hAnsi="SimSun" w:cs="SimSun"/>
          <w:spacing w:val="-30"/>
          <w:sz w:val="21"/>
          <w:szCs w:val="21"/>
        </w:rPr>
        <w:t xml:space="preserve"> </w:t>
      </w:r>
      <w:r>
        <w:rPr>
          <w:rFonts w:ascii="Times New Roman" w:eastAsia="Times New Roman" w:hAnsi="Times New Roman" w:cs="Times New Roman"/>
          <w:spacing w:val="-3"/>
          <w:sz w:val="21"/>
          <w:szCs w:val="21"/>
        </w:rPr>
        <w:t>5G</w:t>
      </w:r>
      <w:r>
        <w:rPr>
          <w:rFonts w:ascii="SimSun" w:eastAsia="SimSun" w:hAnsi="SimSun" w:cs="SimSun"/>
          <w:spacing w:val="-3"/>
          <w:sz w:val="21"/>
          <w:szCs w:val="21"/>
        </w:rPr>
        <w:t>、大数据、云计算、人</w:t>
      </w:r>
      <w:r>
        <w:rPr>
          <w:rFonts w:ascii="SimSun" w:eastAsia="SimSun" w:hAnsi="SimSun" w:cs="SimSun"/>
          <w:spacing w:val="-4"/>
          <w:sz w:val="21"/>
          <w:szCs w:val="21"/>
        </w:rPr>
        <w:t>工智能、物联网等</w:t>
      </w:r>
      <w:r>
        <w:rPr>
          <w:rFonts w:ascii="SimSun" w:eastAsia="SimSun" w:hAnsi="SimSun" w:cs="SimSun"/>
          <w:sz w:val="21"/>
          <w:szCs w:val="21"/>
        </w:rPr>
        <w:t xml:space="preserve"> </w:t>
      </w:r>
      <w:r>
        <w:rPr>
          <w:rFonts w:ascii="SimSun" w:eastAsia="SimSun" w:hAnsi="SimSun" w:cs="SimSun"/>
          <w:sz w:val="21"/>
          <w:szCs w:val="21"/>
        </w:rPr>
        <w:t>新一代信息技术与传统产业的融合渗透，以及</w:t>
      </w:r>
      <w:r>
        <w:rPr>
          <w:rFonts w:ascii="SimSun" w:eastAsia="SimSun" w:hAnsi="SimSun" w:cs="SimSun"/>
          <w:spacing w:val="-1"/>
          <w:sz w:val="21"/>
          <w:szCs w:val="21"/>
        </w:rPr>
        <w:t>我国制造业、金融、电力和交通等各个行业信息化需求不断</w:t>
      </w:r>
      <w:r>
        <w:rPr>
          <w:rFonts w:ascii="SimSun" w:eastAsia="SimSun" w:hAnsi="SimSun" w:cs="SimSun"/>
          <w:sz w:val="21"/>
          <w:szCs w:val="21"/>
        </w:rPr>
        <w:t xml:space="preserve"> </w:t>
      </w:r>
      <w:r>
        <w:rPr>
          <w:rFonts w:ascii="SimSun" w:eastAsia="SimSun" w:hAnsi="SimSun" w:cs="SimSun"/>
          <w:sz w:val="21"/>
          <w:szCs w:val="21"/>
        </w:rPr>
        <w:t>增长，</w:t>
      </w:r>
      <w:r>
        <w:rPr>
          <w:rFonts w:ascii="Times New Roman" w:eastAsia="Times New Roman" w:hAnsi="Times New Roman" w:cs="Times New Roman"/>
          <w:sz w:val="21"/>
          <w:szCs w:val="21"/>
        </w:rPr>
        <w:t xml:space="preserve">2022 </w:t>
      </w:r>
      <w:r>
        <w:rPr>
          <w:rFonts w:ascii="SimSun" w:eastAsia="SimSun" w:hAnsi="SimSun" w:cs="SimSun"/>
          <w:sz w:val="21"/>
          <w:szCs w:val="21"/>
        </w:rPr>
        <w:t>年以来继续保持较快发展，产业规模</w:t>
      </w:r>
      <w:r>
        <w:rPr>
          <w:rFonts w:ascii="SimSun" w:eastAsia="SimSun" w:hAnsi="SimSun" w:cs="SimSun"/>
          <w:spacing w:val="-1"/>
          <w:sz w:val="21"/>
          <w:szCs w:val="21"/>
        </w:rPr>
        <w:t>持续扩大。</w:t>
      </w:r>
      <w:r>
        <w:rPr>
          <w:rFonts w:ascii="Times New Roman" w:eastAsia="Times New Roman" w:hAnsi="Times New Roman" w:cs="Times New Roman"/>
          <w:spacing w:val="-1"/>
          <w:sz w:val="21"/>
          <w:szCs w:val="21"/>
        </w:rPr>
        <w:t xml:space="preserve">2022 </w:t>
      </w:r>
      <w:r>
        <w:rPr>
          <w:rFonts w:ascii="SimSun" w:eastAsia="SimSun" w:hAnsi="SimSun" w:cs="SimSun"/>
          <w:spacing w:val="-1"/>
          <w:sz w:val="21"/>
          <w:szCs w:val="21"/>
        </w:rPr>
        <w:t>年及</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年前三季度全行业完成软件业</w:t>
      </w:r>
      <w:r>
        <w:rPr>
          <w:rFonts w:ascii="SimSun" w:eastAsia="SimSun" w:hAnsi="SimSun" w:cs="SimSun"/>
          <w:sz w:val="21"/>
          <w:szCs w:val="21"/>
        </w:rPr>
        <w:t xml:space="preserve"> </w:t>
      </w:r>
      <w:r>
        <w:rPr>
          <w:rFonts w:ascii="SimSun" w:eastAsia="SimSun" w:hAnsi="SimSun" w:cs="SimSun"/>
          <w:spacing w:val="-2"/>
          <w:sz w:val="21"/>
          <w:szCs w:val="21"/>
        </w:rPr>
        <w:t>务收入分别为</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 xml:space="preserve">108126 </w:t>
      </w:r>
      <w:r>
        <w:rPr>
          <w:rFonts w:ascii="SimSun" w:eastAsia="SimSun" w:hAnsi="SimSun" w:cs="SimSun"/>
          <w:spacing w:val="-2"/>
          <w:sz w:val="21"/>
          <w:szCs w:val="21"/>
        </w:rPr>
        <w:t>亿元和</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 xml:space="preserve">87610 </w:t>
      </w:r>
      <w:r>
        <w:rPr>
          <w:rFonts w:ascii="SimSun" w:eastAsia="SimSun" w:hAnsi="SimSun" w:cs="SimSun"/>
          <w:spacing w:val="-2"/>
          <w:sz w:val="21"/>
          <w:szCs w:val="21"/>
        </w:rPr>
        <w:t>亿元，分别同比增长</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13.82%</w:t>
      </w:r>
      <w:r>
        <w:rPr>
          <w:rFonts w:ascii="SimSun" w:eastAsia="SimSun" w:hAnsi="SimSun" w:cs="SimSun"/>
          <w:spacing w:val="-2"/>
          <w:sz w:val="21"/>
          <w:szCs w:val="21"/>
        </w:rPr>
        <w:t>和</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13.5</w:t>
      </w:r>
      <w:r>
        <w:rPr>
          <w:rFonts w:ascii="Times New Roman" w:eastAsia="Times New Roman" w:hAnsi="Times New Roman" w:cs="Times New Roman"/>
          <w:spacing w:val="-3"/>
          <w:sz w:val="21"/>
          <w:szCs w:val="21"/>
        </w:rPr>
        <w:t>0%</w:t>
      </w:r>
      <w:r>
        <w:rPr>
          <w:rFonts w:ascii="SimSun" w:eastAsia="SimSun" w:hAnsi="SimSun" w:cs="SimSun"/>
          <w:spacing w:val="-3"/>
          <w:sz w:val="21"/>
          <w:szCs w:val="21"/>
        </w:rPr>
        <w:t>。</w:t>
      </w:r>
    </w:p>
    <w:p>
      <w:pPr>
        <w:spacing w:before="141" w:line="218" w:lineRule="auto"/>
        <w:ind w:left="361"/>
        <w:rPr>
          <w:rFonts w:ascii="SimHei" w:eastAsia="SimHei" w:hAnsi="SimHei" w:cs="SimHei"/>
          <w:sz w:val="18"/>
          <w:szCs w:val="18"/>
        </w:rPr>
      </w:pPr>
      <w:r>
        <w:rPr>
          <w:rFonts w:ascii="SimHei" w:eastAsia="SimHei" w:hAnsi="SimHei" w:cs="SimHei"/>
          <w:spacing w:val="-1"/>
          <w:sz w:val="18"/>
          <w:szCs w:val="18"/>
        </w:rPr>
        <w:t>图表</w:t>
      </w:r>
      <w:r>
        <w:rPr>
          <w:rFonts w:ascii="SimHei" w:eastAsia="SimHei" w:hAnsi="SimHei" w:cs="SimHei"/>
          <w:spacing w:val="-36"/>
          <w:sz w:val="18"/>
          <w:szCs w:val="18"/>
        </w:rPr>
        <w:t xml:space="preserve"> </w:t>
      </w:r>
      <w:r>
        <w:rPr>
          <w:rFonts w:ascii="Times New Roman" w:eastAsia="Times New Roman" w:hAnsi="Times New Roman" w:cs="Times New Roman"/>
          <w:spacing w:val="-1"/>
          <w:sz w:val="18"/>
          <w:szCs w:val="18"/>
        </w:rPr>
        <w:t>5.</w:t>
      </w:r>
      <w:r>
        <w:rPr>
          <w:rFonts w:ascii="Times New Roman" w:eastAsia="Times New Roman" w:hAnsi="Times New Roman" w:cs="Times New Roman"/>
          <w:spacing w:val="12"/>
          <w:sz w:val="18"/>
          <w:szCs w:val="18"/>
        </w:rPr>
        <w:t xml:space="preserve"> </w:t>
      </w:r>
      <w:r>
        <w:rPr>
          <w:rFonts w:ascii="Times New Roman" w:eastAsia="Times New Roman" w:hAnsi="Times New Roman" w:cs="Times New Roman"/>
          <w:spacing w:val="-1"/>
          <w:sz w:val="18"/>
          <w:szCs w:val="18"/>
        </w:rPr>
        <w:t xml:space="preserve">2018 </w:t>
      </w:r>
      <w:r>
        <w:rPr>
          <w:rFonts w:ascii="SimHei" w:eastAsia="SimHei" w:hAnsi="SimHei" w:cs="SimHei"/>
          <w:spacing w:val="-1"/>
          <w:sz w:val="18"/>
          <w:szCs w:val="18"/>
        </w:rPr>
        <w:t>年以来我国规模以上软件企业业务收入情况</w:t>
      </w:r>
    </w:p>
    <w:p>
      <w:pPr>
        <w:spacing w:line="221" w:lineRule="exact"/>
      </w:pPr>
    </w:p>
    <w:p>
      <w:pPr>
        <w:spacing w:line="221" w:lineRule="exact"/>
        <w:sectPr>
          <w:headerReference w:type="default" r:id="rId39"/>
          <w:footerReference w:type="default" r:id="rId40"/>
          <w:pgSz w:w="11907" w:h="16839"/>
          <w:pgMar w:top="1336" w:right="1041" w:bottom="1269" w:left="905" w:header="1148" w:footer="1077" w:gutter="0"/>
          <w:pgNumType w:start="14"/>
          <w:cols w:num="1" w:space="708" w:equalWidth="0">
            <w:col w:w="9960" w:space="0"/>
          </w:cols>
        </w:sectPr>
      </w:pPr>
    </w:p>
    <w:p>
      <w:pPr>
        <w:spacing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120000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110000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100000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90000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80000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70000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60000</w:t>
      </w:r>
    </w:p>
    <w:p>
      <w:pPr>
        <w:spacing w:before="258" w:line="187" w:lineRule="auto"/>
        <w:jc w:val="right"/>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50000</w:t>
      </w:r>
    </w:p>
    <w:p>
      <w:pPr>
        <w:spacing w:line="14" w:lineRule="auto"/>
        <w:rPr>
          <w:rFonts w:ascii="Arial"/>
          <w:sz w:val="2"/>
        </w:rPr>
      </w:pPr>
      <w:r>
        <w:rPr>
          <w:rFonts w:ascii="Arial" w:eastAsia="Arial" w:hAnsi="Arial" w:cs="Arial"/>
          <w:sz w:val="2"/>
          <w:szCs w:val="2"/>
        </w:rPr>
        <w:br w:type="column"/>
      </w:r>
    </w:p>
    <w:p>
      <w:pPr>
        <w:spacing w:line="28" w:lineRule="exact"/>
      </w:pPr>
    </w:p>
    <w:tbl>
      <w:tblPr>
        <w:tblStyle w:val="TableNormal4"/>
        <w:tblW w:w="8433" w:type="dxa"/>
        <w:tblInd w:w="0" w:type="dxa"/>
        <w:tblBorders>
          <w:top w:val="nil"/>
          <w:left w:val="nil"/>
          <w:bottom w:val="nil"/>
          <w:right w:val="nil"/>
          <w:insideH w:val="nil"/>
          <w:insideV w:val="nil"/>
        </w:tblBorders>
        <w:tblLayout w:type="fixed"/>
      </w:tblPr>
      <w:tblGrid>
        <w:gridCol w:w="504"/>
        <w:gridCol w:w="3701"/>
        <w:gridCol w:w="1421"/>
        <w:gridCol w:w="1368"/>
        <w:gridCol w:w="969"/>
        <w:gridCol w:w="470"/>
      </w:tblGrid>
      <w:tr>
        <w:tblPrEx>
          <w:tblW w:w="8433" w:type="dxa"/>
          <w:tblInd w:w="0" w:type="dxa"/>
          <w:tblBorders>
            <w:top w:val="nil"/>
            <w:left w:val="nil"/>
            <w:bottom w:val="nil"/>
            <w:right w:val="nil"/>
            <w:insideH w:val="nil"/>
            <w:insideV w:val="nil"/>
          </w:tblBorders>
          <w:tblLayout w:type="fixed"/>
        </w:tblPrEx>
        <w:trPr>
          <w:trHeight w:val="344"/>
        </w:trPr>
        <w:tc>
          <w:tcPr>
            <w:tcW w:w="504" w:type="dxa"/>
            <w:tcBorders>
              <w:top w:val="single" w:sz="4" w:space="0" w:color="D9D9D9"/>
              <w:bottom w:val="single" w:sz="4" w:space="0" w:color="D9D9D9"/>
            </w:tcBorders>
            <w:vAlign w:val="top"/>
          </w:tcPr>
          <w:p>
            <w:pPr>
              <w:rPr>
                <w:rFonts w:ascii="Arial"/>
                <w:sz w:val="21"/>
              </w:rPr>
            </w:pPr>
          </w:p>
        </w:tc>
        <w:tc>
          <w:tcPr>
            <w:tcW w:w="3701" w:type="dxa"/>
            <w:tcBorders>
              <w:top w:val="single" w:sz="4" w:space="0" w:color="D9D9D9"/>
              <w:bottom w:val="single" w:sz="4" w:space="0" w:color="D9D9D9"/>
            </w:tcBorders>
            <w:vAlign w:val="top"/>
          </w:tcPr>
          <w:p>
            <w:pPr>
              <w:rPr>
                <w:rFonts w:ascii="Arial"/>
                <w:sz w:val="21"/>
              </w:rPr>
            </w:pPr>
          </w:p>
        </w:tc>
        <w:tc>
          <w:tcPr>
            <w:tcW w:w="1421" w:type="dxa"/>
            <w:tcBorders>
              <w:top w:val="single" w:sz="4" w:space="0" w:color="D9D9D9"/>
              <w:bottom w:val="single" w:sz="4" w:space="0" w:color="D9D9D9"/>
            </w:tcBorders>
            <w:vAlign w:val="top"/>
          </w:tcPr>
          <w:p>
            <w:pPr>
              <w:spacing w:before="48" w:line="187" w:lineRule="auto"/>
              <w:ind w:left="569"/>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17.70%</w:t>
            </w:r>
          </w:p>
        </w:tc>
        <w:tc>
          <w:tcPr>
            <w:tcW w:w="1368" w:type="dxa"/>
            <w:tcBorders>
              <w:top w:val="single" w:sz="4" w:space="0" w:color="D9D9D9"/>
              <w:bottom w:val="single" w:sz="4" w:space="0" w:color="D9D9D9"/>
            </w:tcBorders>
            <w:vAlign w:val="top"/>
          </w:tcPr>
          <w:p>
            <w:pPr>
              <w:rPr>
                <w:rFonts w:ascii="Arial"/>
                <w:sz w:val="21"/>
              </w:rPr>
            </w:pPr>
            <w:r>
              <w:pict>
                <v:shape id="_x0000_s1102" type="#_x0000_t202" style="width:16.55pt;height:6.5pt;margin-top:10.57pt;margin-left:-41.45pt;mso-position-horizontal-relative:right-margin-area;mso-position-vertical-relative:top-margin-area;position:absolute;z-index:251734016"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108126</w:t>
                        </w:r>
                      </w:p>
                    </w:txbxContent>
                  </v:textbox>
                </v:shape>
              </w:pict>
            </w:r>
          </w:p>
        </w:tc>
        <w:tc>
          <w:tcPr>
            <w:tcW w:w="969" w:type="dxa"/>
            <w:tcBorders>
              <w:top w:val="single" w:sz="4" w:space="0" w:color="D9D9D9"/>
              <w:bottom w:val="single" w:sz="4" w:space="0" w:color="D9D9D9"/>
            </w:tcBorders>
            <w:vAlign w:val="top"/>
          </w:tcPr>
          <w:p>
            <w:pPr>
              <w:rPr>
                <w:rFonts w:ascii="Arial"/>
                <w:sz w:val="21"/>
              </w:rPr>
            </w:pPr>
          </w:p>
        </w:tc>
        <w:tc>
          <w:tcPr>
            <w:tcW w:w="470"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38"/>
        </w:trPr>
        <w:tc>
          <w:tcPr>
            <w:tcW w:w="504" w:type="dxa"/>
            <w:vMerge w:val="restart"/>
            <w:tcBorders>
              <w:top w:val="single" w:sz="4" w:space="0" w:color="D9D9D9"/>
              <w:bottom w:val="nil"/>
            </w:tcBorders>
            <w:vAlign w:val="top"/>
          </w:tcPr>
          <w:p>
            <w:pPr>
              <w:rPr>
                <w:rFonts w:ascii="Arial"/>
                <w:sz w:val="21"/>
              </w:rPr>
            </w:pPr>
          </w:p>
        </w:tc>
        <w:tc>
          <w:tcPr>
            <w:tcW w:w="3701" w:type="dxa"/>
            <w:tcBorders>
              <w:top w:val="single" w:sz="4" w:space="0" w:color="D9D9D9"/>
            </w:tcBorders>
            <w:vAlign w:val="top"/>
          </w:tcPr>
          <w:p>
            <w:pPr>
              <w:spacing w:line="27" w:lineRule="exact"/>
              <w:rPr>
                <w:rFonts w:ascii="Arial"/>
                <w:sz w:val="2"/>
              </w:rPr>
            </w:pPr>
            <w:r>
              <w:pict>
                <v:shape id="_x0000_s1103" type="#_x0000_t202" style="width:17.05pt;height:6.5pt;margin-top:-2.28pt;margin-left:-113.12pt;mso-position-horizontal-relative:right-margin-area;mso-position-vertical-relative:top-margin-area;position:absolute;z-index:251732992"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15.40%</w:t>
                        </w:r>
                      </w:p>
                    </w:txbxContent>
                  </v:textbox>
                </v:shape>
              </w:pict>
            </w:r>
          </w:p>
        </w:tc>
        <w:tc>
          <w:tcPr>
            <w:tcW w:w="1421" w:type="dxa"/>
            <w:tcBorders>
              <w:top w:val="single" w:sz="4" w:space="0" w:color="D9D9D9"/>
            </w:tcBorders>
            <w:vAlign w:val="top"/>
          </w:tcPr>
          <w:p>
            <w:pPr>
              <w:spacing w:line="27" w:lineRule="exact"/>
              <w:rPr>
                <w:rFonts w:ascii="Arial"/>
                <w:sz w:val="2"/>
              </w:rPr>
            </w:pPr>
          </w:p>
        </w:tc>
        <w:tc>
          <w:tcPr>
            <w:tcW w:w="1368" w:type="dxa"/>
            <w:tcBorders>
              <w:top w:val="single" w:sz="4" w:space="0" w:color="D9D9D9"/>
            </w:tcBorders>
            <w:vAlign w:val="top"/>
          </w:tcPr>
          <w:p>
            <w:pPr>
              <w:spacing w:line="27" w:lineRule="exact"/>
              <w:rPr>
                <w:rFonts w:ascii="Arial"/>
                <w:sz w:val="2"/>
              </w:rPr>
            </w:pPr>
          </w:p>
        </w:tc>
        <w:tc>
          <w:tcPr>
            <w:tcW w:w="969" w:type="dxa"/>
            <w:tcBorders>
              <w:top w:val="single" w:sz="4" w:space="0" w:color="D9D9D9"/>
            </w:tcBorders>
            <w:vAlign w:val="top"/>
          </w:tcPr>
          <w:p>
            <w:pPr>
              <w:spacing w:line="27" w:lineRule="exact"/>
              <w:rPr>
                <w:rFonts w:ascii="Arial"/>
                <w:sz w:val="2"/>
              </w:rPr>
            </w:pPr>
          </w:p>
        </w:tc>
        <w:tc>
          <w:tcPr>
            <w:tcW w:w="470" w:type="dxa"/>
            <w:vMerge w:val="restart"/>
            <w:tcBorders>
              <w:top w:val="single" w:sz="4" w:space="0" w:color="D9D9D9"/>
              <w:bottom w:val="nil"/>
            </w:tcBorders>
            <w:vAlign w:val="top"/>
          </w:tcPr>
          <w:p>
            <w:pPr>
              <w:rPr>
                <w:rFonts w:ascii="Arial"/>
                <w:sz w:val="21"/>
              </w:rPr>
            </w:pPr>
          </w:p>
        </w:tc>
      </w:tr>
      <w:tr>
        <w:tblPrEx>
          <w:tblW w:w="8433" w:type="dxa"/>
          <w:tblInd w:w="0" w:type="dxa"/>
          <w:tblLayout w:type="fixed"/>
        </w:tblPrEx>
        <w:trPr>
          <w:trHeight w:val="299"/>
        </w:trPr>
        <w:tc>
          <w:tcPr>
            <w:tcW w:w="504" w:type="dxa"/>
            <w:vMerge/>
            <w:tcBorders>
              <w:top w:val="nil"/>
              <w:bottom w:val="single" w:sz="4" w:space="0" w:color="D9D9D9"/>
            </w:tcBorders>
            <w:vAlign w:val="top"/>
          </w:tcPr>
          <w:p>
            <w:pPr>
              <w:rPr>
                <w:rFonts w:ascii="Arial"/>
                <w:sz w:val="21"/>
              </w:rPr>
            </w:pPr>
          </w:p>
        </w:tc>
        <w:tc>
          <w:tcPr>
            <w:tcW w:w="3701" w:type="dxa"/>
            <w:tcBorders>
              <w:bottom w:val="single" w:sz="4" w:space="0" w:color="D9D9D9"/>
            </w:tcBorders>
            <w:vAlign w:val="top"/>
          </w:tcPr>
          <w:p>
            <w:pPr>
              <w:rPr>
                <w:rFonts w:ascii="Arial"/>
                <w:sz w:val="21"/>
              </w:rPr>
            </w:pPr>
            <w:r>
              <w:pict>
                <v:shape id="_x0000_s1104" type="#_x0000_t202" style="width:17.05pt;height:6.5pt;margin-top:3.11pt;margin-left:-183.42pt;mso-position-horizontal-relative:right-margin-area;mso-position-vertical-relative:top-margin-area;position:absolute;z-index:251735040"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14.20%</w:t>
                        </w:r>
                      </w:p>
                    </w:txbxContent>
                  </v:textbox>
                </v:shape>
              </w:pict>
            </w:r>
          </w:p>
        </w:tc>
        <w:tc>
          <w:tcPr>
            <w:tcW w:w="1421" w:type="dxa"/>
            <w:tcBorders>
              <w:bottom w:val="single" w:sz="4" w:space="0" w:color="D9D9D9"/>
            </w:tcBorders>
            <w:vAlign w:val="top"/>
          </w:tcPr>
          <w:p>
            <w:pPr>
              <w:rPr>
                <w:rFonts w:ascii="Arial"/>
                <w:sz w:val="21"/>
              </w:rPr>
            </w:pPr>
          </w:p>
        </w:tc>
        <w:tc>
          <w:tcPr>
            <w:tcW w:w="1368" w:type="dxa"/>
            <w:tcBorders>
              <w:bottom w:val="single" w:sz="4" w:space="0" w:color="D9D9D9"/>
            </w:tcBorders>
            <w:vAlign w:val="top"/>
          </w:tcPr>
          <w:p>
            <w:pPr>
              <w:rPr>
                <w:rFonts w:ascii="Arial"/>
                <w:sz w:val="21"/>
              </w:rPr>
            </w:pPr>
          </w:p>
        </w:tc>
        <w:tc>
          <w:tcPr>
            <w:tcW w:w="969" w:type="dxa"/>
            <w:tcBorders>
              <w:bottom w:val="single" w:sz="4" w:space="0" w:color="D9D9D9"/>
            </w:tcBorders>
            <w:vAlign w:val="top"/>
          </w:tcPr>
          <w:p>
            <w:pPr>
              <w:rPr>
                <w:rFonts w:ascii="Arial"/>
                <w:sz w:val="21"/>
              </w:rPr>
            </w:pPr>
          </w:p>
        </w:tc>
        <w:tc>
          <w:tcPr>
            <w:tcW w:w="470" w:type="dxa"/>
            <w:vMerge/>
            <w:tcBorders>
              <w:top w:val="nil"/>
              <w:bottom w:val="single" w:sz="4" w:space="0" w:color="D9D9D9"/>
            </w:tcBorders>
            <w:vAlign w:val="top"/>
          </w:tcPr>
          <w:p>
            <w:pPr>
              <w:rPr>
                <w:rFonts w:ascii="Arial"/>
                <w:sz w:val="21"/>
              </w:rPr>
            </w:pPr>
          </w:p>
        </w:tc>
      </w:tr>
      <w:tr>
        <w:tblPrEx>
          <w:tblW w:w="8433" w:type="dxa"/>
          <w:tblInd w:w="0" w:type="dxa"/>
          <w:tblLayout w:type="fixed"/>
        </w:tblPrEx>
        <w:trPr>
          <w:trHeight w:val="334"/>
        </w:trPr>
        <w:tc>
          <w:tcPr>
            <w:tcW w:w="504" w:type="dxa"/>
            <w:tcBorders>
              <w:top w:val="single" w:sz="4" w:space="0" w:color="D9D9D9"/>
              <w:bottom w:val="single" w:sz="4" w:space="0" w:color="D9D9D9"/>
            </w:tcBorders>
            <w:vAlign w:val="top"/>
          </w:tcPr>
          <w:p>
            <w:pPr>
              <w:rPr>
                <w:rFonts w:ascii="Arial"/>
                <w:sz w:val="21"/>
              </w:rPr>
            </w:pPr>
          </w:p>
        </w:tc>
        <w:tc>
          <w:tcPr>
            <w:tcW w:w="3701" w:type="dxa"/>
            <w:tcBorders>
              <w:top w:val="single" w:sz="4" w:space="0" w:color="D9D9D9"/>
              <w:bottom w:val="single" w:sz="4" w:space="0" w:color="D9D9D9"/>
            </w:tcBorders>
            <w:vAlign w:val="top"/>
          </w:tcPr>
          <w:p>
            <w:pPr>
              <w:rPr>
                <w:rFonts w:ascii="Arial"/>
                <w:sz w:val="21"/>
              </w:rPr>
            </w:pPr>
            <w:r>
              <w:pict>
                <v:shape id="_x0000_s1105" type="#_x0000_t202" style="width:17.05pt;height:6.5pt;margin-top:4.85pt;margin-left:-48.61pt;mso-position-horizontal-relative:right-margin-area;mso-position-vertical-relative:top-margin-area;position:absolute;z-index:251738112"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13.30%</w:t>
                        </w:r>
                      </w:p>
                    </w:txbxContent>
                  </v:textbox>
                </v:shape>
              </w:pict>
            </w:r>
          </w:p>
        </w:tc>
        <w:tc>
          <w:tcPr>
            <w:tcW w:w="1421" w:type="dxa"/>
            <w:tcBorders>
              <w:top w:val="single" w:sz="4" w:space="0" w:color="D9D9D9"/>
              <w:bottom w:val="single" w:sz="4" w:space="0" w:color="D9D9D9"/>
            </w:tcBorders>
            <w:vAlign w:val="top"/>
          </w:tcPr>
          <w:p>
            <w:pPr>
              <w:rPr>
                <w:rFonts w:ascii="Arial"/>
                <w:sz w:val="21"/>
              </w:rPr>
            </w:pPr>
            <w:r>
              <w:pict>
                <v:shape id="_x0000_s1106" type="#_x0000_t202" style="width:14.4pt;height:6.5pt;margin-top:-1.66pt;margin-left:-42.41pt;mso-position-horizontal-relative:right-margin-area;mso-position-vertical-relative:top-margin-area;position:absolute;z-index:251739136"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1"/>
                            <w:sz w:val="10"/>
                            <w:szCs w:val="10"/>
                          </w:rPr>
                          <w:t>94994</w:t>
                        </w:r>
                      </w:p>
                    </w:txbxContent>
                  </v:textbox>
                </v:shape>
              </w:pict>
            </w:r>
          </w:p>
        </w:tc>
        <w:tc>
          <w:tcPr>
            <w:tcW w:w="1368" w:type="dxa"/>
            <w:tcBorders>
              <w:top w:val="single" w:sz="4" w:space="0" w:color="D9D9D9"/>
              <w:bottom w:val="single" w:sz="4" w:space="0" w:color="D9D9D9"/>
            </w:tcBorders>
            <w:vAlign w:val="top"/>
          </w:tcPr>
          <w:p>
            <w:pPr>
              <w:rPr>
                <w:rFonts w:ascii="Arial"/>
                <w:sz w:val="21"/>
              </w:rPr>
            </w:pPr>
            <w:r>
              <w:pict>
                <v:shape id="_x0000_s1107" type="#_x0000_t202" style="width:17.05pt;height:6.5pt;margin-top:5.93pt;margin-left:-41.69pt;mso-position-horizontal-relative:right-margin-area;mso-position-vertical-relative:top-margin-area;position:absolute;z-index:251737088"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11.20%</w:t>
                        </w:r>
                      </w:p>
                    </w:txbxContent>
                  </v:textbox>
                </v:shape>
              </w:pict>
            </w:r>
          </w:p>
        </w:tc>
        <w:tc>
          <w:tcPr>
            <w:tcW w:w="969" w:type="dxa"/>
            <w:tcBorders>
              <w:top w:val="single" w:sz="4" w:space="0" w:color="D9D9D9"/>
              <w:bottom w:val="single" w:sz="4" w:space="0" w:color="D9D9D9"/>
            </w:tcBorders>
            <w:vAlign w:val="top"/>
          </w:tcPr>
          <w:p>
            <w:pPr>
              <w:rPr>
                <w:rFonts w:ascii="Arial"/>
                <w:sz w:val="21"/>
              </w:rPr>
            </w:pPr>
            <w:r>
              <w:pict>
                <v:shape id="_x0000_s1108" type="#_x0000_t202" style="width:19.35pt;height:11.9pt;margin-top:5.81pt;margin-left:-23.61pt;mso-position-horizontal-relative:right-margin-area;mso-position-vertical-relative:top-margin-area;position:absolute;z-index:251736064" filled="f" stroked="f">
                  <o:lock v:ext="edit" aspectratio="f"/>
                  <v:textbox inset="0,0,0,0">
                    <w:txbxContent>
                      <w:p>
                        <w:pPr>
                          <w:spacing w:before="19" w:line="206" w:lineRule="auto"/>
                          <w:ind w:left="120" w:right="20" w:hanging="100"/>
                          <w:rPr>
                            <w:rFonts w:ascii="Times New Roman" w:eastAsia="Times New Roman" w:hAnsi="Times New Roman" w:cs="Times New Roman"/>
                            <w:sz w:val="10"/>
                            <w:szCs w:val="10"/>
                          </w:rPr>
                        </w:pPr>
                        <w:r>
                          <w:rPr>
                            <w:rFonts w:ascii="Times New Roman" w:eastAsia="Times New Roman" w:hAnsi="Times New Roman" w:cs="Times New Roman"/>
                            <w:color w:val="404040"/>
                            <w:spacing w:val="-2"/>
                            <w:sz w:val="10"/>
                            <w:szCs w:val="10"/>
                          </w:rPr>
                          <w:t>13.50%</w:t>
                        </w:r>
                        <w:r>
                          <w:rPr>
                            <w:rFonts w:ascii="Times New Roman" w:eastAsia="Times New Roman" w:hAnsi="Times New Roman" w:cs="Times New Roman"/>
                            <w:color w:val="404040"/>
                            <w:sz w:val="10"/>
                            <w:szCs w:val="10"/>
                          </w:rPr>
                          <w:t xml:space="preserve">   </w:t>
                        </w:r>
                        <w:r>
                          <w:rPr>
                            <w:rFonts w:ascii="Times New Roman" w:eastAsia="Times New Roman" w:hAnsi="Times New Roman" w:cs="Times New Roman"/>
                            <w:color w:val="404040"/>
                            <w:spacing w:val="-1"/>
                            <w:sz w:val="10"/>
                            <w:szCs w:val="10"/>
                          </w:rPr>
                          <w:t>87610</w:t>
                        </w:r>
                      </w:p>
                    </w:txbxContent>
                  </v:textbox>
                </v:shape>
              </w:pict>
            </w:r>
          </w:p>
        </w:tc>
        <w:tc>
          <w:tcPr>
            <w:tcW w:w="470"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336"/>
        </w:trPr>
        <w:tc>
          <w:tcPr>
            <w:tcW w:w="504" w:type="dxa"/>
            <w:tcBorders>
              <w:top w:val="single" w:sz="4" w:space="0" w:color="D9D9D9"/>
              <w:bottom w:val="single" w:sz="4" w:space="0" w:color="D9D9D9"/>
            </w:tcBorders>
            <w:vAlign w:val="top"/>
          </w:tcPr>
          <w:p>
            <w:pPr>
              <w:rPr>
                <w:rFonts w:ascii="Arial"/>
                <w:sz w:val="21"/>
              </w:rPr>
            </w:pPr>
          </w:p>
        </w:tc>
        <w:tc>
          <w:tcPr>
            <w:tcW w:w="3701" w:type="dxa"/>
            <w:tcBorders>
              <w:top w:val="single" w:sz="4" w:space="0" w:color="D9D9D9"/>
              <w:bottom w:val="single" w:sz="4" w:space="0" w:color="D9D9D9"/>
            </w:tcBorders>
            <w:vAlign w:val="top"/>
          </w:tcPr>
          <w:p>
            <w:pPr>
              <w:rPr>
                <w:rFonts w:ascii="Arial"/>
                <w:sz w:val="21"/>
              </w:rPr>
            </w:pPr>
            <w:r>
              <w:pict>
                <v:shape id="_x0000_s1109" type="#_x0000_t202" style="width:14.3pt;height:6.5pt;margin-top:4.4pt;margin-left:-41.55pt;mso-position-horizontal-relative:right-margin-area;mso-position-vertical-relative:top-margin-area;position:absolute;z-index:251729920"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1"/>
                            <w:sz w:val="10"/>
                            <w:szCs w:val="10"/>
                          </w:rPr>
                          <w:t>81616</w:t>
                        </w:r>
                      </w:p>
                    </w:txbxContent>
                  </v:textbox>
                </v:shape>
              </w:pict>
            </w:r>
          </w:p>
        </w:tc>
        <w:tc>
          <w:tcPr>
            <w:tcW w:w="1421" w:type="dxa"/>
            <w:tcBorders>
              <w:top w:val="single" w:sz="4" w:space="0" w:color="D9D9D9"/>
              <w:bottom w:val="single" w:sz="4" w:space="0" w:color="D9D9D9"/>
            </w:tcBorders>
            <w:vAlign w:val="top"/>
          </w:tcPr>
          <w:p>
            <w:pPr>
              <w:rPr>
                <w:rFonts w:ascii="Arial"/>
                <w:sz w:val="21"/>
              </w:rPr>
            </w:pPr>
          </w:p>
        </w:tc>
        <w:tc>
          <w:tcPr>
            <w:tcW w:w="1368" w:type="dxa"/>
            <w:tcBorders>
              <w:top w:val="single" w:sz="4" w:space="0" w:color="D9D9D9"/>
              <w:bottom w:val="single" w:sz="4" w:space="0" w:color="D9D9D9"/>
            </w:tcBorders>
            <w:vAlign w:val="top"/>
          </w:tcPr>
          <w:p>
            <w:pPr>
              <w:rPr>
                <w:rFonts w:ascii="Arial"/>
                <w:sz w:val="21"/>
              </w:rPr>
            </w:pPr>
          </w:p>
        </w:tc>
        <w:tc>
          <w:tcPr>
            <w:tcW w:w="969" w:type="dxa"/>
            <w:tcBorders>
              <w:top w:val="single" w:sz="4" w:space="0" w:color="D9D9D9"/>
              <w:bottom w:val="single" w:sz="4" w:space="0" w:color="D9D9D9"/>
            </w:tcBorders>
            <w:vAlign w:val="top"/>
          </w:tcPr>
          <w:p>
            <w:pPr>
              <w:rPr>
                <w:rFonts w:ascii="Arial"/>
                <w:sz w:val="21"/>
              </w:rPr>
            </w:pPr>
          </w:p>
        </w:tc>
        <w:tc>
          <w:tcPr>
            <w:tcW w:w="470"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336"/>
        </w:trPr>
        <w:tc>
          <w:tcPr>
            <w:tcW w:w="504" w:type="dxa"/>
            <w:tcBorders>
              <w:top w:val="single" w:sz="4" w:space="0" w:color="D9D9D9"/>
              <w:bottom w:val="single" w:sz="4" w:space="0" w:color="D9D9D9"/>
            </w:tcBorders>
            <w:vAlign w:val="top"/>
          </w:tcPr>
          <w:p>
            <w:pPr>
              <w:rPr>
                <w:rFonts w:ascii="Arial"/>
                <w:sz w:val="21"/>
              </w:rPr>
            </w:pPr>
          </w:p>
        </w:tc>
        <w:tc>
          <w:tcPr>
            <w:tcW w:w="3701" w:type="dxa"/>
            <w:tcBorders>
              <w:top w:val="single" w:sz="4" w:space="0" w:color="D9D9D9"/>
              <w:bottom w:val="single" w:sz="4" w:space="0" w:color="D9D9D9"/>
            </w:tcBorders>
            <w:vAlign w:val="top"/>
          </w:tcPr>
          <w:p>
            <w:pPr>
              <w:rPr>
                <w:rFonts w:ascii="Arial"/>
                <w:sz w:val="21"/>
              </w:rPr>
            </w:pPr>
            <w:r>
              <w:pict>
                <v:shape id="_x0000_s1110" type="#_x0000_t202" style="width:14.45pt;height:6.5pt;margin-top:4.21pt;margin-left:-111.96pt;mso-position-horizontal-relative:right-margin-area;mso-position-vertical-relative:top-margin-area;position:absolute;z-index:251731968"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1"/>
                            <w:sz w:val="10"/>
                            <w:szCs w:val="10"/>
                          </w:rPr>
                          <w:t>71768</w:t>
                        </w:r>
                      </w:p>
                    </w:txbxContent>
                  </v:textbox>
                </v:shape>
              </w:pict>
            </w:r>
          </w:p>
        </w:tc>
        <w:tc>
          <w:tcPr>
            <w:tcW w:w="1421" w:type="dxa"/>
            <w:tcBorders>
              <w:top w:val="single" w:sz="4" w:space="0" w:color="D9D9D9"/>
              <w:bottom w:val="single" w:sz="4" w:space="0" w:color="D9D9D9"/>
            </w:tcBorders>
            <w:vAlign w:val="top"/>
          </w:tcPr>
          <w:p>
            <w:pPr>
              <w:rPr>
                <w:rFonts w:ascii="Arial"/>
                <w:sz w:val="21"/>
              </w:rPr>
            </w:pPr>
          </w:p>
        </w:tc>
        <w:tc>
          <w:tcPr>
            <w:tcW w:w="1368" w:type="dxa"/>
            <w:tcBorders>
              <w:top w:val="single" w:sz="4" w:space="0" w:color="D9D9D9"/>
              <w:bottom w:val="single" w:sz="4" w:space="0" w:color="D9D9D9"/>
            </w:tcBorders>
            <w:vAlign w:val="top"/>
          </w:tcPr>
          <w:p>
            <w:pPr>
              <w:rPr>
                <w:rFonts w:ascii="Arial"/>
                <w:sz w:val="21"/>
              </w:rPr>
            </w:pPr>
          </w:p>
        </w:tc>
        <w:tc>
          <w:tcPr>
            <w:tcW w:w="969" w:type="dxa"/>
            <w:tcBorders>
              <w:top w:val="single" w:sz="4" w:space="0" w:color="D9D9D9"/>
              <w:bottom w:val="single" w:sz="4" w:space="0" w:color="D9D9D9"/>
            </w:tcBorders>
            <w:vAlign w:val="top"/>
          </w:tcPr>
          <w:p>
            <w:pPr>
              <w:rPr>
                <w:rFonts w:ascii="Arial"/>
                <w:sz w:val="21"/>
              </w:rPr>
            </w:pPr>
          </w:p>
        </w:tc>
        <w:tc>
          <w:tcPr>
            <w:tcW w:w="470"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336"/>
        </w:trPr>
        <w:tc>
          <w:tcPr>
            <w:tcW w:w="504" w:type="dxa"/>
            <w:tcBorders>
              <w:top w:val="single" w:sz="4" w:space="0" w:color="D9D9D9"/>
              <w:bottom w:val="single" w:sz="4" w:space="0" w:color="D9D9D9"/>
            </w:tcBorders>
            <w:vAlign w:val="top"/>
          </w:tcPr>
          <w:p>
            <w:pPr>
              <w:rPr>
                <w:rFonts w:ascii="Arial"/>
                <w:sz w:val="21"/>
              </w:rPr>
            </w:pPr>
          </w:p>
        </w:tc>
        <w:tc>
          <w:tcPr>
            <w:tcW w:w="3701" w:type="dxa"/>
            <w:tcBorders>
              <w:top w:val="single" w:sz="4" w:space="0" w:color="D9D9D9"/>
              <w:bottom w:val="single" w:sz="4" w:space="0" w:color="D9D9D9"/>
            </w:tcBorders>
            <w:vAlign w:val="top"/>
          </w:tcPr>
          <w:p>
            <w:pPr>
              <w:rPr>
                <w:rFonts w:ascii="Arial"/>
                <w:sz w:val="21"/>
              </w:rPr>
            </w:pPr>
            <w:r>
              <w:pict>
                <v:shape id="_x0000_s1111" type="#_x0000_t202" style="width:14.4pt;height:6.5pt;margin-top:2.06pt;margin-left:-182.23pt;mso-position-horizontal-relative:right-margin-area;mso-position-vertical-relative:top-margin-area;position:absolute;z-index:251730944" filled="f" stroked="f">
                  <o:lock v:ext="edit" aspectratio="f"/>
                  <v:textbox inset="0,0,0,0">
                    <w:txbxContent>
                      <w:p>
                        <w:pPr>
                          <w:spacing w:before="20" w:line="187" w:lineRule="auto"/>
                          <w:ind w:left="20"/>
                          <w:rPr>
                            <w:rFonts w:ascii="Times New Roman" w:eastAsia="Times New Roman" w:hAnsi="Times New Roman" w:cs="Times New Roman"/>
                            <w:sz w:val="10"/>
                            <w:szCs w:val="10"/>
                          </w:rPr>
                        </w:pPr>
                        <w:r>
                          <w:rPr>
                            <w:rFonts w:ascii="Times New Roman" w:eastAsia="Times New Roman" w:hAnsi="Times New Roman" w:cs="Times New Roman"/>
                            <w:color w:val="404040"/>
                            <w:spacing w:val="-1"/>
                            <w:sz w:val="10"/>
                            <w:szCs w:val="10"/>
                          </w:rPr>
                          <w:t>63061</w:t>
                        </w:r>
                      </w:p>
                    </w:txbxContent>
                  </v:textbox>
                </v:shape>
              </w:pict>
            </w:r>
          </w:p>
        </w:tc>
        <w:tc>
          <w:tcPr>
            <w:tcW w:w="1421" w:type="dxa"/>
            <w:tcBorders>
              <w:top w:val="single" w:sz="4" w:space="0" w:color="D9D9D9"/>
              <w:bottom w:val="single" w:sz="4" w:space="0" w:color="D9D9D9"/>
            </w:tcBorders>
            <w:vAlign w:val="top"/>
          </w:tcPr>
          <w:p>
            <w:pPr>
              <w:rPr>
                <w:rFonts w:ascii="Arial"/>
                <w:sz w:val="21"/>
              </w:rPr>
            </w:pPr>
          </w:p>
        </w:tc>
        <w:tc>
          <w:tcPr>
            <w:tcW w:w="1368" w:type="dxa"/>
            <w:tcBorders>
              <w:top w:val="single" w:sz="4" w:space="0" w:color="D9D9D9"/>
              <w:bottom w:val="single" w:sz="4" w:space="0" w:color="D9D9D9"/>
            </w:tcBorders>
            <w:vAlign w:val="top"/>
          </w:tcPr>
          <w:p>
            <w:pPr>
              <w:rPr>
                <w:rFonts w:ascii="Arial"/>
                <w:sz w:val="21"/>
              </w:rPr>
            </w:pPr>
          </w:p>
        </w:tc>
        <w:tc>
          <w:tcPr>
            <w:tcW w:w="969" w:type="dxa"/>
            <w:tcBorders>
              <w:top w:val="single" w:sz="4" w:space="0" w:color="D9D9D9"/>
              <w:bottom w:val="single" w:sz="4" w:space="0" w:color="D9D9D9"/>
            </w:tcBorders>
            <w:vAlign w:val="top"/>
          </w:tcPr>
          <w:p>
            <w:pPr>
              <w:rPr>
                <w:rFonts w:ascii="Arial"/>
                <w:sz w:val="21"/>
              </w:rPr>
            </w:pPr>
          </w:p>
        </w:tc>
        <w:tc>
          <w:tcPr>
            <w:tcW w:w="470" w:type="dxa"/>
            <w:tcBorders>
              <w:top w:val="single" w:sz="4" w:space="0" w:color="D9D9D9"/>
              <w:bottom w:val="single" w:sz="4" w:space="0" w:color="D9D9D9"/>
            </w:tcBorders>
            <w:vAlign w:val="top"/>
          </w:tcPr>
          <w:p>
            <w:pPr>
              <w:rPr>
                <w:rFonts w:ascii="Arial"/>
                <w:sz w:val="21"/>
              </w:rPr>
            </w:pPr>
          </w:p>
        </w:tc>
      </w:tr>
      <w:tr>
        <w:tblPrEx>
          <w:tblW w:w="8433" w:type="dxa"/>
          <w:tblInd w:w="0" w:type="dxa"/>
          <w:tblLayout w:type="fixed"/>
        </w:tblPrEx>
        <w:trPr>
          <w:trHeight w:val="344"/>
        </w:trPr>
        <w:tc>
          <w:tcPr>
            <w:tcW w:w="504" w:type="dxa"/>
            <w:tcBorders>
              <w:top w:val="single" w:sz="4" w:space="0" w:color="D9D9D9"/>
              <w:bottom w:val="single" w:sz="4" w:space="0" w:color="D9D9D9"/>
            </w:tcBorders>
            <w:vAlign w:val="top"/>
          </w:tcPr>
          <w:p>
            <w:pPr>
              <w:rPr>
                <w:rFonts w:ascii="Arial"/>
                <w:sz w:val="21"/>
              </w:rPr>
            </w:pPr>
          </w:p>
        </w:tc>
        <w:tc>
          <w:tcPr>
            <w:tcW w:w="3701" w:type="dxa"/>
            <w:tcBorders>
              <w:top w:val="single" w:sz="4" w:space="0" w:color="D9D9D9"/>
              <w:bottom w:val="single" w:sz="4" w:space="0" w:color="D9D9D9"/>
            </w:tcBorders>
            <w:vAlign w:val="top"/>
          </w:tcPr>
          <w:p>
            <w:pPr>
              <w:rPr>
                <w:rFonts w:ascii="Arial"/>
                <w:sz w:val="21"/>
              </w:rPr>
            </w:pPr>
          </w:p>
        </w:tc>
        <w:tc>
          <w:tcPr>
            <w:tcW w:w="1421" w:type="dxa"/>
            <w:tcBorders>
              <w:top w:val="single" w:sz="4" w:space="0" w:color="D9D9D9"/>
              <w:bottom w:val="single" w:sz="4" w:space="0" w:color="D9D9D9"/>
            </w:tcBorders>
            <w:vAlign w:val="top"/>
          </w:tcPr>
          <w:p>
            <w:pPr>
              <w:rPr>
                <w:rFonts w:ascii="Arial"/>
                <w:sz w:val="21"/>
              </w:rPr>
            </w:pPr>
          </w:p>
        </w:tc>
        <w:tc>
          <w:tcPr>
            <w:tcW w:w="1368" w:type="dxa"/>
            <w:tcBorders>
              <w:top w:val="single" w:sz="4" w:space="0" w:color="D9D9D9"/>
              <w:bottom w:val="single" w:sz="4" w:space="0" w:color="D9D9D9"/>
            </w:tcBorders>
            <w:vAlign w:val="top"/>
          </w:tcPr>
          <w:p>
            <w:pPr>
              <w:rPr>
                <w:rFonts w:ascii="Arial"/>
                <w:sz w:val="21"/>
              </w:rPr>
            </w:pPr>
          </w:p>
        </w:tc>
        <w:tc>
          <w:tcPr>
            <w:tcW w:w="969" w:type="dxa"/>
            <w:tcBorders>
              <w:top w:val="single" w:sz="4" w:space="0" w:color="D9D9D9"/>
              <w:bottom w:val="single" w:sz="4" w:space="0" w:color="D9D9D9"/>
            </w:tcBorders>
            <w:vAlign w:val="top"/>
          </w:tcPr>
          <w:p>
            <w:pPr>
              <w:rPr>
                <w:rFonts w:ascii="Arial"/>
                <w:sz w:val="21"/>
              </w:rPr>
            </w:pPr>
          </w:p>
        </w:tc>
        <w:tc>
          <w:tcPr>
            <w:tcW w:w="470" w:type="dxa"/>
            <w:tcBorders>
              <w:top w:val="single" w:sz="4" w:space="0" w:color="D9D9D9"/>
              <w:bottom w:val="single" w:sz="4" w:space="0" w:color="D9D9D9"/>
            </w:tcBorders>
            <w:vAlign w:val="top"/>
          </w:tcPr>
          <w:p>
            <w:pPr>
              <w:rPr>
                <w:rFonts w:ascii="Arial"/>
                <w:sz w:val="21"/>
              </w:rPr>
            </w:pPr>
          </w:p>
        </w:tc>
      </w:tr>
    </w:tbl>
    <w:p>
      <w:pPr>
        <w:spacing w:before="67" w:line="221" w:lineRule="auto"/>
        <w:ind w:left="7381"/>
        <w:rPr>
          <w:rFonts w:ascii="SimSun" w:eastAsia="SimSun" w:hAnsi="SimSun" w:cs="SimSun"/>
          <w:sz w:val="10"/>
          <w:szCs w:val="10"/>
        </w:rPr>
      </w:pPr>
      <w:r>
        <w:pict>
          <v:shape id="_x0000_s1112" type="#_x0000_t202" style="width:17.05pt;height:8pt;margin-top:2.35pt;margin-left:96.98pt;position:absolute;z-index:251726848" filled="f" stroked="f">
            <o:lock v:ext="edit" aspectratio="f"/>
            <v:textbox inset="0,0,0,0">
              <w:txbxContent>
                <w:p>
                  <w:pPr>
                    <w:spacing w:before="19" w:line="221" w:lineRule="auto"/>
                    <w:ind w:left="20"/>
                    <w:rPr>
                      <w:rFonts w:ascii="SimSun" w:eastAsia="SimSun" w:hAnsi="SimSun" w:cs="SimSun"/>
                      <w:sz w:val="10"/>
                      <w:szCs w:val="10"/>
                    </w:rPr>
                  </w:pPr>
                  <w:r>
                    <w:rPr>
                      <w:rFonts w:ascii="Times New Roman" w:eastAsia="Times New Roman" w:hAnsi="Times New Roman" w:cs="Times New Roman"/>
                      <w:color w:val="595959"/>
                      <w:sz w:val="10"/>
                      <w:szCs w:val="10"/>
                    </w:rPr>
                    <w:t>2019</w:t>
                  </w:r>
                  <w:r>
                    <w:rPr>
                      <w:rFonts w:ascii="SimSun" w:eastAsia="SimSun" w:hAnsi="SimSun" w:cs="SimSun"/>
                      <w:color w:val="595959"/>
                      <w:sz w:val="10"/>
                      <w:szCs w:val="10"/>
                    </w:rPr>
                    <w:t>年</w:t>
                  </w:r>
                </w:p>
              </w:txbxContent>
            </v:textbox>
          </v:shape>
        </w:pict>
      </w:r>
      <w:r>
        <w:pict>
          <v:shape id="_x0000_s1113" type="#_x0000_t202" style="width:17.05pt;height:8pt;margin-top:2.35pt;margin-left:167.28pt;position:absolute;z-index:251728896" filled="f" stroked="f">
            <o:lock v:ext="edit" aspectratio="f"/>
            <v:textbox inset="0,0,0,0">
              <w:txbxContent>
                <w:p>
                  <w:pPr>
                    <w:spacing w:before="19" w:line="221" w:lineRule="auto"/>
                    <w:ind w:left="20"/>
                    <w:rPr>
                      <w:rFonts w:ascii="SimSun" w:eastAsia="SimSun" w:hAnsi="SimSun" w:cs="SimSun"/>
                      <w:sz w:val="10"/>
                      <w:szCs w:val="10"/>
                    </w:rPr>
                  </w:pPr>
                  <w:r>
                    <w:rPr>
                      <w:rFonts w:ascii="Times New Roman" w:eastAsia="Times New Roman" w:hAnsi="Times New Roman" w:cs="Times New Roman"/>
                      <w:color w:val="595959"/>
                      <w:sz w:val="10"/>
                      <w:szCs w:val="10"/>
                    </w:rPr>
                    <w:t>2020</w:t>
                  </w:r>
                  <w:r>
                    <w:rPr>
                      <w:rFonts w:ascii="SimSun" w:eastAsia="SimSun" w:hAnsi="SimSun" w:cs="SimSun"/>
                      <w:color w:val="595959"/>
                      <w:sz w:val="10"/>
                      <w:szCs w:val="10"/>
                    </w:rPr>
                    <w:t>年</w:t>
                  </w:r>
                </w:p>
              </w:txbxContent>
            </v:textbox>
          </v:shape>
        </w:pict>
      </w:r>
      <w:r>
        <w:pict>
          <v:shape id="_x0000_s1114" type="#_x0000_t202" style="width:17.05pt;height:8pt;margin-top:2.35pt;margin-left:237.57pt;position:absolute;z-index:251725824" filled="f" stroked="f">
            <o:lock v:ext="edit" aspectratio="f"/>
            <v:textbox inset="0,0,0,0">
              <w:txbxContent>
                <w:p>
                  <w:pPr>
                    <w:spacing w:before="19" w:line="221" w:lineRule="auto"/>
                    <w:ind w:left="20"/>
                    <w:rPr>
                      <w:rFonts w:ascii="SimSun" w:eastAsia="SimSun" w:hAnsi="SimSun" w:cs="SimSun"/>
                      <w:sz w:val="10"/>
                      <w:szCs w:val="10"/>
                    </w:rPr>
                  </w:pPr>
                  <w:r>
                    <w:rPr>
                      <w:rFonts w:ascii="Times New Roman" w:eastAsia="Times New Roman" w:hAnsi="Times New Roman" w:cs="Times New Roman"/>
                      <w:color w:val="595959"/>
                      <w:sz w:val="10"/>
                      <w:szCs w:val="10"/>
                    </w:rPr>
                    <w:t>2021</w:t>
                  </w:r>
                  <w:r>
                    <w:rPr>
                      <w:rFonts w:ascii="SimSun" w:eastAsia="SimSun" w:hAnsi="SimSun" w:cs="SimSun"/>
                      <w:color w:val="595959"/>
                      <w:sz w:val="10"/>
                      <w:szCs w:val="10"/>
                    </w:rPr>
                    <w:t>年</w:t>
                  </w:r>
                </w:p>
              </w:txbxContent>
            </v:textbox>
          </v:shape>
        </w:pict>
      </w:r>
      <w:r>
        <w:pict>
          <v:shape id="_x0000_s1115" type="#_x0000_t202" style="width:17.05pt;height:8pt;margin-top:2.35pt;margin-left:307.85pt;position:absolute;z-index:251724800" filled="f" stroked="f">
            <o:lock v:ext="edit" aspectratio="f"/>
            <v:textbox inset="0,0,0,0">
              <w:txbxContent>
                <w:p>
                  <w:pPr>
                    <w:spacing w:before="19" w:line="221" w:lineRule="auto"/>
                    <w:ind w:left="20"/>
                    <w:rPr>
                      <w:rFonts w:ascii="SimSun" w:eastAsia="SimSun" w:hAnsi="SimSun" w:cs="SimSun"/>
                      <w:sz w:val="10"/>
                      <w:szCs w:val="10"/>
                    </w:rPr>
                  </w:pPr>
                  <w:r>
                    <w:rPr>
                      <w:rFonts w:ascii="Times New Roman" w:eastAsia="Times New Roman" w:hAnsi="Times New Roman" w:cs="Times New Roman"/>
                      <w:color w:val="595959"/>
                      <w:sz w:val="10"/>
                      <w:szCs w:val="10"/>
                    </w:rPr>
                    <w:t>2022</w:t>
                  </w:r>
                  <w:r>
                    <w:rPr>
                      <w:rFonts w:ascii="SimSun" w:eastAsia="SimSun" w:hAnsi="SimSun" w:cs="SimSun"/>
                      <w:color w:val="595959"/>
                      <w:sz w:val="10"/>
                      <w:szCs w:val="10"/>
                    </w:rPr>
                    <w:t>年</w:t>
                  </w:r>
                </w:p>
              </w:txbxContent>
            </v:textbox>
          </v:shape>
        </w:pict>
      </w:r>
      <w:r>
        <w:pict>
          <v:shape id="_x0000_s1116" type="#_x0000_t202" style="width:17.05pt;height:8pt;margin-top:2.35pt;margin-left:26.69pt;position:absolute;z-index:251727872" filled="f" stroked="f">
            <o:lock v:ext="edit" aspectratio="f"/>
            <v:textbox inset="0,0,0,0">
              <w:txbxContent>
                <w:p>
                  <w:pPr>
                    <w:spacing w:before="19" w:line="221" w:lineRule="auto"/>
                    <w:ind w:left="20"/>
                    <w:rPr>
                      <w:rFonts w:ascii="SimSun" w:eastAsia="SimSun" w:hAnsi="SimSun" w:cs="SimSun"/>
                      <w:sz w:val="10"/>
                      <w:szCs w:val="10"/>
                    </w:rPr>
                  </w:pPr>
                  <w:r>
                    <w:rPr>
                      <w:rFonts w:ascii="Times New Roman" w:eastAsia="Times New Roman" w:hAnsi="Times New Roman" w:cs="Times New Roman"/>
                      <w:color w:val="595959"/>
                      <w:sz w:val="10"/>
                      <w:szCs w:val="10"/>
                    </w:rPr>
                    <w:t>2018</w:t>
                  </w:r>
                  <w:r>
                    <w:rPr>
                      <w:rFonts w:ascii="SimSun" w:eastAsia="SimSun" w:hAnsi="SimSun" w:cs="SimSun"/>
                      <w:color w:val="595959"/>
                      <w:sz w:val="10"/>
                      <w:szCs w:val="10"/>
                    </w:rPr>
                    <w:t>年</w:t>
                  </w:r>
                </w:p>
              </w:txbxContent>
            </v:textbox>
          </v:shape>
        </w:pict>
      </w:r>
      <w:r>
        <w:rPr>
          <w:rFonts w:ascii="Times New Roman" w:eastAsia="Times New Roman" w:hAnsi="Times New Roman" w:cs="Times New Roman"/>
          <w:color w:val="595959"/>
          <w:sz w:val="10"/>
          <w:szCs w:val="10"/>
        </w:rPr>
        <w:t>2023</w:t>
      </w:r>
      <w:r>
        <w:rPr>
          <w:rFonts w:ascii="SimSun" w:eastAsia="SimSun" w:hAnsi="SimSun" w:cs="SimSun"/>
          <w:color w:val="595959"/>
          <w:sz w:val="10"/>
          <w:szCs w:val="10"/>
        </w:rPr>
        <w:t>年前三季度</w:t>
      </w:r>
    </w:p>
    <w:p>
      <w:pPr>
        <w:spacing w:before="80" w:line="186" w:lineRule="auto"/>
        <w:ind w:left="3289"/>
        <w:rPr>
          <w:rFonts w:ascii="SimSun" w:eastAsia="SimSun" w:hAnsi="SimSun" w:cs="SimSun"/>
          <w:sz w:val="10"/>
          <w:szCs w:val="10"/>
        </w:rPr>
      </w:pPr>
      <w:r>
        <w:pict>
          <v:shape id="_x0000_s1117" type="#_x0000_t202" style="width:44.3pt;height:8pt;margin-top:3pt;margin-left:245.36pt;position:absolute;z-index:251723776" filled="f" stroked="f">
            <o:lock v:ext="edit" aspectratio="f"/>
            <v:textbox inset="0,0,0,0">
              <w:txbxContent>
                <w:p>
                  <w:pPr>
                    <w:spacing w:before="19" w:line="221" w:lineRule="auto"/>
                    <w:ind w:left="20"/>
                    <w:rPr>
                      <w:rFonts w:ascii="SimSun" w:eastAsia="SimSun" w:hAnsi="SimSun" w:cs="SimSun"/>
                      <w:sz w:val="10"/>
                      <w:szCs w:val="10"/>
                    </w:rPr>
                  </w:pPr>
                  <w:r>
                    <w:rPr>
                      <w:rFonts w:ascii="SimSun" w:eastAsia="SimSun" w:hAnsi="SimSun" w:cs="SimSun"/>
                      <w:color w:val="595959"/>
                      <w:position w:val="1"/>
                      <w:sz w:val="10"/>
                      <w:szCs w:val="10"/>
                    </w:rPr>
                    <w:drawing>
                      <wp:inline distT="0" distB="0" distL="0" distR="0">
                        <wp:extent cx="263652" cy="1981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1"/>
                                <a:stretch>
                                  <a:fillRect/>
                                </a:stretch>
                              </pic:blipFill>
                              <pic:spPr>
                                <a:xfrm>
                                  <a:off x="0" y="0"/>
                                  <a:ext cx="263652" cy="19811"/>
                                </a:xfrm>
                                <a:prstGeom prst="rect">
                                  <a:avLst/>
                                </a:prstGeom>
                              </pic:spPr>
                            </pic:pic>
                          </a:graphicData>
                        </a:graphic>
                      </wp:inline>
                    </w:drawing>
                  </w:r>
                  <w:r>
                    <w:rPr>
                      <w:rFonts w:ascii="SimSun" w:eastAsia="SimSun" w:hAnsi="SimSun" w:cs="SimSun"/>
                      <w:color w:val="595959"/>
                      <w:spacing w:val="-16"/>
                      <w:sz w:val="10"/>
                      <w:szCs w:val="10"/>
                    </w:rPr>
                    <w:t xml:space="preserve"> </w:t>
                  </w:r>
                  <w:r>
                    <w:rPr>
                      <w:rFonts w:ascii="SimSun" w:eastAsia="SimSun" w:hAnsi="SimSun" w:cs="SimSun"/>
                      <w:color w:val="595959"/>
                      <w:spacing w:val="-1"/>
                      <w:sz w:val="10"/>
                      <w:szCs w:val="10"/>
                    </w:rPr>
                    <w:t>收入增速</w:t>
                  </w:r>
                </w:p>
              </w:txbxContent>
            </v:textbox>
          </v:shape>
        </w:pict>
      </w:r>
      <w:r>
        <w:rPr>
          <w:rFonts w:ascii="SimSun" w:eastAsia="SimSun" w:hAnsi="SimSun" w:cs="SimSun"/>
          <w:color w:val="595959"/>
          <w:spacing w:val="-1"/>
          <w:sz w:val="10"/>
          <w:szCs w:val="10"/>
        </w:rPr>
        <w:t>软件业务收入（亿元）</w:t>
      </w:r>
    </w:p>
    <w:p>
      <w:pPr>
        <w:spacing w:line="14" w:lineRule="auto"/>
        <w:rPr>
          <w:rFonts w:ascii="Arial"/>
          <w:sz w:val="2"/>
        </w:rPr>
      </w:pPr>
      <w:r>
        <w:rPr>
          <w:rFonts w:ascii="Arial" w:eastAsia="Arial" w:hAnsi="Arial" w:cs="Arial"/>
          <w:sz w:val="2"/>
          <w:szCs w:val="2"/>
        </w:rPr>
        <w:br w:type="column"/>
      </w:r>
    </w:p>
    <w:p>
      <w:pPr>
        <w:spacing w:line="184" w:lineRule="auto"/>
        <w:ind w:left="87"/>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20.00%</w:t>
      </w:r>
    </w:p>
    <w:p>
      <w:pPr>
        <w:spacing w:before="154" w:line="187" w:lineRule="auto"/>
        <w:ind w:left="97"/>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18.00%</w:t>
      </w:r>
    </w:p>
    <w:p>
      <w:pPr>
        <w:spacing w:before="153" w:line="187" w:lineRule="auto"/>
        <w:ind w:left="97"/>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16.00%</w:t>
      </w:r>
    </w:p>
    <w:p>
      <w:pPr>
        <w:spacing w:before="154" w:line="187" w:lineRule="auto"/>
        <w:ind w:left="97"/>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14.00%</w:t>
      </w:r>
    </w:p>
    <w:p>
      <w:pPr>
        <w:spacing w:before="154" w:line="187" w:lineRule="auto"/>
        <w:ind w:left="97"/>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12.00%</w:t>
      </w:r>
    </w:p>
    <w:p>
      <w:pPr>
        <w:spacing w:before="154" w:line="187" w:lineRule="auto"/>
        <w:ind w:left="97"/>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10.00%</w:t>
      </w:r>
    </w:p>
    <w:p>
      <w:pPr>
        <w:spacing w:before="153" w:line="187" w:lineRule="auto"/>
        <w:ind w:left="91"/>
        <w:rPr>
          <w:rFonts w:ascii="Times New Roman" w:eastAsia="Times New Roman" w:hAnsi="Times New Roman" w:cs="Times New Roman"/>
          <w:sz w:val="10"/>
          <w:szCs w:val="10"/>
        </w:rPr>
      </w:pPr>
      <w:r>
        <w:rPr>
          <w:rFonts w:ascii="Times New Roman" w:eastAsia="Times New Roman" w:hAnsi="Times New Roman" w:cs="Times New Roman"/>
          <w:color w:val="595959"/>
          <w:spacing w:val="-2"/>
          <w:sz w:val="10"/>
          <w:szCs w:val="10"/>
        </w:rPr>
        <w:t>8.00%</w:t>
      </w:r>
    </w:p>
    <w:p>
      <w:pPr>
        <w:spacing w:before="154" w:line="187" w:lineRule="auto"/>
        <w:ind w:left="90"/>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6.00%</w:t>
      </w:r>
    </w:p>
    <w:p>
      <w:pPr>
        <w:spacing w:before="154" w:line="187" w:lineRule="auto"/>
        <w:ind w:left="87"/>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4.00%</w:t>
      </w:r>
    </w:p>
    <w:p>
      <w:pPr>
        <w:spacing w:before="154" w:line="187" w:lineRule="auto"/>
        <w:ind w:left="87"/>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2.00%</w:t>
      </w:r>
    </w:p>
    <w:p>
      <w:pPr>
        <w:spacing w:before="153" w:line="187" w:lineRule="auto"/>
        <w:ind w:left="89"/>
        <w:rPr>
          <w:rFonts w:ascii="Times New Roman" w:eastAsia="Times New Roman" w:hAnsi="Times New Roman" w:cs="Times New Roman"/>
          <w:sz w:val="10"/>
          <w:szCs w:val="10"/>
        </w:rPr>
      </w:pPr>
      <w:r>
        <w:rPr>
          <w:rFonts w:ascii="Times New Roman" w:eastAsia="Times New Roman" w:hAnsi="Times New Roman" w:cs="Times New Roman"/>
          <w:color w:val="595959"/>
          <w:spacing w:val="-1"/>
          <w:sz w:val="10"/>
          <w:szCs w:val="10"/>
        </w:rPr>
        <w:t>0.00%</w:t>
      </w:r>
    </w:p>
    <w:p>
      <w:pPr>
        <w:spacing w:line="187" w:lineRule="auto"/>
        <w:rPr>
          <w:rFonts w:ascii="Times New Roman" w:eastAsia="Times New Roman" w:hAnsi="Times New Roman" w:cs="Times New Roman"/>
          <w:sz w:val="10"/>
          <w:szCs w:val="10"/>
        </w:rPr>
        <w:sectPr>
          <w:headerReference w:type="default" r:id="rId42"/>
          <w:footerReference w:type="default" r:id="rId43"/>
          <w:type w:val="continuous"/>
          <w:pgSz w:w="11907" w:h="16839"/>
          <w:pgMar w:top="1336" w:right="1041" w:bottom="1269" w:left="905" w:header="1148" w:footer="1077" w:gutter="0"/>
          <w:pgNumType w:start="15"/>
          <w:cols w:num="3" w:space="708" w:equalWidth="0">
            <w:col w:w="721" w:space="85"/>
            <w:col w:w="8434" w:space="0"/>
            <w:col w:w="720" w:space="0"/>
          </w:cols>
        </w:sectPr>
      </w:pPr>
    </w:p>
    <w:p>
      <w:pPr>
        <w:spacing w:before="210" w:line="221" w:lineRule="auto"/>
        <w:ind w:left="355"/>
        <w:rPr>
          <w:rFonts w:ascii="SimSun" w:eastAsia="SimSun" w:hAnsi="SimSun" w:cs="SimSun"/>
          <w:sz w:val="15"/>
          <w:szCs w:val="15"/>
        </w:rPr>
      </w:pPr>
      <w:r>
        <w:rPr>
          <w:rFonts w:ascii="SimSun" w:eastAsia="SimSun" w:hAnsi="SimSun" w:cs="SimSun"/>
          <w:spacing w:val="-6"/>
          <w:sz w:val="15"/>
          <w:szCs w:val="15"/>
        </w:rPr>
        <w:t>资料来源：工信部。</w:t>
      </w:r>
    </w:p>
    <w:p>
      <w:pPr>
        <w:spacing w:before="205" w:line="283" w:lineRule="auto"/>
        <w:ind w:left="235" w:right="89"/>
        <w:jc w:val="both"/>
        <w:rPr>
          <w:rFonts w:ascii="SimSun" w:eastAsia="SimSun" w:hAnsi="SimSun" w:cs="SimSun"/>
          <w:sz w:val="21"/>
          <w:szCs w:val="21"/>
        </w:rPr>
        <w:sectPr>
          <w:headerReference w:type="default" r:id="rId44"/>
          <w:footerReference w:type="default" r:id="rId45"/>
          <w:type w:val="continuous"/>
          <w:pgSz w:w="11907" w:h="16839"/>
          <w:pgMar w:top="1336" w:right="1041" w:bottom="1269" w:left="905" w:header="1148" w:footer="1077" w:gutter="0"/>
          <w:pgNumType w:start="16"/>
          <w:cols w:num="1" w:space="708" w:equalWidth="0">
            <w:col w:w="9960" w:space="0"/>
          </w:cols>
        </w:sectPr>
      </w:pPr>
      <w:r>
        <w:rPr>
          <w:rFonts w:ascii="SimSun" w:eastAsia="SimSun" w:hAnsi="SimSun" w:cs="SimSun"/>
          <w:sz w:val="21"/>
          <w:szCs w:val="21"/>
        </w:rPr>
        <w:t>根据工信部的分类标准，我国软件行业大体</w:t>
      </w:r>
      <w:r>
        <w:rPr>
          <w:rFonts w:ascii="SimSun" w:eastAsia="SimSun" w:hAnsi="SimSun" w:cs="SimSun"/>
          <w:spacing w:val="-1"/>
          <w:sz w:val="21"/>
          <w:szCs w:val="21"/>
        </w:rPr>
        <w:t>分为软件产品、信息技术服务、信息安全产品和服务、嵌入式</w:t>
      </w:r>
      <w:r>
        <w:rPr>
          <w:rFonts w:ascii="SimSun" w:eastAsia="SimSun" w:hAnsi="SimSun" w:cs="SimSun"/>
          <w:sz w:val="21"/>
          <w:szCs w:val="21"/>
        </w:rPr>
        <w:t xml:space="preserve"> </w:t>
      </w:r>
      <w:r>
        <w:rPr>
          <w:rFonts w:ascii="SimSun" w:eastAsia="SimSun" w:hAnsi="SimSun" w:cs="SimSun"/>
          <w:spacing w:val="-1"/>
          <w:sz w:val="21"/>
          <w:szCs w:val="21"/>
        </w:rPr>
        <w:t>系统软件等</w:t>
      </w:r>
      <w:r>
        <w:rPr>
          <w:rFonts w:ascii="SimSun" w:eastAsia="SimSun" w:hAnsi="SimSun" w:cs="SimSun"/>
          <w:spacing w:val="-49"/>
          <w:sz w:val="21"/>
          <w:szCs w:val="21"/>
        </w:rPr>
        <w:t xml:space="preserve"> </w:t>
      </w:r>
      <w:r>
        <w:rPr>
          <w:rFonts w:ascii="Times New Roman" w:eastAsia="Times New Roman" w:hAnsi="Times New Roman" w:cs="Times New Roman"/>
          <w:spacing w:val="-1"/>
          <w:sz w:val="21"/>
          <w:szCs w:val="21"/>
        </w:rPr>
        <w:t xml:space="preserve">4 </w:t>
      </w:r>
      <w:r>
        <w:rPr>
          <w:rFonts w:ascii="SimSun" w:eastAsia="SimSun" w:hAnsi="SimSun" w:cs="SimSun"/>
          <w:spacing w:val="-1"/>
          <w:sz w:val="21"/>
          <w:szCs w:val="21"/>
        </w:rPr>
        <w:t>个细分行业。</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年前三季度软件产品收入为</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20</w:t>
      </w:r>
      <w:r>
        <w:rPr>
          <w:rFonts w:ascii="Times New Roman" w:eastAsia="Times New Roman" w:hAnsi="Times New Roman" w:cs="Times New Roman"/>
          <w:spacing w:val="-2"/>
          <w:sz w:val="21"/>
          <w:szCs w:val="21"/>
        </w:rPr>
        <w:t xml:space="preserve">465 </w:t>
      </w:r>
      <w:r>
        <w:rPr>
          <w:rFonts w:ascii="SimSun" w:eastAsia="SimSun" w:hAnsi="SimSun" w:cs="SimSun"/>
          <w:spacing w:val="-2"/>
          <w:sz w:val="21"/>
          <w:szCs w:val="21"/>
        </w:rPr>
        <w:t>亿元，同比增长</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10.3%</w:t>
      </w:r>
      <w:r>
        <w:rPr>
          <w:rFonts w:ascii="SimSun" w:eastAsia="SimSun" w:hAnsi="SimSun" w:cs="SimSun"/>
          <w:spacing w:val="-2"/>
          <w:sz w:val="21"/>
          <w:szCs w:val="21"/>
        </w:rPr>
        <w:t>，占全行业收入</w:t>
      </w:r>
      <w:r>
        <w:rPr>
          <w:rFonts w:ascii="SimSun" w:eastAsia="SimSun" w:hAnsi="SimSun" w:cs="SimSun"/>
          <w:sz w:val="21"/>
          <w:szCs w:val="21"/>
        </w:rPr>
        <w:t xml:space="preserve"> </w:t>
      </w:r>
      <w:r>
        <w:rPr>
          <w:rFonts w:ascii="SimSun" w:eastAsia="SimSun" w:hAnsi="SimSun" w:cs="SimSun"/>
          <w:spacing w:val="-1"/>
          <w:sz w:val="21"/>
          <w:szCs w:val="21"/>
        </w:rPr>
        <w:t>的比重为</w:t>
      </w:r>
      <w:r>
        <w:rPr>
          <w:rFonts w:ascii="SimSun" w:eastAsia="SimSun" w:hAnsi="SimSun" w:cs="SimSun"/>
          <w:spacing w:val="-42"/>
          <w:sz w:val="21"/>
          <w:szCs w:val="21"/>
        </w:rPr>
        <w:t xml:space="preserve"> </w:t>
      </w:r>
      <w:r>
        <w:rPr>
          <w:rFonts w:ascii="Times New Roman" w:eastAsia="Times New Roman" w:hAnsi="Times New Roman" w:cs="Times New Roman"/>
          <w:spacing w:val="-1"/>
          <w:sz w:val="21"/>
          <w:szCs w:val="21"/>
        </w:rPr>
        <w:t>23.4%</w:t>
      </w:r>
      <w:r>
        <w:rPr>
          <w:rFonts w:ascii="SimSun" w:eastAsia="SimSun" w:hAnsi="SimSun" w:cs="SimSun"/>
          <w:spacing w:val="-1"/>
          <w:sz w:val="21"/>
          <w:szCs w:val="21"/>
        </w:rPr>
        <w:t>；信息技术服务收入为</w:t>
      </w:r>
      <w:r>
        <w:rPr>
          <w:rFonts w:ascii="SimSun" w:eastAsia="SimSun" w:hAnsi="SimSun" w:cs="SimSun"/>
          <w:spacing w:val="-37"/>
          <w:sz w:val="21"/>
          <w:szCs w:val="21"/>
        </w:rPr>
        <w:t xml:space="preserve"> </w:t>
      </w:r>
      <w:r>
        <w:rPr>
          <w:rFonts w:ascii="Times New Roman" w:eastAsia="Times New Roman" w:hAnsi="Times New Roman" w:cs="Times New Roman"/>
          <w:spacing w:val="-1"/>
          <w:sz w:val="21"/>
          <w:szCs w:val="21"/>
        </w:rPr>
        <w:t>58335</w:t>
      </w:r>
      <w:r>
        <w:rPr>
          <w:rFonts w:ascii="Times New Roman" w:eastAsia="Times New Roman" w:hAnsi="Times New Roman" w:cs="Times New Roman"/>
          <w:spacing w:val="14"/>
          <w:sz w:val="21"/>
          <w:szCs w:val="21"/>
        </w:rPr>
        <w:t xml:space="preserve"> </w:t>
      </w:r>
      <w:r>
        <w:rPr>
          <w:rFonts w:ascii="SimSun" w:eastAsia="SimSun" w:hAnsi="SimSun" w:cs="SimSun"/>
          <w:spacing w:val="-1"/>
          <w:sz w:val="21"/>
          <w:szCs w:val="21"/>
        </w:rPr>
        <w:t>亿元，同比增长</w:t>
      </w:r>
      <w:r>
        <w:rPr>
          <w:rFonts w:ascii="SimSun" w:eastAsia="SimSun" w:hAnsi="SimSun" w:cs="SimSun"/>
          <w:spacing w:val="-23"/>
          <w:sz w:val="21"/>
          <w:szCs w:val="21"/>
        </w:rPr>
        <w:t xml:space="preserve"> </w:t>
      </w:r>
      <w:r>
        <w:rPr>
          <w:rFonts w:ascii="Times New Roman" w:eastAsia="Times New Roman" w:hAnsi="Times New Roman" w:cs="Times New Roman"/>
          <w:spacing w:val="-1"/>
          <w:sz w:val="21"/>
          <w:szCs w:val="21"/>
        </w:rPr>
        <w:t>15%</w:t>
      </w:r>
      <w:r>
        <w:rPr>
          <w:rFonts w:ascii="SimSun" w:eastAsia="SimSun" w:hAnsi="SimSun" w:cs="SimSun"/>
          <w:spacing w:val="-1"/>
          <w:sz w:val="21"/>
          <w:szCs w:val="21"/>
        </w:rPr>
        <w:t>，占全行业收入的比重为</w:t>
      </w:r>
      <w:r>
        <w:rPr>
          <w:rFonts w:ascii="SimSun" w:eastAsia="SimSun" w:hAnsi="SimSun" w:cs="SimSun"/>
          <w:spacing w:val="-38"/>
          <w:sz w:val="21"/>
          <w:szCs w:val="21"/>
        </w:rPr>
        <w:t xml:space="preserve"> </w:t>
      </w:r>
      <w:r>
        <w:rPr>
          <w:rFonts w:ascii="Times New Roman" w:eastAsia="Times New Roman" w:hAnsi="Times New Roman" w:cs="Times New Roman"/>
          <w:spacing w:val="-1"/>
          <w:sz w:val="21"/>
          <w:szCs w:val="21"/>
        </w:rPr>
        <w:t>66</w:t>
      </w:r>
      <w:r>
        <w:rPr>
          <w:rFonts w:ascii="Times New Roman" w:eastAsia="Times New Roman" w:hAnsi="Times New Roman" w:cs="Times New Roman"/>
          <w:spacing w:val="-2"/>
          <w:sz w:val="21"/>
          <w:szCs w:val="21"/>
        </w:rPr>
        <w:t>.6%</w:t>
      </w:r>
      <w:r>
        <w:rPr>
          <w:rFonts w:ascii="SimSun" w:eastAsia="SimSun" w:hAnsi="SimSun" w:cs="SimSun"/>
          <w:spacing w:val="-2"/>
          <w:sz w:val="21"/>
          <w:szCs w:val="21"/>
        </w:rPr>
        <w:t>，其中</w:t>
      </w:r>
      <w:r>
        <w:rPr>
          <w:rFonts w:ascii="SimSun" w:eastAsia="SimSun" w:hAnsi="SimSun" w:cs="SimSun"/>
          <w:sz w:val="21"/>
          <w:szCs w:val="21"/>
        </w:rPr>
        <w:t xml:space="preserve"> </w:t>
      </w:r>
    </w:p>
    <w:p>
      <w:pPr>
        <w:spacing w:before="205" w:line="283" w:lineRule="auto"/>
        <w:ind w:left="235" w:right="89"/>
        <w:jc w:val="both"/>
        <w:rPr>
          <w:rFonts w:ascii="SimSun" w:eastAsia="SimSun" w:hAnsi="SimSun" w:cs="SimSun"/>
          <w:sz w:val="21"/>
          <w:szCs w:val="21"/>
        </w:rPr>
      </w:pPr>
      <w:r>
        <w:rPr>
          <w:rFonts w:ascii="SimSun" w:eastAsia="SimSun" w:hAnsi="SimSun" w:cs="SimSun"/>
          <w:spacing w:val="-3"/>
          <w:sz w:val="21"/>
          <w:szCs w:val="21"/>
        </w:rPr>
        <w:t>云计算、大数据服务共实现收入</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 xml:space="preserve">8750 </w:t>
      </w:r>
      <w:r>
        <w:rPr>
          <w:rFonts w:ascii="SimSun" w:eastAsia="SimSun" w:hAnsi="SimSun" w:cs="SimSun"/>
          <w:spacing w:val="-3"/>
          <w:sz w:val="21"/>
          <w:szCs w:val="21"/>
        </w:rPr>
        <w:t>亿元，同比增长</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15.8</w:t>
      </w:r>
      <w:r>
        <w:rPr>
          <w:rFonts w:ascii="Times New Roman" w:eastAsia="Times New Roman" w:hAnsi="Times New Roman" w:cs="Times New Roman"/>
          <w:spacing w:val="-4"/>
          <w:sz w:val="21"/>
          <w:szCs w:val="21"/>
        </w:rPr>
        <w:t>%</w:t>
      </w:r>
      <w:r>
        <w:rPr>
          <w:rFonts w:ascii="SimSun" w:eastAsia="SimSun" w:hAnsi="SimSun" w:cs="SimSun"/>
          <w:spacing w:val="-4"/>
          <w:sz w:val="21"/>
          <w:szCs w:val="21"/>
        </w:rPr>
        <w:t>，占信息技术服务收入的比重为</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15%</w:t>
      </w:r>
      <w:r>
        <w:rPr>
          <w:rFonts w:ascii="SimSun" w:eastAsia="SimSun" w:hAnsi="SimSun" w:cs="SimSun"/>
          <w:spacing w:val="-4"/>
          <w:sz w:val="21"/>
          <w:szCs w:val="21"/>
        </w:rPr>
        <w:t>；信息安</w:t>
      </w:r>
      <w:r>
        <w:rPr>
          <w:rFonts w:ascii="SimSun" w:eastAsia="SimSun" w:hAnsi="SimSun" w:cs="SimSun"/>
          <w:sz w:val="21"/>
          <w:szCs w:val="21"/>
        </w:rPr>
        <w:t xml:space="preserve"> </w:t>
      </w:r>
      <w:r>
        <w:rPr>
          <w:rFonts w:ascii="SimSun" w:eastAsia="SimSun" w:hAnsi="SimSun" w:cs="SimSun"/>
          <w:spacing w:val="-5"/>
          <w:sz w:val="21"/>
          <w:szCs w:val="21"/>
        </w:rPr>
        <w:t>全产品和服务收入为</w:t>
      </w:r>
      <w:r>
        <w:rPr>
          <w:rFonts w:ascii="SimSun" w:eastAsia="SimSun" w:hAnsi="SimSun" w:cs="SimSun"/>
          <w:spacing w:val="-27"/>
          <w:sz w:val="21"/>
          <w:szCs w:val="21"/>
        </w:rPr>
        <w:t xml:space="preserve"> </w:t>
      </w:r>
      <w:r>
        <w:rPr>
          <w:rFonts w:ascii="Times New Roman" w:eastAsia="Times New Roman" w:hAnsi="Times New Roman" w:cs="Times New Roman"/>
          <w:spacing w:val="-5"/>
          <w:sz w:val="21"/>
          <w:szCs w:val="21"/>
        </w:rPr>
        <w:t xml:space="preserve">1421 </w:t>
      </w:r>
      <w:r>
        <w:rPr>
          <w:rFonts w:ascii="SimSun" w:eastAsia="SimSun" w:hAnsi="SimSun" w:cs="SimSun"/>
          <w:spacing w:val="-5"/>
          <w:sz w:val="21"/>
          <w:szCs w:val="21"/>
        </w:rPr>
        <w:t>亿元， 同比增长</w:t>
      </w:r>
      <w:r>
        <w:rPr>
          <w:rFonts w:ascii="SimSun" w:eastAsia="SimSun" w:hAnsi="SimSun" w:cs="SimSun"/>
          <w:spacing w:val="-44"/>
          <w:sz w:val="21"/>
          <w:szCs w:val="21"/>
        </w:rPr>
        <w:t xml:space="preserve"> </w:t>
      </w:r>
      <w:r>
        <w:rPr>
          <w:rFonts w:ascii="Times New Roman" w:eastAsia="Times New Roman" w:hAnsi="Times New Roman" w:cs="Times New Roman"/>
          <w:spacing w:val="-5"/>
          <w:sz w:val="21"/>
          <w:szCs w:val="21"/>
        </w:rPr>
        <w:t>9.3%</w:t>
      </w:r>
      <w:r>
        <w:rPr>
          <w:rFonts w:ascii="SimSun" w:eastAsia="SimSun" w:hAnsi="SimSun" w:cs="SimSun"/>
          <w:spacing w:val="-5"/>
          <w:sz w:val="21"/>
          <w:szCs w:val="21"/>
        </w:rPr>
        <w:t>；嵌入式系统软件收入为</w:t>
      </w:r>
      <w:r>
        <w:rPr>
          <w:rFonts w:ascii="SimSun" w:eastAsia="SimSun" w:hAnsi="SimSun" w:cs="SimSun"/>
          <w:spacing w:val="-44"/>
          <w:sz w:val="21"/>
          <w:szCs w:val="21"/>
        </w:rPr>
        <w:t xml:space="preserve"> </w:t>
      </w:r>
      <w:r>
        <w:rPr>
          <w:rFonts w:ascii="Times New Roman" w:eastAsia="Times New Roman" w:hAnsi="Times New Roman" w:cs="Times New Roman"/>
          <w:spacing w:val="-5"/>
          <w:sz w:val="21"/>
          <w:szCs w:val="21"/>
        </w:rPr>
        <w:t xml:space="preserve">7389 </w:t>
      </w:r>
      <w:r>
        <w:rPr>
          <w:rFonts w:ascii="SimSun" w:eastAsia="SimSun" w:hAnsi="SimSun" w:cs="SimSun"/>
          <w:spacing w:val="-6"/>
          <w:sz w:val="21"/>
          <w:szCs w:val="21"/>
        </w:rPr>
        <w:t>亿元， 同比增长</w:t>
      </w:r>
      <w:r>
        <w:rPr>
          <w:rFonts w:ascii="SimSun" w:eastAsia="SimSun" w:hAnsi="SimSun" w:cs="SimSun"/>
          <w:spacing w:val="-27"/>
          <w:sz w:val="21"/>
          <w:szCs w:val="21"/>
        </w:rPr>
        <w:t xml:space="preserve"> </w:t>
      </w:r>
      <w:r>
        <w:rPr>
          <w:rFonts w:ascii="Times New Roman" w:eastAsia="Times New Roman" w:hAnsi="Times New Roman" w:cs="Times New Roman"/>
          <w:spacing w:val="-6"/>
          <w:sz w:val="21"/>
          <w:szCs w:val="21"/>
        </w:rPr>
        <w:t>12%</w:t>
      </w:r>
      <w:r>
        <w:rPr>
          <w:rFonts w:ascii="SimSun" w:eastAsia="SimSun" w:hAnsi="SimSun" w:cs="SimSun"/>
          <w:spacing w:val="-6"/>
          <w:sz w:val="21"/>
          <w:szCs w:val="21"/>
        </w:rPr>
        <w:t>。</w:t>
      </w:r>
    </w:p>
    <w:p>
      <w:pPr>
        <w:spacing w:before="211" w:line="271" w:lineRule="auto"/>
        <w:ind w:left="235" w:right="87"/>
        <w:jc w:val="both"/>
        <w:rPr>
          <w:rFonts w:ascii="SimSun" w:eastAsia="SimSun" w:hAnsi="SimSun" w:cs="SimSun"/>
          <w:sz w:val="21"/>
          <w:szCs w:val="21"/>
        </w:rPr>
      </w:pPr>
      <w:r>
        <w:rPr>
          <w:rFonts w:ascii="SimSun" w:eastAsia="SimSun" w:hAnsi="SimSun" w:cs="SimSun"/>
          <w:spacing w:val="-1"/>
          <w:sz w:val="21"/>
          <w:szCs w:val="21"/>
        </w:rPr>
        <w:t>在行业竞争方面，软件产业包含不同特性领域，区域属性和行业属性强，定制化程度高，主要系软件产品</w:t>
      </w:r>
      <w:r>
        <w:rPr>
          <w:rFonts w:ascii="SimSun" w:eastAsia="SimSun" w:hAnsi="SimSun" w:cs="SimSun"/>
          <w:spacing w:val="17"/>
          <w:sz w:val="21"/>
          <w:szCs w:val="21"/>
        </w:rPr>
        <w:t xml:space="preserve"> </w:t>
      </w:r>
      <w:r>
        <w:rPr>
          <w:rFonts w:ascii="SimSun" w:eastAsia="SimSun" w:hAnsi="SimSun" w:cs="SimSun"/>
          <w:spacing w:val="-4"/>
          <w:sz w:val="21"/>
          <w:szCs w:val="21"/>
        </w:rPr>
        <w:t>的下游各行业市场特性不尽相同，</w:t>
      </w:r>
      <w:r>
        <w:rPr>
          <w:rFonts w:ascii="Times New Roman" w:eastAsia="Times New Roman" w:hAnsi="Times New Roman" w:cs="Times New Roman"/>
          <w:spacing w:val="-4"/>
          <w:sz w:val="21"/>
          <w:szCs w:val="21"/>
        </w:rPr>
        <w:t>IT</w:t>
      </w:r>
      <w:r>
        <w:rPr>
          <w:rFonts w:ascii="Times New Roman" w:eastAsia="Times New Roman" w:hAnsi="Times New Roman" w:cs="Times New Roman"/>
          <w:spacing w:val="15"/>
          <w:sz w:val="21"/>
          <w:szCs w:val="21"/>
        </w:rPr>
        <w:t xml:space="preserve"> </w:t>
      </w:r>
      <w:r>
        <w:rPr>
          <w:rFonts w:ascii="SimSun" w:eastAsia="SimSun" w:hAnsi="SimSun" w:cs="SimSun"/>
          <w:spacing w:val="-4"/>
          <w:sz w:val="21"/>
          <w:szCs w:val="21"/>
        </w:rPr>
        <w:t>市场</w:t>
      </w:r>
      <w:r>
        <w:rPr>
          <w:rFonts w:ascii="SimSun" w:eastAsia="SimSun" w:hAnsi="SimSun" w:cs="SimSun"/>
          <w:spacing w:val="-5"/>
          <w:sz w:val="21"/>
          <w:szCs w:val="21"/>
        </w:rPr>
        <w:t>需求呈现多样化。从整体来看，</w:t>
      </w:r>
      <w:r>
        <w:rPr>
          <w:rFonts w:ascii="SimSun" w:eastAsia="SimSun" w:hAnsi="SimSun" w:cs="SimSun"/>
          <w:spacing w:val="-36"/>
          <w:sz w:val="21"/>
          <w:szCs w:val="21"/>
        </w:rPr>
        <w:t xml:space="preserve"> </w:t>
      </w:r>
      <w:r>
        <w:rPr>
          <w:rFonts w:ascii="SimSun" w:eastAsia="SimSun" w:hAnsi="SimSun" w:cs="SimSun"/>
          <w:spacing w:val="-5"/>
          <w:sz w:val="21"/>
          <w:szCs w:val="21"/>
        </w:rPr>
        <w:t>我国软件行业进入门槛低，</w:t>
      </w:r>
      <w:r>
        <w:rPr>
          <w:rFonts w:ascii="SimSun" w:eastAsia="SimSun" w:hAnsi="SimSun" w:cs="SimSun"/>
          <w:spacing w:val="-39"/>
          <w:sz w:val="21"/>
          <w:szCs w:val="21"/>
        </w:rPr>
        <w:t xml:space="preserve"> </w:t>
      </w:r>
      <w:r>
        <w:rPr>
          <w:rFonts w:ascii="SimSun" w:eastAsia="SimSun" w:hAnsi="SimSun" w:cs="SimSun"/>
          <w:spacing w:val="-5"/>
          <w:sz w:val="21"/>
          <w:szCs w:val="21"/>
        </w:rPr>
        <w:t>有大</w:t>
      </w:r>
      <w:r>
        <w:rPr>
          <w:rFonts w:ascii="SimSun" w:eastAsia="SimSun" w:hAnsi="SimSun" w:cs="SimSun"/>
          <w:sz w:val="21"/>
          <w:szCs w:val="21"/>
        </w:rPr>
        <w:t xml:space="preserve"> </w:t>
      </w:r>
      <w:r>
        <w:rPr>
          <w:rFonts w:ascii="SimSun" w:eastAsia="SimSun" w:hAnsi="SimSun" w:cs="SimSun"/>
          <w:spacing w:val="-1"/>
          <w:sz w:val="21"/>
          <w:szCs w:val="21"/>
        </w:rPr>
        <w:t>量的细分领域，使得行业内企业数量众多且分散。据工信部统计，</w:t>
      </w:r>
      <w:r>
        <w:rPr>
          <w:rFonts w:ascii="Times New Roman" w:eastAsia="Times New Roman" w:hAnsi="Times New Roman" w:cs="Times New Roman"/>
          <w:spacing w:val="-1"/>
          <w:sz w:val="21"/>
          <w:szCs w:val="21"/>
        </w:rPr>
        <w:t xml:space="preserve">2022 </w:t>
      </w:r>
      <w:r>
        <w:rPr>
          <w:rFonts w:ascii="SimSun" w:eastAsia="SimSun" w:hAnsi="SimSun" w:cs="SimSun"/>
          <w:spacing w:val="-1"/>
          <w:sz w:val="21"/>
          <w:szCs w:val="21"/>
        </w:rPr>
        <w:t>年末全国软件企业数量达到</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35014</w:t>
      </w:r>
      <w:r>
        <w:rPr>
          <w:rFonts w:ascii="Times New Roman" w:eastAsia="Times New Roman" w:hAnsi="Times New Roman" w:cs="Times New Roman"/>
          <w:sz w:val="21"/>
          <w:szCs w:val="21"/>
        </w:rPr>
        <w:t xml:space="preserve"> </w:t>
      </w:r>
      <w:r>
        <w:rPr>
          <w:rFonts w:ascii="SimSun" w:eastAsia="SimSun" w:hAnsi="SimSun" w:cs="SimSun"/>
          <w:spacing w:val="-3"/>
          <w:sz w:val="21"/>
          <w:szCs w:val="21"/>
        </w:rPr>
        <w:t>个，</w:t>
      </w:r>
      <w:r>
        <w:rPr>
          <w:rFonts w:ascii="SimSun" w:eastAsia="SimSun" w:hAnsi="SimSun" w:cs="SimSun"/>
          <w:spacing w:val="-16"/>
          <w:sz w:val="21"/>
          <w:szCs w:val="21"/>
        </w:rPr>
        <w:t xml:space="preserve"> </w:t>
      </w:r>
      <w:r>
        <w:rPr>
          <w:rFonts w:ascii="SimSun" w:eastAsia="SimSun" w:hAnsi="SimSun" w:cs="SimSun"/>
          <w:spacing w:val="-3"/>
          <w:sz w:val="21"/>
          <w:szCs w:val="21"/>
        </w:rPr>
        <w:t>较上年末继续增加</w:t>
      </w:r>
      <w:r>
        <w:rPr>
          <w:rFonts w:ascii="SimSun" w:eastAsia="SimSun" w:hAnsi="SimSun" w:cs="SimSun"/>
          <w:spacing w:val="-52"/>
          <w:sz w:val="21"/>
          <w:szCs w:val="21"/>
        </w:rPr>
        <w:t xml:space="preserve"> </w:t>
      </w:r>
      <w:r>
        <w:rPr>
          <w:rFonts w:ascii="Times New Roman" w:eastAsia="Times New Roman" w:hAnsi="Times New Roman" w:cs="Times New Roman"/>
          <w:spacing w:val="-3"/>
          <w:sz w:val="21"/>
          <w:szCs w:val="21"/>
        </w:rPr>
        <w:t xml:space="preserve">4431 </w:t>
      </w:r>
      <w:r>
        <w:rPr>
          <w:rFonts w:ascii="SimSun" w:eastAsia="SimSun" w:hAnsi="SimSun" w:cs="SimSun"/>
          <w:spacing w:val="-3"/>
          <w:sz w:val="21"/>
          <w:szCs w:val="21"/>
        </w:rPr>
        <w:t>家，增长</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14.49%</w:t>
      </w:r>
      <w:r>
        <w:rPr>
          <w:rFonts w:ascii="SimSun" w:eastAsia="SimSun" w:hAnsi="SimSun" w:cs="SimSun"/>
          <w:spacing w:val="-3"/>
          <w:sz w:val="21"/>
          <w:szCs w:val="21"/>
        </w:rPr>
        <w:t>。随着市场竞争不断加剧，行业集中度在不断提升，</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w:t>
      </w:r>
    </w:p>
    <w:p>
      <w:pPr>
        <w:spacing w:line="271" w:lineRule="auto"/>
        <w:rPr>
          <w:rFonts w:ascii="SimSun" w:eastAsia="SimSun" w:hAnsi="SimSun" w:cs="SimSun"/>
          <w:sz w:val="21"/>
          <w:szCs w:val="21"/>
        </w:rPr>
        <w:sectPr>
          <w:headerReference w:type="default" r:id="rId46"/>
          <w:footerReference w:type="default" r:id="rId47"/>
          <w:type w:val="nextPage"/>
          <w:pgSz w:w="11907" w:h="16839"/>
          <w:pgMar w:top="1336" w:right="1041" w:bottom="1269" w:left="905" w:header="1148" w:footer="1077" w:gutter="0"/>
          <w:pgNumType w:start="17"/>
          <w:cols w:num="1" w:space="708" w:equalWidth="0">
            <w:col w:w="9960" w:space="0"/>
          </w:cols>
          <w:titlePg w:val="0"/>
        </w:sectPr>
      </w:pPr>
    </w:p>
    <w:p>
      <w:pPr>
        <w:spacing w:line="324" w:lineRule="auto"/>
        <w:rPr>
          <w:rFonts w:ascii="Arial"/>
          <w:sz w:val="21"/>
        </w:rPr>
      </w:pPr>
      <w:r>
        <w:pict>
          <v:rect id="_x0000_s1118" style="width:360.75pt;height:0.75pt;margin-top:354.36pt;margin-left:149.4pt;mso-position-horizontal-relative:page;mso-position-vertical-relative:page;position:absolute;z-index:251742208" o:allowincell="f" filled="t" fillcolor="#d9d9d9" stroked="f"/>
        </w:pict>
      </w:r>
      <w:r>
        <w:pict>
          <v:rect id="_x0000_s1119" style="width:144.1pt;height:0.75pt;margin-top:752.76pt;margin-left:56.64pt;mso-position-horizontal-relative:page;mso-position-vertical-relative:page;position:absolute;z-index:251741184" o:allowincell="f" filled="t" fillcolor="black" stroked="f"/>
        </w:pict>
      </w:r>
      <w:r>
        <w:pict>
          <v:shape id="_x0000_s1120" style="width:62.4pt;height:16pt;margin-top:351.72pt;margin-left:358.68pt;mso-position-horizontal-relative:page;mso-position-vertical-relative:page;position:absolute;z-index:251744256" coordorigin="0,0" coordsize="1248,320" o:allowincell="f" path="m22,22l1225,296e" filled="f" strokecolor="#c0504d" strokeweight="2.28pt">
            <v:stroke endcap="round"/>
          </v:shape>
        </w:pict>
      </w:r>
      <w:r>
        <w:pict>
          <v:shape id="_x0000_s1121" type="#_x0000_t202" style="width:438.45pt;height:47.6pt;margin-top:368.52pt;margin-left:73.04pt;mso-position-horizontal-relative:page;mso-position-vertical-relative:page;position:absolute;z-index:251743232" o:allowincell="f" filled="f" stroked="f">
            <o:lock v:ext="edit" aspectratio="f"/>
            <v:textbox inset="0,0,0,0">
              <w:txbxContent>
                <w:p>
                  <w:pPr>
                    <w:spacing w:line="20" w:lineRule="exact"/>
                  </w:pPr>
                </w:p>
                <w:tbl>
                  <w:tblPr>
                    <w:tblStyle w:val="TableNormal5"/>
                    <w:tblW w:w="8718" w:type="dxa"/>
                    <w:tblInd w:w="2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
                  <w:tblGrid>
                    <w:gridCol w:w="1505"/>
                    <w:gridCol w:w="1201"/>
                    <w:gridCol w:w="1201"/>
                    <w:gridCol w:w="1201"/>
                    <w:gridCol w:w="1201"/>
                    <w:gridCol w:w="1201"/>
                    <w:gridCol w:w="1208"/>
                  </w:tblGrid>
                  <w:tr>
                    <w:tblPrEx>
                      <w:tblW w:w="8718" w:type="dxa"/>
                      <w:tblInd w:w="2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Ex>
                    <w:trPr>
                      <w:trHeight w:val="221"/>
                    </w:trPr>
                    <w:tc>
                      <w:tcPr>
                        <w:tcW w:w="1505" w:type="dxa"/>
                        <w:tcBorders>
                          <w:top w:val="nil"/>
                          <w:left w:val="nil"/>
                        </w:tcBorders>
                        <w:vAlign w:val="top"/>
                      </w:tcPr>
                      <w:p>
                        <w:pPr>
                          <w:spacing w:line="168" w:lineRule="auto"/>
                          <w:ind w:left="1163"/>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7000</w:t>
                        </w:r>
                      </w:p>
                    </w:tc>
                    <w:tc>
                      <w:tcPr>
                        <w:tcW w:w="1201" w:type="dxa"/>
                        <w:vAlign w:val="top"/>
                      </w:tcPr>
                      <w:p>
                        <w:pPr>
                          <w:pStyle w:val="TableText"/>
                          <w:spacing w:before="64" w:line="220" w:lineRule="auto"/>
                          <w:ind w:left="414"/>
                          <w:rPr>
                            <w:sz w:val="12"/>
                            <w:szCs w:val="12"/>
                          </w:rPr>
                        </w:pPr>
                        <w:r>
                          <w:rPr>
                            <w:rFonts w:ascii="Times New Roman" w:eastAsia="Times New Roman" w:hAnsi="Times New Roman" w:cs="Times New Roman"/>
                            <w:color w:val="595959"/>
                            <w:spacing w:val="-1"/>
                            <w:sz w:val="12"/>
                            <w:szCs w:val="12"/>
                          </w:rPr>
                          <w:t>2018</w:t>
                        </w:r>
                        <w:r>
                          <w:rPr>
                            <w:color w:val="595959"/>
                            <w:spacing w:val="-1"/>
                            <w:sz w:val="12"/>
                            <w:szCs w:val="12"/>
                          </w:rPr>
                          <w:t>年</w:t>
                        </w:r>
                      </w:p>
                    </w:tc>
                    <w:tc>
                      <w:tcPr>
                        <w:tcW w:w="1201" w:type="dxa"/>
                        <w:vAlign w:val="top"/>
                      </w:tcPr>
                      <w:p>
                        <w:pPr>
                          <w:pStyle w:val="TableText"/>
                          <w:spacing w:before="64" w:line="220" w:lineRule="auto"/>
                          <w:ind w:left="416"/>
                          <w:rPr>
                            <w:sz w:val="12"/>
                            <w:szCs w:val="12"/>
                          </w:rPr>
                        </w:pPr>
                        <w:r>
                          <w:rPr>
                            <w:rFonts w:ascii="Times New Roman" w:eastAsia="Times New Roman" w:hAnsi="Times New Roman" w:cs="Times New Roman"/>
                            <w:color w:val="595959"/>
                            <w:spacing w:val="-1"/>
                            <w:sz w:val="12"/>
                            <w:szCs w:val="12"/>
                          </w:rPr>
                          <w:t>2019</w:t>
                        </w:r>
                        <w:r>
                          <w:rPr>
                            <w:color w:val="595959"/>
                            <w:spacing w:val="-1"/>
                            <w:sz w:val="12"/>
                            <w:szCs w:val="12"/>
                          </w:rPr>
                          <w:t>年</w:t>
                        </w:r>
                      </w:p>
                    </w:tc>
                    <w:tc>
                      <w:tcPr>
                        <w:tcW w:w="1201" w:type="dxa"/>
                        <w:vAlign w:val="top"/>
                      </w:tcPr>
                      <w:p>
                        <w:pPr>
                          <w:pStyle w:val="TableText"/>
                          <w:spacing w:before="64" w:line="220" w:lineRule="auto"/>
                          <w:ind w:left="417"/>
                          <w:rPr>
                            <w:sz w:val="12"/>
                            <w:szCs w:val="12"/>
                          </w:rPr>
                        </w:pPr>
                        <w:r>
                          <w:rPr>
                            <w:rFonts w:ascii="Times New Roman" w:eastAsia="Times New Roman" w:hAnsi="Times New Roman" w:cs="Times New Roman"/>
                            <w:color w:val="595959"/>
                            <w:spacing w:val="-1"/>
                            <w:sz w:val="12"/>
                            <w:szCs w:val="12"/>
                          </w:rPr>
                          <w:t>2020</w:t>
                        </w:r>
                        <w:r>
                          <w:rPr>
                            <w:color w:val="595959"/>
                            <w:spacing w:val="-1"/>
                            <w:sz w:val="12"/>
                            <w:szCs w:val="12"/>
                          </w:rPr>
                          <w:t>年</w:t>
                        </w:r>
                      </w:p>
                    </w:tc>
                    <w:tc>
                      <w:tcPr>
                        <w:tcW w:w="1201" w:type="dxa"/>
                        <w:vAlign w:val="top"/>
                      </w:tcPr>
                      <w:p>
                        <w:pPr>
                          <w:pStyle w:val="TableText"/>
                          <w:spacing w:before="64" w:line="220" w:lineRule="auto"/>
                          <w:ind w:left="419"/>
                          <w:rPr>
                            <w:sz w:val="12"/>
                            <w:szCs w:val="12"/>
                          </w:rPr>
                        </w:pPr>
                        <w:r>
                          <w:rPr>
                            <w:rFonts w:ascii="Times New Roman" w:eastAsia="Times New Roman" w:hAnsi="Times New Roman" w:cs="Times New Roman"/>
                            <w:color w:val="595959"/>
                            <w:spacing w:val="-1"/>
                            <w:sz w:val="12"/>
                            <w:szCs w:val="12"/>
                          </w:rPr>
                          <w:t>2021</w:t>
                        </w:r>
                        <w:r>
                          <w:rPr>
                            <w:color w:val="595959"/>
                            <w:spacing w:val="-1"/>
                            <w:sz w:val="12"/>
                            <w:szCs w:val="12"/>
                          </w:rPr>
                          <w:t>年</w:t>
                        </w:r>
                      </w:p>
                    </w:tc>
                    <w:tc>
                      <w:tcPr>
                        <w:tcW w:w="1201" w:type="dxa"/>
                        <w:vAlign w:val="top"/>
                      </w:tcPr>
                      <w:p>
                        <w:pPr>
                          <w:pStyle w:val="TableText"/>
                          <w:spacing w:before="64" w:line="220" w:lineRule="auto"/>
                          <w:ind w:left="421"/>
                          <w:rPr>
                            <w:sz w:val="12"/>
                            <w:szCs w:val="12"/>
                          </w:rPr>
                        </w:pPr>
                        <w:r>
                          <w:rPr>
                            <w:rFonts w:ascii="Times New Roman" w:eastAsia="Times New Roman" w:hAnsi="Times New Roman" w:cs="Times New Roman"/>
                            <w:color w:val="595959"/>
                            <w:spacing w:val="-1"/>
                            <w:sz w:val="12"/>
                            <w:szCs w:val="12"/>
                          </w:rPr>
                          <w:t>2022</w:t>
                        </w:r>
                        <w:r>
                          <w:rPr>
                            <w:color w:val="595959"/>
                            <w:spacing w:val="-1"/>
                            <w:sz w:val="12"/>
                            <w:szCs w:val="12"/>
                          </w:rPr>
                          <w:t>年</w:t>
                        </w:r>
                      </w:p>
                    </w:tc>
                    <w:tc>
                      <w:tcPr>
                        <w:tcW w:w="1208" w:type="dxa"/>
                        <w:vAlign w:val="top"/>
                      </w:tcPr>
                      <w:p>
                        <w:pPr>
                          <w:pStyle w:val="TableText"/>
                          <w:spacing w:before="64" w:line="220" w:lineRule="auto"/>
                          <w:ind w:left="182"/>
                          <w:rPr>
                            <w:sz w:val="12"/>
                            <w:szCs w:val="12"/>
                          </w:rPr>
                        </w:pPr>
                        <w:r>
                          <w:rPr>
                            <w:rFonts w:ascii="Times New Roman" w:eastAsia="Times New Roman" w:hAnsi="Times New Roman" w:cs="Times New Roman"/>
                            <w:color w:val="595959"/>
                            <w:spacing w:val="-1"/>
                            <w:sz w:val="12"/>
                            <w:szCs w:val="12"/>
                          </w:rPr>
                          <w:t>2023</w:t>
                        </w:r>
                        <w:r>
                          <w:rPr>
                            <w:color w:val="595959"/>
                            <w:spacing w:val="-1"/>
                            <w:sz w:val="12"/>
                            <w:szCs w:val="12"/>
                          </w:rPr>
                          <w:t>年前三季度</w:t>
                        </w:r>
                      </w:p>
                    </w:tc>
                  </w:tr>
                  <w:tr>
                    <w:tblPrEx>
                      <w:tblW w:w="8718" w:type="dxa"/>
                      <w:tblInd w:w="25" w:type="dxa"/>
                      <w:tblLayout w:type="fixed"/>
                    </w:tblPrEx>
                    <w:trPr>
                      <w:trHeight w:val="211"/>
                    </w:trPr>
                    <w:tc>
                      <w:tcPr>
                        <w:tcW w:w="1505" w:type="dxa"/>
                        <w:vAlign w:val="top"/>
                      </w:tcPr>
                      <w:p>
                        <w:pPr>
                          <w:pStyle w:val="TableText"/>
                          <w:spacing w:before="36" w:line="220" w:lineRule="auto"/>
                          <w:ind w:left="59"/>
                          <w:rPr>
                            <w:sz w:val="12"/>
                            <w:szCs w:val="12"/>
                          </w:rPr>
                        </w:pPr>
                        <w:r>
                          <w:rPr>
                            <w:color w:val="595959"/>
                            <w:position w:val="2"/>
                            <w:sz w:val="12"/>
                            <w:szCs w:val="12"/>
                          </w:rPr>
                          <w:drawing>
                            <wp:inline distT="0" distB="0" distL="0" distR="0">
                              <wp:extent cx="24384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8"/>
                                      <a:stretch>
                                        <a:fillRect/>
                                      </a:stretch>
                                    </pic:blipFill>
                                    <pic:spPr>
                                      <a:xfrm>
                                        <a:off x="0" y="0"/>
                                        <a:ext cx="243840" cy="38100"/>
                                      </a:xfrm>
                                      <a:prstGeom prst="rect">
                                        <a:avLst/>
                                      </a:prstGeom>
                                    </pic:spPr>
                                  </pic:pic>
                                </a:graphicData>
                              </a:graphic>
                            </wp:inline>
                          </w:drawing>
                        </w:r>
                        <w:r>
                          <w:rPr>
                            <w:color w:val="595959"/>
                            <w:spacing w:val="-12"/>
                            <w:sz w:val="12"/>
                            <w:szCs w:val="12"/>
                          </w:rPr>
                          <w:t xml:space="preserve"> </w:t>
                        </w:r>
                        <w:r>
                          <w:rPr>
                            <w:color w:val="595959"/>
                            <w:spacing w:val="-2"/>
                            <w:sz w:val="12"/>
                            <w:szCs w:val="12"/>
                          </w:rPr>
                          <w:t>利润总额（亿元）</w:t>
                        </w:r>
                      </w:p>
                    </w:tc>
                    <w:tc>
                      <w:tcPr>
                        <w:tcW w:w="1201" w:type="dxa"/>
                        <w:vAlign w:val="top"/>
                      </w:tcPr>
                      <w:p>
                        <w:pPr>
                          <w:spacing w:before="62" w:line="186" w:lineRule="auto"/>
                          <w:ind w:left="480"/>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8079</w:t>
                        </w:r>
                      </w:p>
                    </w:tc>
                    <w:tc>
                      <w:tcPr>
                        <w:tcW w:w="1201" w:type="dxa"/>
                        <w:vAlign w:val="top"/>
                      </w:tcPr>
                      <w:p>
                        <w:pPr>
                          <w:spacing w:before="62" w:line="186" w:lineRule="auto"/>
                          <w:ind w:left="47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9362</w:t>
                        </w:r>
                      </w:p>
                    </w:tc>
                    <w:tc>
                      <w:tcPr>
                        <w:tcW w:w="1201" w:type="dxa"/>
                        <w:vAlign w:val="top"/>
                      </w:tcPr>
                      <w:p>
                        <w:pPr>
                          <w:spacing w:before="62" w:line="186" w:lineRule="auto"/>
                          <w:ind w:left="46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10676</w:t>
                        </w:r>
                      </w:p>
                    </w:tc>
                    <w:tc>
                      <w:tcPr>
                        <w:tcW w:w="1201" w:type="dxa"/>
                        <w:vAlign w:val="top"/>
                      </w:tcPr>
                      <w:p>
                        <w:pPr>
                          <w:spacing w:before="62" w:line="186" w:lineRule="auto"/>
                          <w:ind w:left="46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11875</w:t>
                        </w:r>
                      </w:p>
                    </w:tc>
                    <w:tc>
                      <w:tcPr>
                        <w:tcW w:w="1201" w:type="dxa"/>
                        <w:vAlign w:val="top"/>
                      </w:tcPr>
                      <w:p>
                        <w:pPr>
                          <w:spacing w:before="62" w:line="186" w:lineRule="auto"/>
                          <w:ind w:left="464"/>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12648</w:t>
                        </w:r>
                      </w:p>
                    </w:tc>
                    <w:tc>
                      <w:tcPr>
                        <w:tcW w:w="1208" w:type="dxa"/>
                        <w:vAlign w:val="top"/>
                      </w:tcPr>
                      <w:p>
                        <w:pPr>
                          <w:spacing w:before="62" w:line="186" w:lineRule="auto"/>
                          <w:ind w:left="465"/>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10090</w:t>
                        </w:r>
                      </w:p>
                    </w:tc>
                  </w:tr>
                  <w:tr>
                    <w:tblPrEx>
                      <w:tblW w:w="8718" w:type="dxa"/>
                      <w:tblInd w:w="25" w:type="dxa"/>
                      <w:tblLayout w:type="fixed"/>
                    </w:tblPrEx>
                    <w:trPr>
                      <w:trHeight w:val="211"/>
                    </w:trPr>
                    <w:tc>
                      <w:tcPr>
                        <w:tcW w:w="1505" w:type="dxa"/>
                        <w:vAlign w:val="top"/>
                      </w:tcPr>
                      <w:p>
                        <w:pPr>
                          <w:pStyle w:val="TableText"/>
                          <w:spacing w:before="39" w:line="220" w:lineRule="auto"/>
                          <w:ind w:left="38"/>
                          <w:rPr>
                            <w:sz w:val="12"/>
                            <w:szCs w:val="12"/>
                          </w:rPr>
                        </w:pPr>
                        <w:r>
                          <w:rPr>
                            <w:color w:val="595959"/>
                            <w:position w:val="3"/>
                            <w:sz w:val="12"/>
                            <w:szCs w:val="12"/>
                          </w:rPr>
                          <w:drawing>
                            <wp:inline distT="0" distB="0" distL="0" distR="0">
                              <wp:extent cx="269747" cy="25907"/>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9"/>
                                      <a:stretch>
                                        <a:fillRect/>
                                      </a:stretch>
                                    </pic:blipFill>
                                    <pic:spPr>
                                      <a:xfrm>
                                        <a:off x="0" y="0"/>
                                        <a:ext cx="269747" cy="25907"/>
                                      </a:xfrm>
                                      <a:prstGeom prst="rect">
                                        <a:avLst/>
                                      </a:prstGeom>
                                    </pic:spPr>
                                  </pic:pic>
                                </a:graphicData>
                              </a:graphic>
                            </wp:inline>
                          </w:drawing>
                        </w:r>
                        <w:r>
                          <w:rPr>
                            <w:color w:val="595959"/>
                            <w:spacing w:val="-35"/>
                            <w:sz w:val="12"/>
                            <w:szCs w:val="12"/>
                          </w:rPr>
                          <w:t xml:space="preserve"> </w:t>
                        </w:r>
                        <w:r>
                          <w:rPr>
                            <w:color w:val="595959"/>
                            <w:spacing w:val="-1"/>
                            <w:sz w:val="12"/>
                            <w:szCs w:val="12"/>
                          </w:rPr>
                          <w:t>利润增速</w:t>
                        </w:r>
                      </w:p>
                    </w:tc>
                    <w:tc>
                      <w:tcPr>
                        <w:tcW w:w="1201" w:type="dxa"/>
                        <w:vAlign w:val="top"/>
                      </w:tcPr>
                      <w:p>
                        <w:pPr>
                          <w:spacing w:before="65" w:line="186" w:lineRule="auto"/>
                          <w:ind w:left="442"/>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9.70%</w:t>
                        </w:r>
                      </w:p>
                    </w:tc>
                    <w:tc>
                      <w:tcPr>
                        <w:tcW w:w="1201" w:type="dxa"/>
                        <w:vAlign w:val="top"/>
                      </w:tcPr>
                      <w:p>
                        <w:pPr>
                          <w:spacing w:before="65" w:line="186" w:lineRule="auto"/>
                          <w:ind w:left="444"/>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9.90%</w:t>
                        </w:r>
                      </w:p>
                    </w:tc>
                    <w:tc>
                      <w:tcPr>
                        <w:tcW w:w="1201" w:type="dxa"/>
                        <w:vAlign w:val="top"/>
                      </w:tcPr>
                      <w:p>
                        <w:pPr>
                          <w:spacing w:before="65" w:line="186" w:lineRule="auto"/>
                          <w:ind w:left="445"/>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7.80%</w:t>
                        </w:r>
                      </w:p>
                    </w:tc>
                    <w:tc>
                      <w:tcPr>
                        <w:tcW w:w="1201" w:type="dxa"/>
                        <w:vAlign w:val="top"/>
                      </w:tcPr>
                      <w:p>
                        <w:pPr>
                          <w:spacing w:before="65" w:line="186" w:lineRule="auto"/>
                          <w:ind w:left="44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7.60%</w:t>
                        </w:r>
                      </w:p>
                    </w:tc>
                    <w:tc>
                      <w:tcPr>
                        <w:tcW w:w="1201" w:type="dxa"/>
                        <w:vAlign w:val="top"/>
                      </w:tcPr>
                      <w:p>
                        <w:pPr>
                          <w:spacing w:before="65" w:line="186" w:lineRule="auto"/>
                          <w:ind w:left="45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5.70%</w:t>
                        </w:r>
                      </w:p>
                    </w:tc>
                    <w:tc>
                      <w:tcPr>
                        <w:tcW w:w="1208" w:type="dxa"/>
                        <w:vAlign w:val="top"/>
                      </w:tcPr>
                      <w:p>
                        <w:pPr>
                          <w:spacing w:before="65" w:line="186" w:lineRule="auto"/>
                          <w:ind w:left="43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18.30%</w:t>
                        </w:r>
                      </w:p>
                    </w:tc>
                  </w:tr>
                  <w:tr>
                    <w:tblPrEx>
                      <w:tblW w:w="8718" w:type="dxa"/>
                      <w:tblInd w:w="25" w:type="dxa"/>
                      <w:tblLayout w:type="fixed"/>
                    </w:tblPrEx>
                    <w:trPr>
                      <w:trHeight w:val="218"/>
                    </w:trPr>
                    <w:tc>
                      <w:tcPr>
                        <w:tcW w:w="1505" w:type="dxa"/>
                        <w:vAlign w:val="top"/>
                      </w:tcPr>
                      <w:p>
                        <w:pPr>
                          <w:pStyle w:val="TableText"/>
                          <w:spacing w:before="41" w:line="220" w:lineRule="auto"/>
                          <w:ind w:left="38"/>
                          <w:rPr>
                            <w:sz w:val="12"/>
                            <w:szCs w:val="12"/>
                          </w:rPr>
                        </w:pPr>
                        <w:r>
                          <w:rPr>
                            <w:color w:val="595959"/>
                            <w:position w:val="3"/>
                            <w:sz w:val="12"/>
                            <w:szCs w:val="12"/>
                          </w:rPr>
                          <w:drawing>
                            <wp:inline distT="0" distB="0" distL="0" distR="0">
                              <wp:extent cx="269747" cy="25907"/>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0"/>
                                      <a:stretch>
                                        <a:fillRect/>
                                      </a:stretch>
                                    </pic:blipFill>
                                    <pic:spPr>
                                      <a:xfrm>
                                        <a:off x="0" y="0"/>
                                        <a:ext cx="269747" cy="25907"/>
                                      </a:xfrm>
                                      <a:prstGeom prst="rect">
                                        <a:avLst/>
                                      </a:prstGeom>
                                    </pic:spPr>
                                  </pic:pic>
                                </a:graphicData>
                              </a:graphic>
                            </wp:inline>
                          </w:drawing>
                        </w:r>
                        <w:r>
                          <w:rPr>
                            <w:color w:val="595959"/>
                            <w:spacing w:val="-34"/>
                            <w:sz w:val="12"/>
                            <w:szCs w:val="12"/>
                          </w:rPr>
                          <w:t xml:space="preserve"> </w:t>
                        </w:r>
                        <w:r>
                          <w:rPr>
                            <w:color w:val="595959"/>
                            <w:spacing w:val="-2"/>
                            <w:sz w:val="12"/>
                            <w:szCs w:val="12"/>
                          </w:rPr>
                          <w:t>利润率</w:t>
                        </w:r>
                      </w:p>
                    </w:tc>
                    <w:tc>
                      <w:tcPr>
                        <w:tcW w:w="1201" w:type="dxa"/>
                        <w:vAlign w:val="top"/>
                      </w:tcPr>
                      <w:p>
                        <w:pPr>
                          <w:spacing w:before="66" w:line="187" w:lineRule="auto"/>
                          <w:ind w:left="421"/>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12.81%</w:t>
                        </w:r>
                      </w:p>
                    </w:tc>
                    <w:tc>
                      <w:tcPr>
                        <w:tcW w:w="1201" w:type="dxa"/>
                        <w:vAlign w:val="top"/>
                      </w:tcPr>
                      <w:p>
                        <w:pPr>
                          <w:spacing w:before="66" w:line="187" w:lineRule="auto"/>
                          <w:ind w:left="423"/>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13.04%</w:t>
                        </w:r>
                      </w:p>
                    </w:tc>
                    <w:tc>
                      <w:tcPr>
                        <w:tcW w:w="1201" w:type="dxa"/>
                        <w:vAlign w:val="top"/>
                      </w:tcPr>
                      <w:p>
                        <w:pPr>
                          <w:spacing w:before="66" w:line="187" w:lineRule="auto"/>
                          <w:ind w:left="425"/>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13.08%</w:t>
                        </w:r>
                      </w:p>
                    </w:tc>
                    <w:tc>
                      <w:tcPr>
                        <w:tcW w:w="1201" w:type="dxa"/>
                        <w:vAlign w:val="top"/>
                      </w:tcPr>
                      <w:p>
                        <w:pPr>
                          <w:spacing w:before="66" w:line="187" w:lineRule="auto"/>
                          <w:ind w:left="427"/>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12.50%</w:t>
                        </w:r>
                      </w:p>
                    </w:tc>
                    <w:tc>
                      <w:tcPr>
                        <w:tcW w:w="1201" w:type="dxa"/>
                        <w:vAlign w:val="top"/>
                      </w:tcPr>
                      <w:p>
                        <w:pPr>
                          <w:spacing w:before="66" w:line="187" w:lineRule="auto"/>
                          <w:ind w:left="42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11.70%</w:t>
                        </w:r>
                      </w:p>
                    </w:tc>
                    <w:tc>
                      <w:tcPr>
                        <w:tcW w:w="1208" w:type="dxa"/>
                        <w:vAlign w:val="top"/>
                      </w:tcPr>
                      <w:p>
                        <w:pPr>
                          <w:spacing w:before="66" w:line="187" w:lineRule="auto"/>
                          <w:ind w:left="430"/>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11.52%</w:t>
                        </w:r>
                      </w:p>
                    </w:tc>
                  </w:tr>
                </w:tbl>
                <w:p>
                  <w:pPr>
                    <w:rPr>
                      <w:rFonts w:ascii="Arial"/>
                      <w:sz w:val="21"/>
                    </w:rPr>
                  </w:pPr>
                </w:p>
              </w:txbxContent>
            </v:textbox>
          </v:shape>
        </w:pict>
      </w:r>
      <w:r>
        <w:pict>
          <v:shape id="_x0000_s1122" style="width:481.8pt;height:0.5pt;margin-top:427.51pt;margin-left:56.88pt;mso-position-horizontal-relative:page;mso-position-vertical-relative:page;position:absolute;z-index:251740160" coordorigin="0,0" coordsize="9635,10" o:allowincell="f" path="m,9l9635,9l9635,l,l,9xe" filled="t" fillcolor="black" stroked="f"/>
        </w:pict>
      </w:r>
    </w:p>
    <w:p>
      <w:pPr>
        <w:spacing w:before="69" w:line="260" w:lineRule="auto"/>
        <w:ind w:left="37"/>
        <w:rPr>
          <w:rFonts w:ascii="SimSun" w:eastAsia="SimSun" w:hAnsi="SimSun" w:cs="SimSun"/>
          <w:sz w:val="21"/>
          <w:szCs w:val="21"/>
        </w:rPr>
      </w:pPr>
      <w:r>
        <w:rPr>
          <w:rFonts w:ascii="SimSun" w:eastAsia="SimSun" w:hAnsi="SimSun" w:cs="SimSun"/>
          <w:spacing w:val="-6"/>
          <w:sz w:val="21"/>
          <w:szCs w:val="21"/>
        </w:rPr>
        <w:t>末大型软件企业数量占比</w:t>
      </w:r>
      <w:r>
        <w:rPr>
          <w:rFonts w:ascii="SimSun" w:eastAsia="SimSun" w:hAnsi="SimSun" w:cs="SimSun"/>
          <w:spacing w:val="-44"/>
          <w:sz w:val="21"/>
          <w:szCs w:val="21"/>
        </w:rPr>
        <w:t xml:space="preserve"> </w:t>
      </w:r>
      <w:r>
        <w:rPr>
          <w:rFonts w:ascii="Times New Roman" w:eastAsia="Times New Roman" w:hAnsi="Times New Roman" w:cs="Times New Roman"/>
          <w:spacing w:val="-6"/>
          <w:sz w:val="21"/>
          <w:szCs w:val="21"/>
        </w:rPr>
        <w:t>11.16%</w:t>
      </w:r>
      <w:r>
        <w:rPr>
          <w:rFonts w:ascii="SimSun" w:eastAsia="SimSun" w:hAnsi="SimSun" w:cs="SimSun"/>
          <w:spacing w:val="-6"/>
          <w:sz w:val="21"/>
          <w:szCs w:val="21"/>
        </w:rPr>
        <w:t>，较</w:t>
      </w:r>
      <w:r>
        <w:rPr>
          <w:rFonts w:ascii="SimSun" w:eastAsia="SimSun" w:hAnsi="SimSun" w:cs="SimSun"/>
          <w:spacing w:val="-56"/>
          <w:sz w:val="21"/>
          <w:szCs w:val="21"/>
        </w:rPr>
        <w:t xml:space="preserve"> </w:t>
      </w:r>
      <w:r>
        <w:rPr>
          <w:rFonts w:ascii="Times New Roman" w:eastAsia="Times New Roman" w:hAnsi="Times New Roman" w:cs="Times New Roman"/>
          <w:spacing w:val="-6"/>
          <w:sz w:val="21"/>
          <w:szCs w:val="21"/>
        </w:rPr>
        <w:t xml:space="preserve">2021 </w:t>
      </w:r>
      <w:r>
        <w:rPr>
          <w:rFonts w:ascii="SimSun" w:eastAsia="SimSun" w:hAnsi="SimSun" w:cs="SimSun"/>
          <w:spacing w:val="-6"/>
          <w:sz w:val="21"/>
          <w:szCs w:val="21"/>
        </w:rPr>
        <w:t>年末上升</w:t>
      </w:r>
      <w:r>
        <w:rPr>
          <w:rFonts w:ascii="SimSun" w:eastAsia="SimSun" w:hAnsi="SimSun" w:cs="SimSun"/>
          <w:spacing w:val="-61"/>
          <w:sz w:val="21"/>
          <w:szCs w:val="21"/>
        </w:rPr>
        <w:t xml:space="preserve"> </w:t>
      </w:r>
      <w:r>
        <w:rPr>
          <w:rFonts w:ascii="Times New Roman" w:eastAsia="Times New Roman" w:hAnsi="Times New Roman" w:cs="Times New Roman"/>
          <w:spacing w:val="-6"/>
          <w:sz w:val="21"/>
          <w:szCs w:val="21"/>
        </w:rPr>
        <w:t xml:space="preserve">0.24 </w:t>
      </w:r>
      <w:r>
        <w:rPr>
          <w:rFonts w:ascii="SimSun" w:eastAsia="SimSun" w:hAnsi="SimSun" w:cs="SimSun"/>
          <w:spacing w:val="-6"/>
          <w:sz w:val="21"/>
          <w:szCs w:val="21"/>
        </w:rPr>
        <w:t>个百分点；大型软件企业软件业务收入占</w:t>
      </w:r>
      <w:r>
        <w:rPr>
          <w:rFonts w:ascii="SimSun" w:eastAsia="SimSun" w:hAnsi="SimSun" w:cs="SimSun"/>
          <w:spacing w:val="-7"/>
          <w:sz w:val="21"/>
          <w:szCs w:val="21"/>
        </w:rPr>
        <w:t>比</w:t>
      </w:r>
      <w:r>
        <w:rPr>
          <w:rFonts w:ascii="SimSun" w:eastAsia="SimSun" w:hAnsi="SimSun" w:cs="SimSun"/>
          <w:spacing w:val="-60"/>
          <w:sz w:val="21"/>
          <w:szCs w:val="21"/>
        </w:rPr>
        <w:t xml:space="preserve"> </w:t>
      </w:r>
      <w:r>
        <w:rPr>
          <w:rFonts w:ascii="Times New Roman" w:eastAsia="Times New Roman" w:hAnsi="Times New Roman" w:cs="Times New Roman"/>
          <w:spacing w:val="-7"/>
          <w:sz w:val="21"/>
          <w:szCs w:val="21"/>
        </w:rPr>
        <w:t>62.30%</w:t>
      </w:r>
      <w:r>
        <w:rPr>
          <w:rFonts w:ascii="SimSun" w:eastAsia="SimSun" w:hAnsi="SimSun" w:cs="SimSun"/>
          <w:spacing w:val="-7"/>
          <w:sz w:val="21"/>
          <w:szCs w:val="21"/>
        </w:rPr>
        <w:t>，</w:t>
      </w:r>
      <w:r>
        <w:rPr>
          <w:rFonts w:ascii="SimSun" w:eastAsia="SimSun" w:hAnsi="SimSun" w:cs="SimSun"/>
          <w:sz w:val="21"/>
          <w:szCs w:val="21"/>
        </w:rPr>
        <w:t xml:space="preserve"> </w:t>
      </w:r>
      <w:r>
        <w:rPr>
          <w:rFonts w:ascii="SimSun" w:eastAsia="SimSun" w:hAnsi="SimSun" w:cs="SimSun"/>
          <w:spacing w:val="-3"/>
          <w:sz w:val="21"/>
          <w:szCs w:val="21"/>
        </w:rPr>
        <w:t>较上年增加</w:t>
      </w:r>
      <w:r>
        <w:rPr>
          <w:rFonts w:ascii="SimSun" w:eastAsia="SimSun" w:hAnsi="SimSun" w:cs="SimSun"/>
          <w:spacing w:val="-15"/>
          <w:sz w:val="21"/>
          <w:szCs w:val="21"/>
        </w:rPr>
        <w:t xml:space="preserve"> </w:t>
      </w:r>
      <w:r>
        <w:rPr>
          <w:rFonts w:ascii="Times New Roman" w:eastAsia="Times New Roman" w:hAnsi="Times New Roman" w:cs="Times New Roman"/>
          <w:spacing w:val="-3"/>
          <w:sz w:val="21"/>
          <w:szCs w:val="21"/>
        </w:rPr>
        <w:t xml:space="preserve">1.01 </w:t>
      </w:r>
      <w:r>
        <w:rPr>
          <w:rFonts w:ascii="SimSun" w:eastAsia="SimSun" w:hAnsi="SimSun" w:cs="SimSun"/>
          <w:spacing w:val="-3"/>
          <w:sz w:val="21"/>
          <w:szCs w:val="21"/>
        </w:rPr>
        <w:t>个百分点。</w:t>
      </w:r>
    </w:p>
    <w:p>
      <w:pPr>
        <w:spacing w:before="210" w:line="286" w:lineRule="auto"/>
        <w:ind w:left="36" w:right="104"/>
        <w:jc w:val="both"/>
        <w:rPr>
          <w:rFonts w:ascii="SimSun" w:eastAsia="SimSun" w:hAnsi="SimSun" w:cs="SimSun"/>
          <w:sz w:val="21"/>
          <w:szCs w:val="21"/>
        </w:rPr>
      </w:pPr>
      <w:r>
        <w:rPr>
          <w:rFonts w:ascii="SimSun" w:eastAsia="SimSun" w:hAnsi="SimSun" w:cs="SimSun"/>
          <w:spacing w:val="-2"/>
          <w:sz w:val="21"/>
          <w:szCs w:val="21"/>
        </w:rPr>
        <w:t>在效益方面，随着行业规模的不断扩大，</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年以来软</w:t>
      </w:r>
      <w:r>
        <w:rPr>
          <w:rFonts w:ascii="SimSun" w:eastAsia="SimSun" w:hAnsi="SimSun" w:cs="SimSun"/>
          <w:spacing w:val="-3"/>
          <w:sz w:val="21"/>
          <w:szCs w:val="21"/>
        </w:rPr>
        <w:t>件行业利润总额也继续保持较快增长趋势，</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w:t>
      </w:r>
      <w:r>
        <w:rPr>
          <w:rFonts w:ascii="SimSun" w:eastAsia="SimSun" w:hAnsi="SimSun" w:cs="SimSun"/>
          <w:sz w:val="21"/>
          <w:szCs w:val="21"/>
        </w:rPr>
        <w:t xml:space="preserve"> </w:t>
      </w:r>
      <w:r>
        <w:rPr>
          <w:rFonts w:ascii="SimSun" w:eastAsia="SimSun" w:hAnsi="SimSun" w:cs="SimSun"/>
          <w:spacing w:val="-2"/>
          <w:sz w:val="21"/>
          <w:szCs w:val="21"/>
        </w:rPr>
        <w:t>及</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2023</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年前三季度全行业分别实现利润总额</w:t>
      </w:r>
      <w:r>
        <w:rPr>
          <w:rFonts w:ascii="SimSun" w:eastAsia="SimSun" w:hAnsi="SimSun" w:cs="SimSun"/>
          <w:spacing w:val="-23"/>
          <w:sz w:val="21"/>
          <w:szCs w:val="21"/>
        </w:rPr>
        <w:t xml:space="preserve"> </w:t>
      </w:r>
      <w:r>
        <w:rPr>
          <w:rFonts w:ascii="Times New Roman" w:eastAsia="Times New Roman" w:hAnsi="Times New Roman" w:cs="Times New Roman"/>
          <w:spacing w:val="-2"/>
          <w:sz w:val="21"/>
          <w:szCs w:val="21"/>
        </w:rPr>
        <w:t>12648</w:t>
      </w:r>
      <w:r>
        <w:rPr>
          <w:rFonts w:ascii="Times New Roman" w:eastAsia="Times New Roman" w:hAnsi="Times New Roman" w:cs="Times New Roman"/>
          <w:spacing w:val="14"/>
          <w:w w:val="101"/>
          <w:sz w:val="21"/>
          <w:szCs w:val="21"/>
        </w:rPr>
        <w:t xml:space="preserve"> </w:t>
      </w:r>
      <w:r>
        <w:rPr>
          <w:rFonts w:ascii="SimSun" w:eastAsia="SimSun" w:hAnsi="SimSun" w:cs="SimSun"/>
          <w:spacing w:val="-2"/>
          <w:sz w:val="21"/>
          <w:szCs w:val="21"/>
        </w:rPr>
        <w:t>亿元和</w:t>
      </w:r>
      <w:r>
        <w:rPr>
          <w:rFonts w:ascii="SimSun" w:eastAsia="SimSun" w:hAnsi="SimSun" w:cs="SimSun"/>
          <w:spacing w:val="-23"/>
          <w:sz w:val="21"/>
          <w:szCs w:val="21"/>
        </w:rPr>
        <w:t xml:space="preserve"> </w:t>
      </w:r>
      <w:r>
        <w:rPr>
          <w:rFonts w:ascii="Times New Roman" w:eastAsia="Times New Roman" w:hAnsi="Times New Roman" w:cs="Times New Roman"/>
          <w:spacing w:val="-2"/>
          <w:sz w:val="21"/>
          <w:szCs w:val="21"/>
        </w:rPr>
        <w:t>10090</w:t>
      </w:r>
      <w:r>
        <w:rPr>
          <w:rFonts w:ascii="Times New Roman" w:eastAsia="Times New Roman" w:hAnsi="Times New Roman" w:cs="Times New Roman"/>
          <w:spacing w:val="14"/>
          <w:w w:val="101"/>
          <w:sz w:val="21"/>
          <w:szCs w:val="21"/>
        </w:rPr>
        <w:t xml:space="preserve"> </w:t>
      </w:r>
      <w:r>
        <w:rPr>
          <w:rFonts w:ascii="SimSun" w:eastAsia="SimSun" w:hAnsi="SimSun" w:cs="SimSun"/>
          <w:spacing w:val="-2"/>
          <w:sz w:val="21"/>
          <w:szCs w:val="21"/>
        </w:rPr>
        <w:t>亿元，同比分别增长</w:t>
      </w:r>
      <w:r>
        <w:rPr>
          <w:rFonts w:ascii="SimSun" w:eastAsia="SimSun" w:hAnsi="SimSun" w:cs="SimSun"/>
          <w:spacing w:val="-37"/>
          <w:sz w:val="21"/>
          <w:szCs w:val="21"/>
        </w:rPr>
        <w:t xml:space="preserve"> </w:t>
      </w:r>
      <w:r>
        <w:rPr>
          <w:rFonts w:ascii="Times New Roman" w:eastAsia="Times New Roman" w:hAnsi="Times New Roman" w:cs="Times New Roman"/>
          <w:spacing w:val="-2"/>
          <w:sz w:val="21"/>
          <w:szCs w:val="21"/>
        </w:rPr>
        <w:t>5.7%</w:t>
      </w:r>
      <w:r>
        <w:rPr>
          <w:rFonts w:ascii="SimSun" w:eastAsia="SimSun" w:hAnsi="SimSun" w:cs="SimSun"/>
          <w:spacing w:val="-2"/>
          <w:sz w:val="21"/>
          <w:szCs w:val="21"/>
        </w:rPr>
        <w:t>和</w:t>
      </w:r>
      <w:r>
        <w:rPr>
          <w:rFonts w:ascii="SimSun" w:eastAsia="SimSun" w:hAnsi="SimSun" w:cs="SimSun"/>
          <w:spacing w:val="-26"/>
          <w:sz w:val="21"/>
          <w:szCs w:val="21"/>
        </w:rPr>
        <w:t xml:space="preserve"> </w:t>
      </w:r>
      <w:r>
        <w:rPr>
          <w:rFonts w:ascii="Times New Roman" w:eastAsia="Times New Roman" w:hAnsi="Times New Roman" w:cs="Times New Roman"/>
          <w:spacing w:val="-2"/>
          <w:sz w:val="21"/>
          <w:szCs w:val="21"/>
        </w:rPr>
        <w:t>18.3%</w:t>
      </w:r>
      <w:r>
        <w:rPr>
          <w:rFonts w:ascii="SimSun" w:eastAsia="SimSun" w:hAnsi="SimSun" w:cs="SimSun"/>
          <w:spacing w:val="-2"/>
          <w:sz w:val="21"/>
          <w:szCs w:val="21"/>
        </w:rPr>
        <w:t>；但</w:t>
      </w:r>
      <w:r>
        <w:rPr>
          <w:rFonts w:ascii="SimSun" w:eastAsia="SimSun" w:hAnsi="SimSun" w:cs="SimSun"/>
          <w:sz w:val="21"/>
          <w:szCs w:val="21"/>
        </w:rPr>
        <w:t xml:space="preserve"> </w:t>
      </w:r>
      <w:r>
        <w:rPr>
          <w:rFonts w:ascii="SimSun" w:eastAsia="SimSun" w:hAnsi="SimSun" w:cs="SimSun"/>
          <w:spacing w:val="-2"/>
          <w:sz w:val="21"/>
          <w:szCs w:val="21"/>
        </w:rPr>
        <w:t>行业利润率</w:t>
      </w:r>
      <w:r>
        <w:rPr>
          <w:rFonts w:ascii="Times New Roman" w:eastAsia="Times New Roman" w:hAnsi="Times New Roman" w:cs="Times New Roman"/>
          <w:spacing w:val="-2"/>
          <w:position w:val="6"/>
          <w:sz w:val="13"/>
          <w:szCs w:val="13"/>
        </w:rPr>
        <w:t>1</w:t>
      </w:r>
      <w:r>
        <w:rPr>
          <w:rFonts w:ascii="SimSun" w:eastAsia="SimSun" w:hAnsi="SimSun" w:cs="SimSun"/>
          <w:spacing w:val="-2"/>
          <w:sz w:val="21"/>
          <w:szCs w:val="21"/>
        </w:rPr>
        <w:t xml:space="preserve">仍维持在 </w:t>
      </w:r>
      <w:r>
        <w:rPr>
          <w:rFonts w:ascii="Times New Roman" w:eastAsia="Times New Roman" w:hAnsi="Times New Roman" w:cs="Times New Roman"/>
          <w:spacing w:val="-2"/>
          <w:sz w:val="21"/>
          <w:szCs w:val="21"/>
        </w:rPr>
        <w:t>12-</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2"/>
          <w:sz w:val="21"/>
          <w:szCs w:val="21"/>
        </w:rPr>
        <w:t>13%</w:t>
      </w:r>
      <w:r>
        <w:rPr>
          <w:rFonts w:ascii="SimSun" w:eastAsia="SimSun" w:hAnsi="SimSun" w:cs="SimSun"/>
          <w:spacing w:val="-2"/>
          <w:sz w:val="21"/>
          <w:szCs w:val="21"/>
        </w:rPr>
        <w:t>的相对较低水平，</w:t>
      </w:r>
      <w:r>
        <w:rPr>
          <w:rFonts w:ascii="SimSun" w:eastAsia="SimSun" w:hAnsi="SimSun" w:cs="SimSun"/>
          <w:spacing w:val="-23"/>
          <w:sz w:val="21"/>
          <w:szCs w:val="21"/>
        </w:rPr>
        <w:t xml:space="preserve"> </w:t>
      </w:r>
      <w:r>
        <w:rPr>
          <w:rFonts w:ascii="SimSun" w:eastAsia="SimSun" w:hAnsi="SimSun" w:cs="SimSun"/>
          <w:spacing w:val="-3"/>
          <w:sz w:val="21"/>
          <w:szCs w:val="21"/>
        </w:rPr>
        <w:t>且剔除政府补助（主要为专项补助和增值税退税等）等因</w:t>
      </w:r>
      <w:r>
        <w:rPr>
          <w:rFonts w:ascii="SimSun" w:eastAsia="SimSun" w:hAnsi="SimSun" w:cs="SimSun"/>
          <w:sz w:val="21"/>
          <w:szCs w:val="21"/>
        </w:rPr>
        <w:t xml:space="preserve"> </w:t>
      </w:r>
      <w:r>
        <w:rPr>
          <w:rFonts w:ascii="SimSun" w:eastAsia="SimSun" w:hAnsi="SimSun" w:cs="SimSun"/>
          <w:spacing w:val="-1"/>
          <w:sz w:val="21"/>
          <w:szCs w:val="21"/>
        </w:rPr>
        <w:t>素影响后，主营业务利润率</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2"/>
          <w:position w:val="6"/>
          <w:sz w:val="13"/>
          <w:szCs w:val="13"/>
        </w:rPr>
        <w:t xml:space="preserve"> </w:t>
      </w:r>
      <w:r>
        <w:rPr>
          <w:rFonts w:ascii="SimSun" w:eastAsia="SimSun" w:hAnsi="SimSun" w:cs="SimSun"/>
          <w:spacing w:val="-1"/>
          <w:sz w:val="21"/>
          <w:szCs w:val="21"/>
        </w:rPr>
        <w:t>只有</w:t>
      </w:r>
      <w:r>
        <w:rPr>
          <w:rFonts w:ascii="SimSun" w:eastAsia="SimSun" w:hAnsi="SimSun" w:cs="SimSun"/>
          <w:spacing w:val="-20"/>
          <w:sz w:val="21"/>
          <w:szCs w:val="21"/>
        </w:rPr>
        <w:t xml:space="preserve"> </w:t>
      </w:r>
      <w:r>
        <w:rPr>
          <w:rFonts w:ascii="Times New Roman" w:eastAsia="Times New Roman" w:hAnsi="Times New Roman" w:cs="Times New Roman"/>
          <w:spacing w:val="-1"/>
          <w:sz w:val="21"/>
          <w:szCs w:val="21"/>
        </w:rPr>
        <w:t>10%</w:t>
      </w:r>
      <w:r>
        <w:rPr>
          <w:rFonts w:ascii="SimSun" w:eastAsia="SimSun" w:hAnsi="SimSun" w:cs="SimSun"/>
          <w:spacing w:val="-1"/>
          <w:sz w:val="21"/>
          <w:szCs w:val="21"/>
        </w:rPr>
        <w:t>左右，远低于美、日、欧等发达国家软件产业</w:t>
      </w:r>
      <w:r>
        <w:rPr>
          <w:rFonts w:ascii="SimSun" w:eastAsia="SimSun" w:hAnsi="SimSun" w:cs="SimSun"/>
          <w:spacing w:val="-41"/>
          <w:sz w:val="21"/>
          <w:szCs w:val="21"/>
        </w:rPr>
        <w:t xml:space="preserve"> </w:t>
      </w:r>
      <w:r>
        <w:rPr>
          <w:rFonts w:ascii="Times New Roman" w:eastAsia="Times New Roman" w:hAnsi="Times New Roman" w:cs="Times New Roman"/>
          <w:spacing w:val="-1"/>
          <w:sz w:val="21"/>
          <w:szCs w:val="21"/>
        </w:rPr>
        <w:t>20-25%</w:t>
      </w:r>
      <w:r>
        <w:rPr>
          <w:rFonts w:ascii="SimSun" w:eastAsia="SimSun" w:hAnsi="SimSun" w:cs="SimSun"/>
          <w:spacing w:val="-1"/>
          <w:sz w:val="21"/>
          <w:szCs w:val="21"/>
        </w:rPr>
        <w:t>以上的利润率</w:t>
      </w:r>
      <w:r>
        <w:rPr>
          <w:rFonts w:ascii="SimSun" w:eastAsia="SimSun" w:hAnsi="SimSun" w:cs="SimSun"/>
          <w:sz w:val="21"/>
          <w:szCs w:val="21"/>
        </w:rPr>
        <w:t xml:space="preserve"> </w:t>
      </w:r>
      <w:r>
        <w:rPr>
          <w:rFonts w:ascii="SimSun" w:eastAsia="SimSun" w:hAnsi="SimSun" w:cs="SimSun"/>
          <w:spacing w:val="1"/>
          <w:sz w:val="21"/>
          <w:szCs w:val="21"/>
        </w:rPr>
        <w:t>水平。与美、日、欧等发达国家软件企业相比，我国软件企业仍缺乏</w:t>
      </w:r>
      <w:r>
        <w:rPr>
          <w:rFonts w:ascii="SimSun" w:eastAsia="SimSun" w:hAnsi="SimSun" w:cs="SimSun"/>
          <w:sz w:val="21"/>
          <w:szCs w:val="21"/>
        </w:rPr>
        <w:t xml:space="preserve">核心技术且基础软件开发能力有限， </w:t>
      </w:r>
      <w:r>
        <w:rPr>
          <w:rFonts w:ascii="SimSun" w:eastAsia="SimSun" w:hAnsi="SimSun" w:cs="SimSun"/>
          <w:sz w:val="21"/>
          <w:szCs w:val="21"/>
        </w:rPr>
        <w:t>主要侧重于应用型软件的开发与服务，故而行</w:t>
      </w:r>
      <w:r>
        <w:rPr>
          <w:rFonts w:ascii="SimSun" w:eastAsia="SimSun" w:hAnsi="SimSun" w:cs="SimSun"/>
          <w:spacing w:val="-1"/>
          <w:sz w:val="21"/>
          <w:szCs w:val="21"/>
        </w:rPr>
        <w:t>业集中度低、竞争激烈，整体盈利能力仍相对较弱，并且随</w:t>
      </w:r>
    </w:p>
    <w:p>
      <w:pPr>
        <w:spacing w:line="47" w:lineRule="exact"/>
      </w:pPr>
    </w:p>
    <w:p>
      <w:pPr>
        <w:spacing w:line="47" w:lineRule="exact"/>
        <w:sectPr>
          <w:headerReference w:type="default" r:id="rId51"/>
          <w:footerReference w:type="default" r:id="rId52"/>
          <w:pgSz w:w="11907" w:h="16839"/>
          <w:pgMar w:top="1336" w:right="969" w:bottom="1271" w:left="1104" w:header="1148" w:footer="1077" w:gutter="0"/>
          <w:pgNumType w:start="18"/>
          <w:cols w:num="1" w:space="708" w:equalWidth="0">
            <w:col w:w="9833" w:space="0"/>
          </w:cols>
        </w:sectPr>
      </w:pPr>
    </w:p>
    <w:p>
      <w:pPr>
        <w:spacing w:before="42" w:line="390" w:lineRule="exact"/>
        <w:ind w:left="37"/>
        <w:rPr>
          <w:rFonts w:ascii="SimSun" w:eastAsia="SimSun" w:hAnsi="SimSun" w:cs="SimSun"/>
          <w:sz w:val="21"/>
          <w:szCs w:val="21"/>
        </w:rPr>
      </w:pPr>
      <w:r>
        <w:rPr>
          <w:rFonts w:ascii="SimSun" w:eastAsia="SimSun" w:hAnsi="SimSun" w:cs="SimSun"/>
          <w:spacing w:val="-1"/>
          <w:position w:val="13"/>
          <w:sz w:val="21"/>
          <w:szCs w:val="21"/>
        </w:rPr>
        <w:t>着行业竞争日趋激烈，行业利润率逐年下降。</w:t>
      </w:r>
    </w:p>
    <w:p>
      <w:pPr>
        <w:spacing w:line="218" w:lineRule="auto"/>
        <w:ind w:left="162"/>
        <w:rPr>
          <w:rFonts w:ascii="SimHei" w:eastAsia="SimHei" w:hAnsi="SimHei" w:cs="SimHei"/>
          <w:sz w:val="18"/>
          <w:szCs w:val="18"/>
        </w:rPr>
      </w:pPr>
      <w:r>
        <w:rPr>
          <w:rFonts w:ascii="SimHei" w:eastAsia="SimHei" w:hAnsi="SimHei" w:cs="SimHei"/>
          <w:spacing w:val="-1"/>
          <w:sz w:val="18"/>
          <w:szCs w:val="18"/>
        </w:rPr>
        <w:t>图表</w:t>
      </w:r>
      <w:r>
        <w:rPr>
          <w:rFonts w:ascii="SimHei" w:eastAsia="SimHei" w:hAnsi="SimHei" w:cs="SimHei"/>
          <w:spacing w:val="-37"/>
          <w:sz w:val="18"/>
          <w:szCs w:val="18"/>
        </w:rPr>
        <w:t xml:space="preserve"> </w:t>
      </w:r>
      <w:r>
        <w:rPr>
          <w:rFonts w:ascii="Times New Roman" w:eastAsia="Times New Roman" w:hAnsi="Times New Roman" w:cs="Times New Roman"/>
          <w:spacing w:val="-1"/>
          <w:sz w:val="18"/>
          <w:szCs w:val="18"/>
        </w:rPr>
        <w:t>6.</w:t>
      </w:r>
      <w:r>
        <w:rPr>
          <w:rFonts w:ascii="Times New Roman" w:eastAsia="Times New Roman" w:hAnsi="Times New Roman" w:cs="Times New Roman"/>
          <w:spacing w:val="12"/>
          <w:w w:val="101"/>
          <w:sz w:val="18"/>
          <w:szCs w:val="18"/>
        </w:rPr>
        <w:t xml:space="preserve"> </w:t>
      </w:r>
      <w:r>
        <w:rPr>
          <w:rFonts w:ascii="Times New Roman" w:eastAsia="Times New Roman" w:hAnsi="Times New Roman" w:cs="Times New Roman"/>
          <w:spacing w:val="-1"/>
          <w:sz w:val="18"/>
          <w:szCs w:val="18"/>
        </w:rPr>
        <w:t xml:space="preserve">2018 </w:t>
      </w:r>
      <w:r>
        <w:rPr>
          <w:rFonts w:ascii="SimHei" w:eastAsia="SimHei" w:hAnsi="SimHei" w:cs="SimHei"/>
          <w:spacing w:val="-1"/>
          <w:sz w:val="18"/>
          <w:szCs w:val="18"/>
        </w:rPr>
        <w:t>年以来我国规模以上软件企业盈利</w:t>
      </w:r>
      <w:r>
        <w:rPr>
          <w:rFonts w:ascii="SimHei" w:eastAsia="SimHei" w:hAnsi="SimHei" w:cs="SimHei"/>
          <w:spacing w:val="-2"/>
          <w:sz w:val="18"/>
          <w:szCs w:val="18"/>
        </w:rPr>
        <w:t>情况</w:t>
      </w:r>
    </w:p>
    <w:p>
      <w:pPr>
        <w:spacing w:before="191" w:line="186" w:lineRule="auto"/>
        <w:ind w:left="1495"/>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13000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strike/>
          <w:color w:val="595959"/>
          <w:sz w:val="12"/>
          <w:szCs w:val="12"/>
        </w:rPr>
        <w:t xml:space="preserve">                                                                                                                                                                                                                                                 </w:t>
      </w:r>
    </w:p>
    <w:p>
      <w:pPr>
        <w:spacing w:before="230" w:line="186" w:lineRule="auto"/>
        <w:ind w:left="1495"/>
        <w:rPr>
          <w:rFonts w:ascii="Times New Roman" w:eastAsia="Times New Roman" w:hAnsi="Times New Roman" w:cs="Times New Roman"/>
          <w:sz w:val="12"/>
          <w:szCs w:val="12"/>
        </w:rPr>
      </w:pPr>
      <w:r>
        <w:drawing>
          <wp:anchor distT="0" distB="0" distL="0" distR="0" simplePos="0" relativeHeight="251745280" behindDoc="0" locked="0" layoutInCell="1" allowOverlap="1">
            <wp:simplePos x="0" y="0"/>
            <wp:positionH relativeFrom="column">
              <wp:posOffset>1196339</wp:posOffset>
            </wp:positionH>
            <wp:positionV relativeFrom="paragraph">
              <wp:posOffset>9258</wp:posOffset>
            </wp:positionV>
            <wp:extent cx="4581144" cy="123291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3"/>
                    <a:stretch>
                      <a:fillRect/>
                    </a:stretch>
                  </pic:blipFill>
                  <pic:spPr>
                    <a:xfrm>
                      <a:off x="0" y="0"/>
                      <a:ext cx="4581144" cy="1232915"/>
                    </a:xfrm>
                    <a:prstGeom prst="rect">
                      <a:avLst/>
                    </a:prstGeom>
                  </pic:spPr>
                </pic:pic>
              </a:graphicData>
            </a:graphic>
          </wp:anchor>
        </w:drawing>
      </w:r>
      <w:r>
        <w:rPr>
          <w:rFonts w:ascii="Times New Roman" w:eastAsia="Times New Roman" w:hAnsi="Times New Roman" w:cs="Times New Roman"/>
          <w:color w:val="595959"/>
          <w:spacing w:val="-3"/>
          <w:sz w:val="12"/>
          <w:szCs w:val="12"/>
        </w:rPr>
        <w:t>12000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strike/>
          <w:color w:val="595959"/>
          <w:sz w:val="12"/>
          <w:szCs w:val="12"/>
        </w:rPr>
        <w:t xml:space="preserve">                                                                                                                                                                                                                                                 </w:t>
      </w:r>
    </w:p>
    <w:p>
      <w:pPr>
        <w:spacing w:before="230" w:line="186" w:lineRule="auto"/>
        <w:ind w:left="1495"/>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11000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strike/>
          <w:color w:val="595959"/>
          <w:sz w:val="12"/>
          <w:szCs w:val="12"/>
        </w:rPr>
        <w:t xml:space="preserve">                                                                                                                                                                                                                                                 </w:t>
      </w:r>
    </w:p>
    <w:p>
      <w:pPr>
        <w:spacing w:before="229" w:line="186" w:lineRule="auto"/>
        <w:ind w:left="1495"/>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10000</w:t>
      </w:r>
    </w:p>
    <w:p>
      <w:pPr>
        <w:spacing w:before="230" w:line="186" w:lineRule="auto"/>
        <w:ind w:left="1546"/>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9000</w:t>
      </w:r>
    </w:p>
    <w:p>
      <w:pPr>
        <w:spacing w:before="230" w:line="186" w:lineRule="auto"/>
        <w:ind w:left="1548"/>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8000</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before="39" w:line="185" w:lineRule="auto"/>
        <w:ind w:left="2877"/>
        <w:rPr>
          <w:rFonts w:ascii="SimSun" w:eastAsia="SimSun" w:hAnsi="SimSun" w:cs="SimSun"/>
          <w:sz w:val="12"/>
          <w:szCs w:val="12"/>
        </w:rPr>
      </w:pPr>
      <w:r>
        <w:rPr>
          <w:rFonts w:ascii="SimSun" w:eastAsia="SimSun" w:hAnsi="SimSun" w:cs="SimSun"/>
          <w:color w:val="595959"/>
          <w:sz w:val="12"/>
          <w:szCs w:val="12"/>
        </w:rPr>
        <w:drawing>
          <wp:inline distT="0" distB="0" distL="0" distR="0">
            <wp:extent cx="243839" cy="38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4"/>
                    <a:stretch>
                      <a:fillRect/>
                    </a:stretch>
                  </pic:blipFill>
                  <pic:spPr>
                    <a:xfrm>
                      <a:off x="0" y="0"/>
                      <a:ext cx="243839" cy="38100"/>
                    </a:xfrm>
                    <a:prstGeom prst="rect">
                      <a:avLst/>
                    </a:prstGeom>
                  </pic:spPr>
                </pic:pic>
              </a:graphicData>
            </a:graphic>
          </wp:inline>
        </w:drawing>
      </w:r>
      <w:r>
        <w:rPr>
          <w:rFonts w:ascii="SimSun" w:eastAsia="SimSun" w:hAnsi="SimSun" w:cs="SimSun"/>
          <w:color w:val="595959"/>
          <w:spacing w:val="-14"/>
          <w:sz w:val="12"/>
          <w:szCs w:val="12"/>
        </w:rPr>
        <w:t xml:space="preserve"> </w:t>
      </w:r>
      <w:r>
        <w:rPr>
          <w:rFonts w:ascii="SimSun" w:eastAsia="SimSun" w:hAnsi="SimSun" w:cs="SimSun"/>
          <w:color w:val="595959"/>
          <w:spacing w:val="-3"/>
          <w:sz w:val="12"/>
          <w:szCs w:val="12"/>
        </w:rPr>
        <w:t xml:space="preserve">利润总额（亿元）         </w:t>
      </w:r>
      <w:r>
        <w:rPr>
          <w:position w:val="1"/>
          <w:sz w:val="12"/>
          <w:szCs w:val="12"/>
        </w:rPr>
        <w:drawing>
          <wp:inline distT="0" distB="0" distL="0" distR="0">
            <wp:extent cx="269747" cy="25907"/>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5"/>
                    <a:stretch>
                      <a:fillRect/>
                    </a:stretch>
                  </pic:blipFill>
                  <pic:spPr>
                    <a:xfrm>
                      <a:off x="0" y="0"/>
                      <a:ext cx="269747" cy="25907"/>
                    </a:xfrm>
                    <a:prstGeom prst="rect">
                      <a:avLst/>
                    </a:prstGeom>
                  </pic:spPr>
                </pic:pic>
              </a:graphicData>
            </a:graphic>
          </wp:inline>
        </w:drawing>
      </w:r>
      <w:r>
        <w:rPr>
          <w:rFonts w:ascii="SimSun" w:eastAsia="SimSun" w:hAnsi="SimSun" w:cs="SimSun"/>
          <w:color w:val="595959"/>
          <w:spacing w:val="-32"/>
          <w:sz w:val="12"/>
          <w:szCs w:val="12"/>
        </w:rPr>
        <w:t xml:space="preserve"> </w:t>
      </w:r>
      <w:r>
        <w:rPr>
          <w:rFonts w:ascii="SimSun" w:eastAsia="SimSun" w:hAnsi="SimSun" w:cs="SimSun"/>
          <w:color w:val="595959"/>
          <w:spacing w:val="-3"/>
          <w:sz w:val="12"/>
          <w:szCs w:val="12"/>
        </w:rPr>
        <w:t xml:space="preserve">利润增速  </w:t>
      </w:r>
      <w:r>
        <w:rPr>
          <w:rFonts w:ascii="SimSun" w:eastAsia="SimSun" w:hAnsi="SimSun" w:cs="SimSun"/>
          <w:color w:val="595959"/>
          <w:spacing w:val="-4"/>
          <w:sz w:val="12"/>
          <w:szCs w:val="12"/>
        </w:rPr>
        <w:t xml:space="preserve">      </w:t>
      </w:r>
      <w:r>
        <w:rPr>
          <w:position w:val="1"/>
          <w:sz w:val="12"/>
          <w:szCs w:val="12"/>
        </w:rPr>
        <w:drawing>
          <wp:inline distT="0" distB="0" distL="0" distR="0">
            <wp:extent cx="269747" cy="2590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6"/>
                    <a:stretch>
                      <a:fillRect/>
                    </a:stretch>
                  </pic:blipFill>
                  <pic:spPr>
                    <a:xfrm>
                      <a:off x="0" y="0"/>
                      <a:ext cx="269747" cy="25907"/>
                    </a:xfrm>
                    <a:prstGeom prst="rect">
                      <a:avLst/>
                    </a:prstGeom>
                  </pic:spPr>
                </pic:pic>
              </a:graphicData>
            </a:graphic>
          </wp:inline>
        </w:drawing>
      </w:r>
      <w:r>
        <w:rPr>
          <w:rFonts w:ascii="SimSun" w:eastAsia="SimSun" w:hAnsi="SimSun" w:cs="SimSun"/>
          <w:color w:val="595959"/>
          <w:spacing w:val="-33"/>
          <w:sz w:val="12"/>
          <w:szCs w:val="12"/>
        </w:rPr>
        <w:t xml:space="preserve"> </w:t>
      </w:r>
      <w:r>
        <w:rPr>
          <w:rFonts w:ascii="SimSun" w:eastAsia="SimSun" w:hAnsi="SimSun" w:cs="SimSun"/>
          <w:color w:val="595959"/>
          <w:spacing w:val="-4"/>
          <w:sz w:val="12"/>
          <w:szCs w:val="12"/>
        </w:rPr>
        <w:t>利润率</w:t>
      </w:r>
    </w:p>
    <w:p>
      <w:pPr>
        <w:spacing w:line="14" w:lineRule="auto"/>
        <w:rPr>
          <w:rFonts w:ascii="Arial"/>
          <w:sz w:val="2"/>
        </w:rPr>
      </w:pPr>
      <w:r>
        <w:rPr>
          <w:rFonts w:ascii="Arial" w:eastAsia="Arial" w:hAnsi="Arial" w:cs="Arial"/>
          <w:sz w:val="2"/>
          <w:szCs w:val="2"/>
        </w:rPr>
        <w:br w:type="column"/>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34" w:line="186" w:lineRule="auto"/>
        <w:ind w:left="103"/>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19.00%</w:t>
      </w:r>
    </w:p>
    <w:p>
      <w:pPr>
        <w:spacing w:before="182" w:line="186" w:lineRule="auto"/>
        <w:ind w:left="103"/>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17.00%</w:t>
      </w:r>
    </w:p>
    <w:p>
      <w:pPr>
        <w:spacing w:before="181" w:line="186" w:lineRule="auto"/>
        <w:ind w:left="103"/>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15.00%</w:t>
      </w:r>
    </w:p>
    <w:p>
      <w:pPr>
        <w:spacing w:before="181" w:line="187" w:lineRule="auto"/>
        <w:ind w:left="103"/>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13.00%</w:t>
      </w:r>
    </w:p>
    <w:p>
      <w:pPr>
        <w:spacing w:before="182" w:line="186" w:lineRule="auto"/>
        <w:ind w:left="103"/>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11.00%</w:t>
      </w:r>
    </w:p>
    <w:p>
      <w:pPr>
        <w:spacing w:before="182" w:line="186" w:lineRule="auto"/>
        <w:ind w:left="94"/>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9.00%</w:t>
      </w:r>
    </w:p>
    <w:p>
      <w:pPr>
        <w:spacing w:before="182" w:line="186" w:lineRule="auto"/>
        <w:ind w:left="93"/>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7.00%</w:t>
      </w:r>
    </w:p>
    <w:p>
      <w:pPr>
        <w:spacing w:before="181" w:line="186" w:lineRule="auto"/>
        <w:ind w:left="95"/>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5.00%</w:t>
      </w:r>
    </w:p>
    <w:p>
      <w:pPr>
        <w:spacing w:line="186" w:lineRule="auto"/>
        <w:rPr>
          <w:rFonts w:ascii="Times New Roman" w:eastAsia="Times New Roman" w:hAnsi="Times New Roman" w:cs="Times New Roman"/>
          <w:sz w:val="12"/>
          <w:szCs w:val="12"/>
        </w:rPr>
        <w:sectPr>
          <w:headerReference w:type="default" r:id="rId57"/>
          <w:footerReference w:type="default" r:id="rId58"/>
          <w:type w:val="continuous"/>
          <w:pgSz w:w="11907" w:h="16839"/>
          <w:pgMar w:top="1336" w:right="969" w:bottom="1271" w:left="1104" w:header="1148" w:footer="1077" w:gutter="0"/>
          <w:pgNumType w:start="19"/>
          <w:cols w:num="2" w:space="708" w:equalWidth="0">
            <w:col w:w="9106" w:space="7"/>
            <w:col w:w="720" w:space="0"/>
          </w:cols>
        </w:sectPr>
      </w:pPr>
    </w:p>
    <w:p>
      <w:pPr>
        <w:spacing w:before="184" w:line="221" w:lineRule="auto"/>
        <w:ind w:left="156"/>
        <w:rPr>
          <w:rFonts w:ascii="SimSun" w:eastAsia="SimSun" w:hAnsi="SimSun" w:cs="SimSun"/>
          <w:sz w:val="15"/>
          <w:szCs w:val="15"/>
        </w:rPr>
      </w:pPr>
      <w:r>
        <w:rPr>
          <w:rFonts w:ascii="SimSun" w:eastAsia="SimSun" w:hAnsi="SimSun" w:cs="SimSun"/>
          <w:spacing w:val="-6"/>
          <w:sz w:val="15"/>
          <w:szCs w:val="15"/>
        </w:rPr>
        <w:t>资料来源：工信部。</w:t>
      </w:r>
    </w:p>
    <w:p>
      <w:pPr>
        <w:spacing w:before="203" w:line="280" w:lineRule="auto"/>
        <w:ind w:left="36" w:right="103"/>
        <w:jc w:val="both"/>
        <w:rPr>
          <w:rFonts w:ascii="SimSun" w:eastAsia="SimSun" w:hAnsi="SimSun" w:cs="SimSun"/>
          <w:sz w:val="21"/>
          <w:szCs w:val="21"/>
        </w:rPr>
      </w:pPr>
      <w:r>
        <w:rPr>
          <w:rFonts w:ascii="SimSun" w:eastAsia="SimSun" w:hAnsi="SimSun" w:cs="SimSun"/>
          <w:spacing w:val="-3"/>
          <w:sz w:val="21"/>
          <w:szCs w:val="21"/>
        </w:rPr>
        <w:t>在研发投入方面，软件产品和技术更新速度快，软件企业需要持续进行较大规模的研发投入。</w:t>
      </w:r>
      <w:r>
        <w:rPr>
          <w:rFonts w:ascii="Times New Roman" w:eastAsia="Times New Roman" w:hAnsi="Times New Roman" w:cs="Times New Roman"/>
          <w:spacing w:val="-3"/>
          <w:sz w:val="21"/>
          <w:szCs w:val="21"/>
        </w:rPr>
        <w:t xml:space="preserve">2020-2022 </w:t>
      </w:r>
      <w:r>
        <w:rPr>
          <w:rFonts w:ascii="SimSun" w:eastAsia="SimSun" w:hAnsi="SimSun" w:cs="SimSun"/>
          <w:spacing w:val="-3"/>
          <w:sz w:val="21"/>
          <w:szCs w:val="21"/>
        </w:rPr>
        <w:t>年</w:t>
      </w:r>
      <w:r>
        <w:rPr>
          <w:rFonts w:ascii="SimSun" w:eastAsia="SimSun" w:hAnsi="SimSun" w:cs="SimSun"/>
          <w:spacing w:val="10"/>
          <w:sz w:val="21"/>
          <w:szCs w:val="21"/>
        </w:rPr>
        <w:t xml:space="preserve"> </w:t>
      </w:r>
      <w:r>
        <w:rPr>
          <w:rFonts w:ascii="SimSun" w:eastAsia="SimSun" w:hAnsi="SimSun" w:cs="SimSun"/>
          <w:spacing w:val="-4"/>
          <w:sz w:val="21"/>
          <w:szCs w:val="21"/>
        </w:rPr>
        <w:t>软件行业研发经费支出分别为</w:t>
      </w:r>
      <w:r>
        <w:rPr>
          <w:rFonts w:ascii="SimSun" w:eastAsia="SimSun" w:hAnsi="SimSun" w:cs="SimSun"/>
          <w:spacing w:val="-21"/>
          <w:sz w:val="21"/>
          <w:szCs w:val="21"/>
        </w:rPr>
        <w:t xml:space="preserve"> </w:t>
      </w:r>
      <w:r>
        <w:rPr>
          <w:rFonts w:ascii="Times New Roman" w:eastAsia="Times New Roman" w:hAnsi="Times New Roman" w:cs="Times New Roman"/>
          <w:spacing w:val="-4"/>
          <w:sz w:val="21"/>
          <w:szCs w:val="21"/>
        </w:rPr>
        <w:t>8650.14</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 xml:space="preserve">亿元、 </w:t>
      </w:r>
      <w:r>
        <w:rPr>
          <w:rFonts w:ascii="Times New Roman" w:eastAsia="Times New Roman" w:hAnsi="Times New Roman" w:cs="Times New Roman"/>
          <w:spacing w:val="-4"/>
          <w:sz w:val="21"/>
          <w:szCs w:val="21"/>
        </w:rPr>
        <w:t>10036.32</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 xml:space="preserve">亿元和 </w:t>
      </w:r>
      <w:r>
        <w:rPr>
          <w:rFonts w:ascii="Times New Roman" w:eastAsia="Times New Roman" w:hAnsi="Times New Roman" w:cs="Times New Roman"/>
          <w:spacing w:val="-4"/>
          <w:sz w:val="21"/>
          <w:szCs w:val="21"/>
        </w:rPr>
        <w:t>11626.82</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亿元，随着业务规模的持续扩大，</w:t>
      </w:r>
      <w:r>
        <w:rPr>
          <w:rFonts w:ascii="SimSun" w:eastAsia="SimSun" w:hAnsi="SimSun" w:cs="SimSun"/>
          <w:sz w:val="21"/>
          <w:szCs w:val="21"/>
        </w:rPr>
        <w:t xml:space="preserve"> </w:t>
      </w:r>
      <w:r>
        <w:rPr>
          <w:rFonts w:ascii="SimSun" w:eastAsia="SimSun" w:hAnsi="SimSun" w:cs="SimSun"/>
          <w:spacing w:val="-3"/>
          <w:sz w:val="21"/>
          <w:szCs w:val="21"/>
        </w:rPr>
        <w:t>全行业研发投入规模持续增加，研发经费占软件业务收入的比重保持在</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1</w:t>
      </w:r>
      <w:r>
        <w:rPr>
          <w:rFonts w:ascii="Times New Roman" w:eastAsia="Times New Roman" w:hAnsi="Times New Roman" w:cs="Times New Roman"/>
          <w:spacing w:val="-4"/>
          <w:sz w:val="21"/>
          <w:szCs w:val="21"/>
        </w:rPr>
        <w:t>0-</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11%</w:t>
      </w:r>
      <w:r>
        <w:rPr>
          <w:rFonts w:ascii="SimSun" w:eastAsia="SimSun" w:hAnsi="SimSun" w:cs="SimSun"/>
          <w:spacing w:val="-4"/>
          <w:sz w:val="21"/>
          <w:szCs w:val="21"/>
        </w:rPr>
        <w:t>的水平，持续保持较高的研</w:t>
      </w:r>
      <w:r>
        <w:rPr>
          <w:rFonts w:ascii="SimSun" w:eastAsia="SimSun" w:hAnsi="SimSun" w:cs="SimSun"/>
          <w:sz w:val="21"/>
          <w:szCs w:val="21"/>
        </w:rPr>
        <w:t xml:space="preserve"> </w:t>
      </w:r>
      <w:r>
        <w:rPr>
          <w:rFonts w:ascii="SimSun" w:eastAsia="SimSun" w:hAnsi="SimSun" w:cs="SimSun"/>
          <w:spacing w:val="-1"/>
          <w:sz w:val="21"/>
          <w:szCs w:val="21"/>
        </w:rPr>
        <w:t>发投入强度。</w:t>
      </w:r>
    </w:p>
    <w:p>
      <w:pPr>
        <w:spacing w:before="206" w:line="284" w:lineRule="auto"/>
        <w:ind w:left="38" w:right="159" w:firstLine="18"/>
        <w:jc w:val="both"/>
        <w:rPr>
          <w:rFonts w:ascii="SimSun" w:eastAsia="SimSun" w:hAnsi="SimSun" w:cs="SimSun"/>
          <w:sz w:val="21"/>
          <w:szCs w:val="21"/>
        </w:rPr>
      </w:pPr>
      <w:r>
        <w:rPr>
          <w:rFonts w:ascii="SimSun" w:eastAsia="SimSun" w:hAnsi="SimSun" w:cs="SimSun"/>
          <w:spacing w:val="-4"/>
          <w:sz w:val="21"/>
          <w:szCs w:val="21"/>
        </w:rPr>
        <w:t>中短期内，国内软件行业市场仍有望保持较高景气度。</w:t>
      </w:r>
      <w:r>
        <w:rPr>
          <w:rFonts w:ascii="SimSun" w:eastAsia="SimSun" w:hAnsi="SimSun" w:cs="SimSun"/>
          <w:spacing w:val="-35"/>
          <w:sz w:val="21"/>
          <w:szCs w:val="21"/>
        </w:rPr>
        <w:t xml:space="preserve"> </w:t>
      </w:r>
      <w:r>
        <w:rPr>
          <w:rFonts w:ascii="SimSun" w:eastAsia="SimSun" w:hAnsi="SimSun" w:cs="SimSun"/>
          <w:spacing w:val="-4"/>
          <w:sz w:val="21"/>
          <w:szCs w:val="21"/>
        </w:rPr>
        <w:t>一方面，</w:t>
      </w:r>
      <w:r>
        <w:rPr>
          <w:rFonts w:ascii="SimSun" w:eastAsia="SimSun" w:hAnsi="SimSun" w:cs="SimSun"/>
          <w:spacing w:val="-28"/>
          <w:sz w:val="21"/>
          <w:szCs w:val="21"/>
        </w:rPr>
        <w:t xml:space="preserve"> </w:t>
      </w:r>
      <w:r>
        <w:rPr>
          <w:rFonts w:ascii="SimSun" w:eastAsia="SimSun" w:hAnsi="SimSun" w:cs="SimSun"/>
          <w:spacing w:val="-4"/>
          <w:sz w:val="21"/>
          <w:szCs w:val="21"/>
        </w:rPr>
        <w:t>我国软件企业技术研发</w:t>
      </w:r>
      <w:r>
        <w:rPr>
          <w:rFonts w:ascii="SimSun" w:eastAsia="SimSun" w:hAnsi="SimSun" w:cs="SimSun"/>
          <w:spacing w:val="-5"/>
          <w:sz w:val="21"/>
          <w:szCs w:val="21"/>
        </w:rPr>
        <w:t>实力正不断得到提</w:t>
      </w:r>
      <w:r>
        <w:rPr>
          <w:rFonts w:ascii="SimSun" w:eastAsia="SimSun" w:hAnsi="SimSun" w:cs="SimSun"/>
          <w:sz w:val="21"/>
          <w:szCs w:val="21"/>
        </w:rPr>
        <w:t xml:space="preserve"> </w:t>
      </w:r>
      <w:r>
        <w:rPr>
          <w:rFonts w:ascii="SimSun" w:eastAsia="SimSun" w:hAnsi="SimSun" w:cs="SimSun"/>
          <w:spacing w:val="-4"/>
          <w:sz w:val="21"/>
          <w:szCs w:val="21"/>
        </w:rPr>
        <w:t>升，</w:t>
      </w:r>
      <w:r>
        <w:rPr>
          <w:rFonts w:ascii="SimSun" w:eastAsia="SimSun" w:hAnsi="SimSun" w:cs="SimSun"/>
          <w:spacing w:val="-30"/>
          <w:sz w:val="21"/>
          <w:szCs w:val="21"/>
        </w:rPr>
        <w:t xml:space="preserve"> </w:t>
      </w:r>
      <w:r>
        <w:rPr>
          <w:rFonts w:ascii="SimSun" w:eastAsia="SimSun" w:hAnsi="SimSun" w:cs="SimSun"/>
          <w:spacing w:val="-4"/>
          <w:sz w:val="21"/>
          <w:szCs w:val="21"/>
        </w:rPr>
        <w:t>与国际先进水平的差距正不断缩小，尤其是在自主可控软硬</w:t>
      </w:r>
      <w:r>
        <w:rPr>
          <w:rFonts w:ascii="SimSun" w:eastAsia="SimSun" w:hAnsi="SimSun" w:cs="SimSun"/>
          <w:spacing w:val="-5"/>
          <w:sz w:val="21"/>
          <w:szCs w:val="21"/>
        </w:rPr>
        <w:t>件国产替代程度逐步加深的背景下， 国内</w:t>
      </w:r>
      <w:r>
        <w:rPr>
          <w:rFonts w:ascii="SimSun" w:eastAsia="SimSun" w:hAnsi="SimSun" w:cs="SimSun"/>
          <w:sz w:val="21"/>
          <w:szCs w:val="21"/>
        </w:rPr>
        <w:t xml:space="preserve"> </w:t>
      </w:r>
      <w:r>
        <w:rPr>
          <w:rFonts w:ascii="SimSun" w:eastAsia="SimSun" w:hAnsi="SimSun" w:cs="SimSun"/>
          <w:sz w:val="21"/>
          <w:szCs w:val="21"/>
        </w:rPr>
        <w:t>软件企业有望获取更多市场份额。另一方面</w:t>
      </w:r>
      <w:r>
        <w:rPr>
          <w:rFonts w:ascii="SimSun" w:eastAsia="SimSun" w:hAnsi="SimSun" w:cs="SimSun"/>
          <w:spacing w:val="-1"/>
          <w:sz w:val="21"/>
          <w:szCs w:val="21"/>
        </w:rPr>
        <w:t>，软件行业持续获得国家政策大力扶持，随着经济转型、产业</w:t>
      </w:r>
      <w:r>
        <w:rPr>
          <w:rFonts w:ascii="SimSun" w:eastAsia="SimSun" w:hAnsi="SimSun" w:cs="SimSun"/>
          <w:sz w:val="21"/>
          <w:szCs w:val="21"/>
        </w:rPr>
        <w:t xml:space="preserve"> </w:t>
      </w:r>
      <w:r>
        <w:rPr>
          <w:rFonts w:ascii="SimSun" w:eastAsia="SimSun" w:hAnsi="SimSun" w:cs="SimSun"/>
          <w:spacing w:val="-3"/>
          <w:sz w:val="21"/>
          <w:szCs w:val="21"/>
        </w:rPr>
        <w:t>升级的不断深入，在大数据、云计算、人工智能、物联网、</w:t>
      </w:r>
      <w:r>
        <w:rPr>
          <w:rFonts w:ascii="Times New Roman" w:eastAsia="Times New Roman" w:hAnsi="Times New Roman" w:cs="Times New Roman"/>
          <w:spacing w:val="-3"/>
          <w:sz w:val="21"/>
          <w:szCs w:val="21"/>
        </w:rPr>
        <w:t xml:space="preserve">5G </w:t>
      </w:r>
      <w:r>
        <w:rPr>
          <w:rFonts w:ascii="SimSun" w:eastAsia="SimSun" w:hAnsi="SimSun" w:cs="SimSun"/>
          <w:spacing w:val="-3"/>
          <w:sz w:val="21"/>
          <w:szCs w:val="21"/>
        </w:rPr>
        <w:t>等新兴技术和产业的驱动下，传统产业的信</w:t>
      </w:r>
      <w:r>
        <w:rPr>
          <w:rFonts w:ascii="SimSun" w:eastAsia="SimSun" w:hAnsi="SimSun" w:cs="SimSun"/>
          <w:spacing w:val="14"/>
          <w:sz w:val="21"/>
          <w:szCs w:val="21"/>
        </w:rPr>
        <w:t xml:space="preserve"> </w:t>
      </w:r>
      <w:r>
        <w:rPr>
          <w:rFonts w:ascii="SimSun" w:eastAsia="SimSun" w:hAnsi="SimSun" w:cs="SimSun"/>
          <w:spacing w:val="-1"/>
          <w:sz w:val="21"/>
          <w:szCs w:val="21"/>
        </w:rPr>
        <w:t>息化需求仍将会不断增加。</w:t>
      </w:r>
    </w:p>
    <w:p>
      <w:pPr>
        <w:spacing w:line="276" w:lineRule="auto"/>
        <w:rPr>
          <w:rFonts w:ascii="Arial"/>
          <w:sz w:val="21"/>
        </w:rPr>
      </w:pPr>
    </w:p>
    <w:p>
      <w:pPr>
        <w:spacing w:before="78" w:line="218" w:lineRule="auto"/>
        <w:ind w:left="56"/>
        <w:rPr>
          <w:rFonts w:ascii="SimHei" w:eastAsia="SimHei" w:hAnsi="SimHei" w:cs="SimHei"/>
          <w:sz w:val="24"/>
          <w:szCs w:val="24"/>
        </w:rPr>
      </w:pPr>
      <w:r>
        <w:rPr>
          <w:rFonts w:ascii="Times New Roman" w:eastAsia="Times New Roman" w:hAnsi="Times New Roman" w:cs="Times New Roman"/>
          <w:spacing w:val="-3"/>
          <w:sz w:val="24"/>
          <w:szCs w:val="24"/>
        </w:rPr>
        <w:t>1.3.</w:t>
      </w:r>
      <w:r>
        <w:rPr>
          <w:rFonts w:ascii="Times New Roman" w:eastAsia="Times New Roman" w:hAnsi="Times New Roman" w:cs="Times New Roman"/>
          <w:spacing w:val="13"/>
          <w:sz w:val="24"/>
          <w:szCs w:val="24"/>
        </w:rPr>
        <w:t xml:space="preserve">   </w:t>
      </w:r>
      <w:r>
        <w:rPr>
          <w:rFonts w:ascii="SimHei" w:eastAsia="SimHei" w:hAnsi="SimHei" w:cs="SimHei"/>
          <w:spacing w:val="-3"/>
          <w:sz w:val="24"/>
          <w:szCs w:val="24"/>
        </w:rPr>
        <w:t>数据中心基础设施行业</w:t>
      </w:r>
    </w:p>
    <w:p>
      <w:pPr>
        <w:spacing w:line="436" w:lineRule="auto"/>
        <w:rPr>
          <w:rFonts w:ascii="Arial"/>
          <w:sz w:val="21"/>
        </w:rPr>
        <w:sectPr>
          <w:headerReference w:type="default" r:id="rId59"/>
          <w:footerReference w:type="default" r:id="rId60"/>
          <w:type w:val="continuous"/>
          <w:pgSz w:w="11907" w:h="16839"/>
          <w:pgMar w:top="1336" w:right="969" w:bottom="1271" w:left="1104" w:header="1148" w:footer="1077" w:gutter="0"/>
          <w:pgNumType w:start="20"/>
          <w:cols w:num="1" w:space="708" w:equalWidth="0">
            <w:col w:w="9833" w:space="0"/>
          </w:cols>
        </w:sectPr>
      </w:pPr>
    </w:p>
    <w:p>
      <w:pPr>
        <w:spacing w:before="69" w:line="278" w:lineRule="auto"/>
        <w:ind w:left="37" w:right="161" w:firstLine="10"/>
        <w:jc w:val="both"/>
        <w:rPr>
          <w:rFonts w:ascii="SimHei" w:eastAsia="SimHei" w:hAnsi="SimHei" w:cs="SimHei"/>
          <w:sz w:val="21"/>
          <w:szCs w:val="21"/>
        </w:rPr>
      </w:pPr>
      <w:r>
        <w:rPr>
          <w:rFonts w:ascii="SimHei" w:eastAsia="SimHei" w:hAnsi="SimHei" w:cs="SimHei"/>
          <w:sz w:val="21"/>
          <w:szCs w:val="21"/>
        </w:rPr>
        <w:t>受益于</w:t>
      </w:r>
      <w:r>
        <w:rPr>
          <w:rFonts w:ascii="SimHei" w:eastAsia="SimHei" w:hAnsi="SimHei" w:cs="SimHei"/>
          <w:sz w:val="21"/>
          <w:szCs w:val="21"/>
        </w:rPr>
        <w:t xml:space="preserve"> </w:t>
      </w:r>
      <w:r>
        <w:rPr>
          <w:rFonts w:ascii="Times New Roman" w:eastAsia="Times New Roman" w:hAnsi="Times New Roman" w:cs="Times New Roman"/>
          <w:sz w:val="21"/>
          <w:szCs w:val="21"/>
        </w:rPr>
        <w:t>5G</w:t>
      </w:r>
      <w:r>
        <w:rPr>
          <w:rFonts w:ascii="Times New Roman" w:eastAsia="Times New Roman" w:hAnsi="Times New Roman" w:cs="Times New Roman"/>
          <w:spacing w:val="-21"/>
          <w:sz w:val="21"/>
          <w:szCs w:val="21"/>
        </w:rPr>
        <w:t xml:space="preserve"> </w:t>
      </w:r>
      <w:r>
        <w:rPr>
          <w:rFonts w:ascii="SimHei" w:eastAsia="SimHei" w:hAnsi="SimHei" w:cs="SimHei"/>
          <w:sz w:val="21"/>
          <w:szCs w:val="21"/>
        </w:rPr>
        <w:t>、</w:t>
      </w:r>
      <w:r>
        <w:rPr>
          <w:rFonts w:ascii="Times New Roman" w:eastAsia="Times New Roman" w:hAnsi="Times New Roman" w:cs="Times New Roman"/>
          <w:sz w:val="21"/>
          <w:szCs w:val="21"/>
        </w:rPr>
        <w:t>AI</w:t>
      </w:r>
      <w:r>
        <w:rPr>
          <w:rFonts w:ascii="SimHei" w:eastAsia="SimHei" w:hAnsi="SimHei" w:cs="SimHei"/>
          <w:sz w:val="21"/>
          <w:szCs w:val="21"/>
        </w:rPr>
        <w:t>、云计算等新技术的规模化应用和信</w:t>
      </w:r>
      <w:r>
        <w:rPr>
          <w:rFonts w:ascii="SimHei" w:eastAsia="SimHei" w:hAnsi="SimHei" w:cs="SimHei"/>
          <w:spacing w:val="-1"/>
          <w:sz w:val="21"/>
          <w:szCs w:val="21"/>
        </w:rPr>
        <w:t>息数据量的日益膨胀以及新基建系列政策推动，</w:t>
      </w:r>
      <w:r>
        <w:rPr>
          <w:rFonts w:ascii="Times New Roman" w:eastAsia="Times New Roman" w:hAnsi="Times New Roman" w:cs="Times New Roman"/>
          <w:spacing w:val="-1"/>
          <w:sz w:val="21"/>
          <w:szCs w:val="21"/>
        </w:rPr>
        <w:t>2016</w:t>
      </w:r>
      <w:r>
        <w:rPr>
          <w:rFonts w:ascii="Times New Roman" w:eastAsia="Times New Roman" w:hAnsi="Times New Roman" w:cs="Times New Roman"/>
          <w:sz w:val="21"/>
          <w:szCs w:val="21"/>
        </w:rPr>
        <w:t xml:space="preserve"> </w:t>
      </w:r>
      <w:r>
        <w:rPr>
          <w:rFonts w:ascii="SimHei" w:eastAsia="SimHei" w:hAnsi="SimHei" w:cs="SimHei"/>
          <w:spacing w:val="-2"/>
          <w:sz w:val="21"/>
          <w:szCs w:val="21"/>
        </w:rPr>
        <w:t>年以来全球和国内</w:t>
      </w:r>
      <w:r>
        <w:rPr>
          <w:rFonts w:ascii="SimHei" w:eastAsia="SimHei" w:hAnsi="SimHei" w:cs="SimHei"/>
          <w:spacing w:val="-37"/>
          <w:sz w:val="21"/>
          <w:szCs w:val="21"/>
        </w:rPr>
        <w:t xml:space="preserve"> </w:t>
      </w:r>
      <w:r>
        <w:rPr>
          <w:rFonts w:ascii="Times New Roman" w:eastAsia="Times New Roman" w:hAnsi="Times New Roman" w:cs="Times New Roman"/>
          <w:spacing w:val="-2"/>
          <w:sz w:val="21"/>
          <w:szCs w:val="21"/>
        </w:rPr>
        <w:t>IDC</w:t>
      </w:r>
      <w:r>
        <w:rPr>
          <w:rFonts w:ascii="Times New Roman" w:eastAsia="Times New Roman" w:hAnsi="Times New Roman" w:cs="Times New Roman"/>
          <w:spacing w:val="21"/>
          <w:w w:val="101"/>
          <w:sz w:val="21"/>
          <w:szCs w:val="21"/>
        </w:rPr>
        <w:t xml:space="preserve"> </w:t>
      </w:r>
      <w:r>
        <w:rPr>
          <w:rFonts w:ascii="SimHei" w:eastAsia="SimHei" w:hAnsi="SimHei" w:cs="SimHei"/>
          <w:spacing w:val="-2"/>
          <w:sz w:val="21"/>
          <w:szCs w:val="21"/>
        </w:rPr>
        <w:t>市场规模持续较快增长，未来市场空间和发展</w:t>
      </w:r>
      <w:r>
        <w:rPr>
          <w:rFonts w:ascii="SimHei" w:eastAsia="SimHei" w:hAnsi="SimHei" w:cs="SimHei"/>
          <w:spacing w:val="-3"/>
          <w:sz w:val="21"/>
          <w:szCs w:val="21"/>
        </w:rPr>
        <w:t>前景仍十分广阔；</w:t>
      </w:r>
      <w:r>
        <w:rPr>
          <w:rFonts w:ascii="SimHei" w:eastAsia="SimHei" w:hAnsi="SimHei" w:cs="SimHei"/>
          <w:spacing w:val="-29"/>
          <w:sz w:val="21"/>
          <w:szCs w:val="21"/>
        </w:rPr>
        <w:t xml:space="preserve"> </w:t>
      </w:r>
      <w:r>
        <w:rPr>
          <w:rFonts w:ascii="SimHei" w:eastAsia="SimHei" w:hAnsi="SimHei" w:cs="SimHei"/>
          <w:spacing w:val="-3"/>
          <w:sz w:val="21"/>
          <w:szCs w:val="21"/>
        </w:rPr>
        <w:t>但</w:t>
      </w:r>
      <w:r>
        <w:rPr>
          <w:rFonts w:ascii="SimHei" w:eastAsia="SimHei" w:hAnsi="SimHei" w:cs="SimHei"/>
          <w:spacing w:val="-40"/>
          <w:sz w:val="21"/>
          <w:szCs w:val="21"/>
        </w:rPr>
        <w:t xml:space="preserve"> </w:t>
      </w:r>
      <w:r>
        <w:rPr>
          <w:rFonts w:ascii="Times New Roman" w:eastAsia="Times New Roman" w:hAnsi="Times New Roman" w:cs="Times New Roman"/>
          <w:spacing w:val="-3"/>
          <w:sz w:val="21"/>
          <w:szCs w:val="21"/>
        </w:rPr>
        <w:t>2022</w:t>
      </w:r>
      <w:r>
        <w:rPr>
          <w:rFonts w:ascii="Times New Roman" w:eastAsia="Times New Roman" w:hAnsi="Times New Roman" w:cs="Times New Roman"/>
          <w:spacing w:val="19"/>
          <w:sz w:val="21"/>
          <w:szCs w:val="21"/>
        </w:rPr>
        <w:t xml:space="preserve"> </w:t>
      </w:r>
      <w:r>
        <w:rPr>
          <w:rFonts w:ascii="SimHei" w:eastAsia="SimHei" w:hAnsi="SimHei" w:cs="SimHei"/>
          <w:spacing w:val="-3"/>
          <w:sz w:val="21"/>
          <w:szCs w:val="21"/>
        </w:rPr>
        <w:t>年以来需</w:t>
      </w:r>
      <w:r>
        <w:rPr>
          <w:rFonts w:ascii="SimHei" w:eastAsia="SimHei" w:hAnsi="SimHei" w:cs="SimHei"/>
          <w:sz w:val="21"/>
          <w:szCs w:val="21"/>
        </w:rPr>
        <w:t xml:space="preserve"> </w:t>
      </w:r>
      <w:r>
        <w:rPr>
          <w:rFonts w:ascii="SimHei" w:eastAsia="SimHei" w:hAnsi="SimHei" w:cs="SimHei"/>
          <w:spacing w:val="-4"/>
          <w:sz w:val="21"/>
          <w:szCs w:val="21"/>
        </w:rPr>
        <w:t>求增速有所放缓，供给则持续快速增长，</w:t>
      </w:r>
      <w:r>
        <w:rPr>
          <w:rFonts w:ascii="SimHei" w:eastAsia="SimHei" w:hAnsi="SimHei" w:cs="SimHei"/>
          <w:spacing w:val="-11"/>
          <w:sz w:val="21"/>
          <w:szCs w:val="21"/>
        </w:rPr>
        <w:t xml:space="preserve"> </w:t>
      </w:r>
      <w:r>
        <w:rPr>
          <w:rFonts w:ascii="SimHei" w:eastAsia="SimHei" w:hAnsi="SimHei" w:cs="SimHei"/>
          <w:spacing w:val="-4"/>
          <w:sz w:val="21"/>
          <w:szCs w:val="21"/>
        </w:rPr>
        <w:t>数据中心行业竞争日趋激烈，</w:t>
      </w:r>
      <w:r>
        <w:rPr>
          <w:rFonts w:ascii="SimHei" w:eastAsia="SimHei" w:hAnsi="SimHei" w:cs="SimHei"/>
          <w:spacing w:val="-28"/>
          <w:sz w:val="21"/>
          <w:szCs w:val="21"/>
        </w:rPr>
        <w:t xml:space="preserve"> </w:t>
      </w:r>
      <w:r>
        <w:rPr>
          <w:rFonts w:ascii="Times New Roman" w:eastAsia="Times New Roman" w:hAnsi="Times New Roman" w:cs="Times New Roman"/>
          <w:spacing w:val="-4"/>
          <w:sz w:val="21"/>
          <w:szCs w:val="21"/>
        </w:rPr>
        <w:t xml:space="preserve">IDC </w:t>
      </w:r>
      <w:r>
        <w:rPr>
          <w:rFonts w:ascii="SimHei" w:eastAsia="SimHei" w:hAnsi="SimHei" w:cs="SimHei"/>
          <w:spacing w:val="-4"/>
          <w:sz w:val="21"/>
          <w:szCs w:val="21"/>
        </w:rPr>
        <w:t>租金价格进一步下降。目前电</w:t>
      </w:r>
      <w:r>
        <w:rPr>
          <w:rFonts w:ascii="SimHei" w:eastAsia="SimHei" w:hAnsi="SimHei" w:cs="SimHei"/>
          <w:sz w:val="21"/>
          <w:szCs w:val="21"/>
        </w:rPr>
        <w:t xml:space="preserve"> </w:t>
      </w:r>
      <w:r>
        <w:rPr>
          <w:rFonts w:ascii="SimHei" w:eastAsia="SimHei" w:hAnsi="SimHei" w:cs="SimHei"/>
          <w:spacing w:val="-4"/>
          <w:sz w:val="21"/>
          <w:szCs w:val="21"/>
        </w:rPr>
        <w:t>信运营商所占</w:t>
      </w:r>
      <w:r>
        <w:rPr>
          <w:rFonts w:ascii="SimHei" w:eastAsia="SimHei" w:hAnsi="SimHei" w:cs="SimHei"/>
          <w:spacing w:val="-23"/>
          <w:sz w:val="21"/>
          <w:szCs w:val="21"/>
        </w:rPr>
        <w:t xml:space="preserve"> </w:t>
      </w:r>
      <w:r>
        <w:rPr>
          <w:rFonts w:ascii="Times New Roman" w:eastAsia="Times New Roman" w:hAnsi="Times New Roman" w:cs="Times New Roman"/>
          <w:spacing w:val="-4"/>
          <w:sz w:val="21"/>
          <w:szCs w:val="21"/>
        </w:rPr>
        <w:t>IDC</w:t>
      </w:r>
      <w:r>
        <w:rPr>
          <w:rFonts w:ascii="Times New Roman" w:eastAsia="Times New Roman" w:hAnsi="Times New Roman" w:cs="Times New Roman"/>
          <w:spacing w:val="36"/>
          <w:w w:val="101"/>
          <w:sz w:val="21"/>
          <w:szCs w:val="21"/>
        </w:rPr>
        <w:t xml:space="preserve"> </w:t>
      </w:r>
      <w:r>
        <w:rPr>
          <w:rFonts w:ascii="SimHei" w:eastAsia="SimHei" w:hAnsi="SimHei" w:cs="SimHei"/>
          <w:spacing w:val="-4"/>
          <w:sz w:val="21"/>
          <w:szCs w:val="21"/>
        </w:rPr>
        <w:t>市场份额仍较大，</w:t>
      </w:r>
      <w:r>
        <w:rPr>
          <w:rFonts w:ascii="SimHei" w:eastAsia="SimHei" w:hAnsi="SimHei" w:cs="SimHei"/>
          <w:spacing w:val="-23"/>
          <w:sz w:val="21"/>
          <w:szCs w:val="21"/>
        </w:rPr>
        <w:t xml:space="preserve"> </w:t>
      </w:r>
      <w:r>
        <w:rPr>
          <w:rFonts w:ascii="SimHei" w:eastAsia="SimHei" w:hAnsi="SimHei" w:cs="SimHei"/>
          <w:spacing w:val="-4"/>
          <w:sz w:val="21"/>
          <w:szCs w:val="21"/>
        </w:rPr>
        <w:t>第三方</w:t>
      </w:r>
      <w:r>
        <w:rPr>
          <w:rFonts w:ascii="SimHei" w:eastAsia="SimHei" w:hAnsi="SimHei" w:cs="SimHei"/>
          <w:spacing w:val="-23"/>
          <w:sz w:val="21"/>
          <w:szCs w:val="21"/>
        </w:rPr>
        <w:t xml:space="preserve"> </w:t>
      </w:r>
      <w:r>
        <w:rPr>
          <w:rFonts w:ascii="Times New Roman" w:eastAsia="Times New Roman" w:hAnsi="Times New Roman" w:cs="Times New Roman"/>
          <w:spacing w:val="-4"/>
          <w:sz w:val="21"/>
          <w:szCs w:val="21"/>
        </w:rPr>
        <w:t>IDC</w:t>
      </w:r>
      <w:r>
        <w:rPr>
          <w:rFonts w:ascii="Times New Roman" w:eastAsia="Times New Roman" w:hAnsi="Times New Roman" w:cs="Times New Roman"/>
          <w:spacing w:val="33"/>
          <w:sz w:val="21"/>
          <w:szCs w:val="21"/>
        </w:rPr>
        <w:t xml:space="preserve"> </w:t>
      </w:r>
      <w:r>
        <w:rPr>
          <w:rFonts w:ascii="SimHei" w:eastAsia="SimHei" w:hAnsi="SimHei" w:cs="SimHei"/>
          <w:spacing w:val="-4"/>
          <w:sz w:val="21"/>
          <w:szCs w:val="21"/>
        </w:rPr>
        <w:t>服务提供商普遍规模</w:t>
      </w:r>
      <w:r>
        <w:rPr>
          <w:rFonts w:ascii="SimHei" w:eastAsia="SimHei" w:hAnsi="SimHei" w:cs="SimHei"/>
          <w:spacing w:val="-5"/>
          <w:sz w:val="21"/>
          <w:szCs w:val="21"/>
        </w:rPr>
        <w:t>相对较小且数量众多，</w:t>
      </w:r>
      <w:r>
        <w:rPr>
          <w:rFonts w:ascii="SimHei" w:eastAsia="SimHei" w:hAnsi="SimHei" w:cs="SimHei"/>
          <w:spacing w:val="-23"/>
          <w:sz w:val="21"/>
          <w:szCs w:val="21"/>
        </w:rPr>
        <w:t xml:space="preserve"> </w:t>
      </w:r>
      <w:r>
        <w:rPr>
          <w:rFonts w:ascii="SimHei" w:eastAsia="SimHei" w:hAnsi="SimHei" w:cs="SimHei"/>
          <w:spacing w:val="-5"/>
          <w:sz w:val="21"/>
          <w:szCs w:val="21"/>
        </w:rPr>
        <w:t>竞争激烈且</w:t>
      </w:r>
    </w:p>
    <w:p>
      <w:pPr>
        <w:spacing w:line="305" w:lineRule="auto"/>
        <w:rPr>
          <w:rFonts w:ascii="Arial"/>
          <w:sz w:val="21"/>
        </w:rPr>
      </w:pPr>
    </w:p>
    <w:p>
      <w:pPr>
        <w:spacing w:line="305" w:lineRule="auto"/>
        <w:rPr>
          <w:rFonts w:ascii="Arial"/>
          <w:sz w:val="21"/>
        </w:rPr>
      </w:pPr>
    </w:p>
    <w:p>
      <w:pPr>
        <w:spacing w:before="39" w:line="162" w:lineRule="exact"/>
        <w:ind w:left="38"/>
        <w:rPr>
          <w:rFonts w:ascii="SimSun" w:eastAsia="SimSun" w:hAnsi="SimSun" w:cs="SimSun"/>
          <w:sz w:val="12"/>
          <w:szCs w:val="12"/>
        </w:rPr>
      </w:pPr>
      <w:r>
        <w:rPr>
          <w:rFonts w:ascii="Times New Roman" w:eastAsia="Times New Roman" w:hAnsi="Times New Roman" w:cs="Times New Roman"/>
          <w:spacing w:val="5"/>
          <w:position w:val="5"/>
          <w:sz w:val="7"/>
          <w:szCs w:val="7"/>
        </w:rPr>
        <w:t xml:space="preserve">1    </w:t>
      </w:r>
      <w:r>
        <w:rPr>
          <w:rFonts w:ascii="SimSun" w:eastAsia="SimSun" w:hAnsi="SimSun" w:cs="SimSun"/>
          <w:spacing w:val="5"/>
          <w:position w:val="1"/>
          <w:sz w:val="12"/>
          <w:szCs w:val="12"/>
        </w:rPr>
        <w:t>行业利润率</w:t>
      </w:r>
      <w:r>
        <w:rPr>
          <w:rFonts w:ascii="Times New Roman" w:eastAsia="Times New Roman" w:hAnsi="Times New Roman" w:cs="Times New Roman"/>
          <w:spacing w:val="5"/>
          <w:position w:val="1"/>
          <w:sz w:val="12"/>
          <w:szCs w:val="12"/>
        </w:rPr>
        <w:t>=</w:t>
      </w:r>
      <w:r>
        <w:rPr>
          <w:rFonts w:ascii="SimSun" w:eastAsia="SimSun" w:hAnsi="SimSun" w:cs="SimSun"/>
          <w:spacing w:val="5"/>
          <w:position w:val="1"/>
          <w:sz w:val="12"/>
          <w:szCs w:val="12"/>
        </w:rPr>
        <w:t>利润总额</w:t>
      </w:r>
      <w:r>
        <w:rPr>
          <w:rFonts w:ascii="Times New Roman" w:eastAsia="Times New Roman" w:hAnsi="Times New Roman" w:cs="Times New Roman"/>
          <w:spacing w:val="5"/>
          <w:position w:val="1"/>
          <w:sz w:val="12"/>
          <w:szCs w:val="12"/>
        </w:rPr>
        <w:t>/</w:t>
      </w:r>
      <w:r>
        <w:rPr>
          <w:rFonts w:ascii="SimSun" w:eastAsia="SimSun" w:hAnsi="SimSun" w:cs="SimSun"/>
          <w:spacing w:val="5"/>
          <w:position w:val="1"/>
          <w:sz w:val="12"/>
          <w:szCs w:val="12"/>
        </w:rPr>
        <w:t>收入总额。</w:t>
      </w:r>
    </w:p>
    <w:p>
      <w:pPr>
        <w:spacing w:before="7" w:line="214" w:lineRule="auto"/>
        <w:ind w:left="30"/>
        <w:rPr>
          <w:rFonts w:ascii="SimSun" w:eastAsia="SimSun" w:hAnsi="SimSun" w:cs="SimSun"/>
          <w:sz w:val="12"/>
          <w:szCs w:val="12"/>
        </w:rPr>
      </w:pPr>
      <w:r>
        <w:rPr>
          <w:rFonts w:ascii="Times New Roman" w:eastAsia="Times New Roman" w:hAnsi="Times New Roman" w:cs="Times New Roman"/>
          <w:spacing w:val="9"/>
          <w:position w:val="5"/>
          <w:sz w:val="7"/>
          <w:szCs w:val="7"/>
        </w:rPr>
        <w:t>2</w:t>
      </w:r>
      <w:r>
        <w:rPr>
          <w:rFonts w:ascii="Times New Roman" w:eastAsia="Times New Roman" w:hAnsi="Times New Roman" w:cs="Times New Roman"/>
          <w:spacing w:val="1"/>
          <w:position w:val="5"/>
          <w:sz w:val="7"/>
          <w:szCs w:val="7"/>
        </w:rPr>
        <w:t xml:space="preserve">    </w:t>
      </w:r>
      <w:r>
        <w:rPr>
          <w:rFonts w:ascii="SimSun" w:eastAsia="SimSun" w:hAnsi="SimSun" w:cs="SimSun"/>
          <w:spacing w:val="9"/>
          <w:sz w:val="12"/>
          <w:szCs w:val="12"/>
        </w:rPr>
        <w:t>主营业务利润率</w:t>
      </w:r>
      <w:r>
        <w:rPr>
          <w:rFonts w:ascii="Times New Roman" w:eastAsia="Times New Roman" w:hAnsi="Times New Roman" w:cs="Times New Roman"/>
          <w:spacing w:val="9"/>
          <w:sz w:val="12"/>
          <w:szCs w:val="12"/>
        </w:rPr>
        <w:t>=</w:t>
      </w:r>
      <w:r>
        <w:rPr>
          <w:rFonts w:ascii="SimSun" w:eastAsia="SimSun" w:hAnsi="SimSun" w:cs="SimSun"/>
          <w:spacing w:val="9"/>
          <w:sz w:val="12"/>
          <w:szCs w:val="12"/>
        </w:rPr>
        <w:t>（主营业务收入</w:t>
      </w:r>
      <w:r>
        <w:rPr>
          <w:rFonts w:ascii="Times New Roman" w:eastAsia="Times New Roman" w:hAnsi="Times New Roman" w:cs="Times New Roman"/>
          <w:spacing w:val="9"/>
          <w:sz w:val="12"/>
          <w:szCs w:val="12"/>
        </w:rPr>
        <w:t>-</w:t>
      </w:r>
      <w:r>
        <w:rPr>
          <w:rFonts w:ascii="SimSun" w:eastAsia="SimSun" w:hAnsi="SimSun" w:cs="SimSun"/>
          <w:spacing w:val="9"/>
          <w:sz w:val="12"/>
          <w:szCs w:val="12"/>
        </w:rPr>
        <w:t>主营业务成本</w:t>
      </w:r>
      <w:r>
        <w:rPr>
          <w:rFonts w:ascii="Times New Roman" w:eastAsia="Times New Roman" w:hAnsi="Times New Roman" w:cs="Times New Roman"/>
          <w:spacing w:val="9"/>
          <w:sz w:val="12"/>
          <w:szCs w:val="12"/>
        </w:rPr>
        <w:t>-</w:t>
      </w:r>
      <w:r>
        <w:rPr>
          <w:rFonts w:ascii="SimSun" w:eastAsia="SimSun" w:hAnsi="SimSun" w:cs="SimSun"/>
          <w:spacing w:val="9"/>
          <w:sz w:val="12"/>
          <w:szCs w:val="12"/>
        </w:rPr>
        <w:t>主营业务税金及附加）</w:t>
      </w:r>
      <w:r>
        <w:rPr>
          <w:rFonts w:ascii="Times New Roman" w:eastAsia="Times New Roman" w:hAnsi="Times New Roman" w:cs="Times New Roman"/>
          <w:spacing w:val="8"/>
          <w:sz w:val="12"/>
          <w:szCs w:val="12"/>
        </w:rPr>
        <w:t>/</w:t>
      </w:r>
      <w:r>
        <w:rPr>
          <w:rFonts w:ascii="SimSun" w:eastAsia="SimSun" w:hAnsi="SimSun" w:cs="SimSun"/>
          <w:spacing w:val="8"/>
          <w:sz w:val="12"/>
          <w:szCs w:val="12"/>
        </w:rPr>
        <w:t>主营业务收入。</w:t>
      </w:r>
    </w:p>
    <w:p>
      <w:pPr>
        <w:spacing w:line="214" w:lineRule="auto"/>
        <w:rPr>
          <w:rFonts w:ascii="SimSun" w:eastAsia="SimSun" w:hAnsi="SimSun" w:cs="SimSun"/>
          <w:sz w:val="12"/>
          <w:szCs w:val="12"/>
        </w:rPr>
      </w:pPr>
      <w:r>
        <w:rPr>
          <w:rFonts w:ascii="SimSun" w:eastAsia="SimSun" w:hAnsi="SimSun" w:cs="SimSun"/>
          <w:sz w:val="12"/>
          <w:szCs w:val="12"/>
        </w:rPr>
        <w:br/>
      </w:r>
      <w:r>
        <w:rPr>
          <w:rFonts w:ascii="SimSun" w:eastAsia="SimSun" w:hAnsi="SimSun" w:cs="SimSun"/>
          <w:sz w:val="12"/>
          <w:szCs w:val="1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1" w:history="1">
        <w:r>
          <w:rPr>
            <w:rFonts w:ascii="SimSun" w:eastAsia="SimSun" w:hAnsi="SimSun" w:cs="SimSun"/>
            <w:b/>
            <w:bCs/>
            <w:noProof w:val="0"/>
            <w:snapToGrid/>
            <w:color w:val="0000EE"/>
            <w:kern w:val="0"/>
            <w:sz w:val="30"/>
            <w:szCs w:val="30"/>
            <w:u w:val="single" w:color="0000EE"/>
          </w:rPr>
          <w:t>https://d.book118.com/835310340112011101</w:t>
        </w:r>
      </w:hyperlink>
    </w:p>
    <w:p>
      <w:pPr>
        <w:spacing w:line="214" w:lineRule="auto"/>
        <w:rPr>
          <w:rFonts w:ascii="SimSun" w:eastAsia="SimSun" w:hAnsi="SimSun" w:cs="SimSun"/>
          <w:sz w:val="12"/>
          <w:szCs w:val="12"/>
        </w:rPr>
      </w:pPr>
    </w:p>
    <w:sectPr>
      <w:headerReference w:type="default" r:id="rId62"/>
      <w:footerReference w:type="default" r:id="rId63"/>
      <w:type w:val="nextPage"/>
      <w:pgSz w:w="11907" w:h="16839"/>
      <w:pgMar w:top="1336" w:right="969" w:bottom="1271" w:left="1104" w:header="1148" w:footer="1077" w:gutter="0"/>
      <w:pgNumType w:start="21"/>
      <w:cols w:num="1" w:space="708" w:equalWidth="0">
        <w:col w:w="9833"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16"/>
      <w:rPr>
        <w:rFonts w:ascii="SimHei" w:eastAsia="SimHei" w:hAnsi="SimHei" w:cs="SimHei"/>
        <w:sz w:val="19"/>
        <w:szCs w:val="19"/>
      </w:rPr>
    </w:pPr>
    <w:r>
      <w:rPr>
        <w:rFonts w:ascii="SimHei" w:eastAsia="SimHei" w:hAnsi="SimHei" w:cs="SimHei"/>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16"/>
      <w:rPr>
        <w:rFonts w:ascii="SimHei" w:eastAsia="SimHei" w:hAnsi="SimHei" w:cs="SimHei"/>
        <w:sz w:val="19"/>
        <w:szCs w:val="19"/>
      </w:rPr>
    </w:pPr>
    <w:r>
      <w:rPr>
        <w:rFonts w:ascii="SimHei" w:eastAsia="SimHei" w:hAnsi="SimHei" w:cs="SimHei"/>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042"/>
      <w:rPr>
        <w:rFonts w:ascii="SimHei" w:eastAsia="SimHei" w:hAnsi="SimHei" w:cs="SimHei"/>
        <w:sz w:val="19"/>
        <w:szCs w:val="19"/>
      </w:rPr>
    </w:pPr>
    <w:r>
      <w:rPr>
        <w:rFonts w:ascii="SimHei" w:eastAsia="SimHei" w:hAnsi="SimHei" w:cs="SimHei"/>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042"/>
      <w:rPr>
        <w:rFonts w:ascii="SimHei" w:eastAsia="SimHei" w:hAnsi="SimHei" w:cs="SimHei"/>
        <w:sz w:val="19"/>
        <w:szCs w:val="19"/>
      </w:rPr>
    </w:pPr>
    <w:r>
      <w:rPr>
        <w:rFonts w:ascii="SimHei" w:eastAsia="SimHei" w:hAnsi="SimHei" w:cs="SimHei"/>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042"/>
      <w:rPr>
        <w:rFonts w:ascii="SimHei" w:eastAsia="SimHei" w:hAnsi="SimHei" w:cs="SimHei"/>
        <w:sz w:val="19"/>
        <w:szCs w:val="19"/>
      </w:rPr>
    </w:pPr>
    <w:r>
      <w:rPr>
        <w:rFonts w:ascii="SimHei" w:eastAsia="SimHei" w:hAnsi="SimHei" w:cs="SimHei"/>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06"/>
      <w:rPr>
        <w:rFonts w:ascii="SimHei" w:eastAsia="SimHei" w:hAnsi="SimHei" w:cs="SimHei"/>
        <w:sz w:val="19"/>
        <w:szCs w:val="19"/>
      </w:rPr>
    </w:pPr>
    <w:r>
      <w:rPr>
        <w:rFonts w:ascii="SimHei" w:eastAsia="SimHei" w:hAnsi="SimHei" w:cs="SimHei"/>
        <w:spacing w:val="2"/>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06"/>
      <w:rPr>
        <w:rFonts w:ascii="SimHei" w:eastAsia="SimHei" w:hAnsi="SimHei" w:cs="SimHei"/>
        <w:sz w:val="19"/>
        <w:szCs w:val="19"/>
      </w:rPr>
    </w:pPr>
    <w:r>
      <w:rPr>
        <w:rFonts w:ascii="SimHei" w:eastAsia="SimHei" w:hAnsi="SimHei" w:cs="SimHei"/>
        <w:spacing w:val="2"/>
        <w:sz w:val="19"/>
        <w:szCs w:val="19"/>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06"/>
      <w:rPr>
        <w:rFonts w:ascii="SimHei" w:eastAsia="SimHei" w:hAnsi="SimHei" w:cs="SimHei"/>
        <w:sz w:val="19"/>
        <w:szCs w:val="19"/>
      </w:rPr>
    </w:pPr>
    <w:r>
      <w:rPr>
        <w:rFonts w:ascii="SimHei" w:eastAsia="SimHei" w:hAnsi="SimHei" w:cs="SimHei"/>
        <w:spacing w:val="2"/>
        <w:sz w:val="19"/>
        <w:szCs w:val="19"/>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06"/>
      <w:rPr>
        <w:rFonts w:ascii="SimHei" w:eastAsia="SimHei" w:hAnsi="SimHei" w:cs="SimHei"/>
        <w:sz w:val="19"/>
        <w:szCs w:val="19"/>
      </w:rPr>
    </w:pPr>
    <w:r>
      <w:rPr>
        <w:rFonts w:ascii="SimHei" w:eastAsia="SimHei" w:hAnsi="SimHei" w:cs="SimHei"/>
        <w:spacing w:val="2"/>
        <w:sz w:val="19"/>
        <w:szCs w:val="19"/>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06"/>
      <w:rPr>
        <w:rFonts w:ascii="SimHei" w:eastAsia="SimHei" w:hAnsi="SimHei" w:cs="SimHei"/>
        <w:sz w:val="19"/>
        <w:szCs w:val="19"/>
      </w:rPr>
    </w:pPr>
    <w:r>
      <w:rPr>
        <w:rFonts w:ascii="SimHei" w:eastAsia="SimHei" w:hAnsi="SimHei" w:cs="SimHei"/>
        <w:spacing w:val="2"/>
        <w:sz w:val="19"/>
        <w:szCs w:val="19"/>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06"/>
      <w:rPr>
        <w:rFonts w:ascii="SimHei" w:eastAsia="SimHei" w:hAnsi="SimHei" w:cs="SimHei"/>
        <w:sz w:val="19"/>
        <w:szCs w:val="19"/>
      </w:rPr>
    </w:pPr>
    <w:r>
      <w:rPr>
        <w:rFonts w:ascii="SimHei" w:eastAsia="SimHei" w:hAnsi="SimHei" w:cs="SimHei"/>
        <w:spacing w:val="2"/>
        <w:sz w:val="19"/>
        <w:szCs w:val="19"/>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00"/>
      <w:rPr>
        <w:rFonts w:ascii="SimHei" w:eastAsia="SimHei" w:hAnsi="SimHei" w:cs="SimHei"/>
        <w:sz w:val="19"/>
        <w:szCs w:val="19"/>
      </w:rPr>
    </w:pPr>
    <w:r>
      <w:rPr>
        <w:rFonts w:ascii="SimHei" w:eastAsia="SimHei" w:hAnsi="SimHei" w:cs="SimHei"/>
        <w:spacing w:val="1"/>
        <w:sz w:val="19"/>
        <w:szCs w:val="19"/>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00"/>
      <w:rPr>
        <w:rFonts w:ascii="SimHei" w:eastAsia="SimHei" w:hAnsi="SimHei" w:cs="SimHei"/>
        <w:sz w:val="19"/>
        <w:szCs w:val="19"/>
      </w:rPr>
    </w:pPr>
    <w:r>
      <w:rPr>
        <w:rFonts w:ascii="SimHei" w:eastAsia="SimHei" w:hAnsi="SimHei" w:cs="SimHei"/>
        <w:spacing w:val="1"/>
        <w:sz w:val="19"/>
        <w:szCs w:val="19"/>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00"/>
      <w:rPr>
        <w:rFonts w:ascii="SimHei" w:eastAsia="SimHei" w:hAnsi="SimHei" w:cs="SimHei"/>
        <w:sz w:val="19"/>
        <w:szCs w:val="19"/>
      </w:rPr>
    </w:pPr>
    <w:r>
      <w:rPr>
        <w:rFonts w:ascii="SimHei" w:eastAsia="SimHei" w:hAnsi="SimHei" w:cs="SimHei"/>
        <w:spacing w:val="1"/>
        <w:sz w:val="19"/>
        <w:szCs w:val="19"/>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00"/>
      <w:rPr>
        <w:rFonts w:ascii="SimHei" w:eastAsia="SimHei" w:hAnsi="SimHei" w:cs="SimHei"/>
        <w:sz w:val="19"/>
        <w:szCs w:val="19"/>
      </w:rPr>
    </w:pPr>
    <w:r>
      <w:rPr>
        <w:rFonts w:ascii="SimHei" w:eastAsia="SimHei" w:hAnsi="SimHei" w:cs="SimHei"/>
        <w:spacing w:val="1"/>
        <w:sz w:val="19"/>
        <w:szCs w:val="19"/>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49" style="width:484.9pt;height:0.75pt;margin-top:51.96pt;margin-left:55.2pt;mso-position-horizontal-relative:page;mso-position-vertical-relative:page;position:absolute;z-index:25165824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0" type="#_x0000_t202" style="width:34.2pt;height:9.6pt;margin-top:-0.97pt;margin-left:1.99pt;position:absolute;z-index:25165926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51" style="width:484.9pt;height:0.75pt;margin-top:51.96pt;margin-left:55.2pt;mso-position-horizontal-relative:page;mso-position-vertical-relative:page;position:absolute;z-index:25166028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2" type="#_x0000_t202" style="width:34.2pt;height:9.6pt;margin-top:-0.97pt;margin-left:1.99pt;position:absolute;z-index:25166131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53" style="width:484.9pt;height:0.75pt;margin-top:66.12pt;margin-left:55.2pt;mso-position-horizontal-relative:page;mso-position-vertical-relative:page;position:absolute;z-index:25166233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4" type="#_x0000_t202" style="width:34.2pt;height:9.6pt;margin-top:-0.97pt;margin-left:1.99pt;position:absolute;z-index:25166336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55" style="width:484.9pt;height:0.75pt;margin-top:66.12pt;margin-left:55.2pt;mso-position-horizontal-relative:page;mso-position-vertical-relative:page;position:absolute;z-index:25166438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6" type="#_x0000_t202" style="width:34.2pt;height:9.6pt;margin-top:-0.97pt;margin-left:1.99pt;position:absolute;z-index:25166540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85"/>
      <w:rPr>
        <w:rFonts w:ascii="SimHei" w:eastAsia="SimHei" w:hAnsi="SimHei" w:cs="SimHei"/>
        <w:sz w:val="12"/>
        <w:szCs w:val="12"/>
      </w:rPr>
    </w:pPr>
    <w:r>
      <w:pict>
        <v:shape id="_x0000_s2057" style="width:484.9pt;height:0.75pt;margin-top:66.12pt;margin-left:55.2pt;mso-position-horizontal-relative:page;mso-position-vertical-relative:page;position:absolute;z-index:25166643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8" type="#_x0000_t202" style="width:34.2pt;height:9.6pt;margin-top:-0.97pt;margin-left:13.78pt;position:absolute;z-index:25166745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85"/>
      <w:rPr>
        <w:rFonts w:ascii="SimHei" w:eastAsia="SimHei" w:hAnsi="SimHei" w:cs="SimHei"/>
        <w:sz w:val="12"/>
        <w:szCs w:val="12"/>
      </w:rPr>
    </w:pPr>
    <w:r>
      <w:pict>
        <v:shape id="_x0000_s2059" style="width:484.9pt;height:0.75pt;margin-top:66.12pt;margin-left:55.2pt;mso-position-horizontal-relative:page;mso-position-vertical-relative:page;position:absolute;z-index:25166848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0" type="#_x0000_t202" style="width:34.2pt;height:9.6pt;margin-top:-0.97pt;margin-left:13.78pt;position:absolute;z-index:25166950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85"/>
      <w:rPr>
        <w:rFonts w:ascii="SimHei" w:eastAsia="SimHei" w:hAnsi="SimHei" w:cs="SimHei"/>
        <w:sz w:val="12"/>
        <w:szCs w:val="12"/>
      </w:rPr>
    </w:pPr>
    <w:r>
      <w:pict>
        <v:shape id="_x0000_s2061" style="width:484.9pt;height:0.75pt;margin-top:66.12pt;margin-left:55.2pt;mso-position-horizontal-relative:page;mso-position-vertical-relative:page;position:absolute;z-index:25167052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2" type="#_x0000_t202" style="width:34.2pt;height:9.6pt;margin-top:-0.97pt;margin-left:13.78pt;position:absolute;z-index:25167155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55"/>
      <w:rPr>
        <w:rFonts w:ascii="SimHei" w:eastAsia="SimHei" w:hAnsi="SimHei" w:cs="SimHei"/>
        <w:sz w:val="12"/>
        <w:szCs w:val="12"/>
      </w:rPr>
    </w:pPr>
    <w:r>
      <w:pict>
        <v:shape id="_x0000_s2063" style="width:484.9pt;height:0.75pt;margin-top:66.12pt;margin-left:55.2pt;mso-position-horizontal-relative:page;mso-position-vertical-relative:page;position:absolute;z-index:25167257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4" type="#_x0000_t202" style="width:34.2pt;height:9.6pt;margin-top:-0.97pt;margin-left:12.29pt;position:absolute;z-index:25167360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55"/>
      <w:rPr>
        <w:rFonts w:ascii="SimHei" w:eastAsia="SimHei" w:hAnsi="SimHei" w:cs="SimHei"/>
        <w:sz w:val="12"/>
        <w:szCs w:val="12"/>
      </w:rPr>
    </w:pPr>
    <w:r>
      <w:pict>
        <v:shape id="_x0000_s2065" style="width:484.9pt;height:0.75pt;margin-top:66.12pt;margin-left:55.2pt;mso-position-horizontal-relative:page;mso-position-vertical-relative:page;position:absolute;z-index:25167462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6" type="#_x0000_t202" style="width:34.2pt;height:9.6pt;margin-top:-0.97pt;margin-left:12.29pt;position:absolute;z-index:25167564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55"/>
      <w:rPr>
        <w:rFonts w:ascii="SimHei" w:eastAsia="SimHei" w:hAnsi="SimHei" w:cs="SimHei"/>
        <w:sz w:val="12"/>
        <w:szCs w:val="12"/>
      </w:rPr>
    </w:pPr>
    <w:r>
      <w:pict>
        <v:shape id="_x0000_s2067" style="width:484.9pt;height:0.75pt;margin-top:66.12pt;margin-left:55.2pt;mso-position-horizontal-relative:page;mso-position-vertical-relative:page;position:absolute;z-index:25167667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8" type="#_x0000_t202" style="width:34.2pt;height:9.6pt;margin-top:-0.97pt;margin-left:12.29pt;position:absolute;z-index:25167769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55"/>
      <w:rPr>
        <w:rFonts w:ascii="SimHei" w:eastAsia="SimHei" w:hAnsi="SimHei" w:cs="SimHei"/>
        <w:sz w:val="12"/>
        <w:szCs w:val="12"/>
      </w:rPr>
    </w:pPr>
    <w:r>
      <w:pict>
        <v:shape id="_x0000_s2069" style="width:484.9pt;height:0.75pt;margin-top:66.12pt;margin-left:55.2pt;mso-position-horizontal-relative:page;mso-position-vertical-relative:page;position:absolute;z-index:25167872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0" type="#_x0000_t202" style="width:34.2pt;height:9.6pt;margin-top:-0.97pt;margin-left:12.29pt;position:absolute;z-index:25167974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55"/>
      <w:rPr>
        <w:rFonts w:ascii="SimHei" w:eastAsia="SimHei" w:hAnsi="SimHei" w:cs="SimHei"/>
        <w:sz w:val="12"/>
        <w:szCs w:val="12"/>
      </w:rPr>
    </w:pPr>
    <w:r>
      <w:pict>
        <v:shape id="_x0000_s2071" style="width:484.9pt;height:0.75pt;margin-top:66.12pt;margin-left:55.2pt;mso-position-horizontal-relative:page;mso-position-vertical-relative:page;position:absolute;z-index:25168076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2" type="#_x0000_t202" style="width:34.2pt;height:9.6pt;margin-top:-0.97pt;margin-left:12.29pt;position:absolute;z-index:25168179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55"/>
      <w:rPr>
        <w:rFonts w:ascii="SimHei" w:eastAsia="SimHei" w:hAnsi="SimHei" w:cs="SimHei"/>
        <w:sz w:val="12"/>
        <w:szCs w:val="12"/>
      </w:rPr>
    </w:pPr>
    <w:r>
      <w:pict>
        <v:shape id="_x0000_s2073" style="width:484.9pt;height:0.75pt;margin-top:66.12pt;margin-left:55.2pt;mso-position-horizontal-relative:page;mso-position-vertical-relative:page;position:absolute;z-index:25168281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4" type="#_x0000_t202" style="width:34.2pt;height:9.6pt;margin-top:-0.97pt;margin-left:12.29pt;position:absolute;z-index:25168384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48"/>
      <w:rPr>
        <w:rFonts w:ascii="SimHei" w:eastAsia="SimHei" w:hAnsi="SimHei" w:cs="SimHei"/>
        <w:sz w:val="12"/>
        <w:szCs w:val="12"/>
      </w:rPr>
    </w:pPr>
    <w:r>
      <w:pict>
        <v:shape id="_x0000_s2075" style="width:484.9pt;height:0.75pt;margin-top:66.12pt;margin-left:55.2pt;mso-position-horizontal-relative:page;mso-position-vertical-relative:page;position:absolute;z-index:25168486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6" type="#_x0000_t202" style="width:34.2pt;height:9.6pt;margin-top:-0.97pt;margin-left:11.93pt;position:absolute;z-index:25168588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48"/>
      <w:rPr>
        <w:rFonts w:ascii="SimHei" w:eastAsia="SimHei" w:hAnsi="SimHei" w:cs="SimHei"/>
        <w:sz w:val="12"/>
        <w:szCs w:val="12"/>
      </w:rPr>
    </w:pPr>
    <w:r>
      <w:pict>
        <v:shape id="_x0000_s2077" style="width:484.9pt;height:0.75pt;margin-top:66.12pt;margin-left:55.2pt;mso-position-horizontal-relative:page;mso-position-vertical-relative:page;position:absolute;z-index:25168691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8" type="#_x0000_t202" style="width:34.2pt;height:9.6pt;margin-top:-0.97pt;margin-left:11.93pt;position:absolute;z-index:25168793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48"/>
      <w:rPr>
        <w:rFonts w:ascii="SimHei" w:eastAsia="SimHei" w:hAnsi="SimHei" w:cs="SimHei"/>
        <w:sz w:val="12"/>
        <w:szCs w:val="12"/>
      </w:rPr>
    </w:pPr>
    <w:r>
      <w:pict>
        <v:shape id="_x0000_s2079" style="width:484.9pt;height:0.75pt;margin-top:66.12pt;margin-left:55.2pt;mso-position-horizontal-relative:page;mso-position-vertical-relative:page;position:absolute;z-index:25168896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0" type="#_x0000_t202" style="width:34.2pt;height:9.6pt;margin-top:-0.97pt;margin-left:11.93pt;position:absolute;z-index:25168998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7148"/>
      <w:rPr>
        <w:rFonts w:ascii="SimHei" w:eastAsia="SimHei" w:hAnsi="SimHei" w:cs="SimHei"/>
        <w:sz w:val="12"/>
        <w:szCs w:val="12"/>
      </w:rPr>
    </w:pPr>
    <w:r>
      <w:pict>
        <v:shape id="_x0000_s2081" style="width:484.9pt;height:0.75pt;margin-top:66.12pt;margin-left:55.2pt;mso-position-horizontal-relative:page;mso-position-vertical-relative:page;position:absolute;z-index:25169100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2" type="#_x0000_t202" style="width:34.2pt;height:9.6pt;margin-top:-0.97pt;margin-left:11.93pt;position:absolute;z-index:25169203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83" style="width:484.9pt;height:0.75pt;margin-top:66.12pt;margin-left:55.2pt;mso-position-horizontal-relative:page;mso-position-vertical-relative:page;position:absolute;z-index:25169305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4" type="#_x0000_t202" style="width:34.2pt;height:9.6pt;margin-top:-0.97pt;margin-left:1.99pt;position:absolute;z-index:25169408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85" style="width:484.9pt;height:0.75pt;margin-top:66.12pt;margin-left:55.2pt;mso-position-horizontal-relative:page;mso-position-vertical-relative:page;position:absolute;z-index:25169510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6" type="#_x0000_t202" style="width:34.2pt;height:9.6pt;margin-top:-0.97pt;margin-left:1.99pt;position:absolute;z-index:25169612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87" style="width:484.9pt;height:0.75pt;margin-top:66.12pt;margin-left:55.2pt;mso-position-horizontal-relative:page;mso-position-vertical-relative:page;position:absolute;z-index:25169715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8" type="#_x0000_t202" style="width:34.2pt;height:9.6pt;margin-top:-0.97pt;margin-left:1.99pt;position:absolute;z-index:25169817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2" w:lineRule="auto"/>
      <w:ind w:left="6949"/>
      <w:rPr>
        <w:rFonts w:ascii="SimHei" w:eastAsia="SimHei" w:hAnsi="SimHei" w:cs="SimHei"/>
        <w:sz w:val="12"/>
        <w:szCs w:val="12"/>
      </w:rPr>
    </w:pPr>
    <w:r>
      <w:pict>
        <v:shape id="_x0000_s2089" style="width:484.9pt;height:0.75pt;margin-top:66.12pt;margin-left:55.2pt;mso-position-horizontal-relative:page;mso-position-vertical-relative:page;position:absolute;z-index:25169920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90" type="#_x0000_t202" style="width:34.2pt;height:9.6pt;margin-top:-0.97pt;margin-left:1.99pt;position:absolute;z-index:25170022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年软件与服务行业信用回顾与</w:t>
    </w:r>
    <w:r>
      <w:rPr>
        <w:rFonts w:ascii="SimHei" w:eastAsia="SimHei" w:hAnsi="SimHei" w:cs="SimHei"/>
        <w:spacing w:val="-13"/>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TKaiti" w:eastAsia="STKaiti" w:hAnsi="STKaiti" w:cs="STKaiti"/>
      <w:sz w:val="18"/>
      <w:szCs w:val="18"/>
      <w:lang w:val="en-US" w:eastAsia="en-US" w:bidi="ar-SA"/>
    </w:rPr>
  </w:style>
  <w:style w:type="paragraph" w:customStyle="1" w:styleId="TableText">
    <w:name w:val="Table Text"/>
    <w:basedOn w:val="Normal"/>
    <w:semiHidden/>
    <w:qFormat/>
    <w:rPr>
      <w:rFonts w:ascii="SimSun" w:eastAsia="SimSun" w:hAnsi="SimSun" w:cs="SimSun"/>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1.png"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6.png"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image" Target="media/image8.png"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image" Target="media/image9.png"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image" Target="media/image10.png"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header" Target="header16.xml" /><Relationship Id="rId45" Type="http://schemas.openxmlformats.org/officeDocument/2006/relationships/footer" Target="footer16.xml" /><Relationship Id="rId46" Type="http://schemas.openxmlformats.org/officeDocument/2006/relationships/header" Target="header17.xml" /><Relationship Id="rId47" Type="http://schemas.openxmlformats.org/officeDocument/2006/relationships/footer" Target="footer17.xml" /><Relationship Id="rId48" Type="http://schemas.openxmlformats.org/officeDocument/2006/relationships/image" Target="media/image11.png" /><Relationship Id="rId49" Type="http://schemas.openxmlformats.org/officeDocument/2006/relationships/image" Target="media/image12.png" /><Relationship Id="rId5" Type="http://schemas.openxmlformats.org/officeDocument/2006/relationships/footer" Target="footer1.xml" /><Relationship Id="rId50" Type="http://schemas.openxmlformats.org/officeDocument/2006/relationships/image" Target="media/image13.png"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image" Target="media/image14.png" /><Relationship Id="rId54" Type="http://schemas.openxmlformats.org/officeDocument/2006/relationships/image" Target="media/image15.png" /><Relationship Id="rId55" Type="http://schemas.openxmlformats.org/officeDocument/2006/relationships/image" Target="media/image16.png" /><Relationship Id="rId56" Type="http://schemas.openxmlformats.org/officeDocument/2006/relationships/image" Target="media/image17.png" /><Relationship Id="rId57" Type="http://schemas.openxmlformats.org/officeDocument/2006/relationships/header" Target="header19.xml" /><Relationship Id="rId58" Type="http://schemas.openxmlformats.org/officeDocument/2006/relationships/footer" Target="footer19.xml" /><Relationship Id="rId59" Type="http://schemas.openxmlformats.org/officeDocument/2006/relationships/header" Target="header20.xml" /><Relationship Id="rId6" Type="http://schemas.openxmlformats.org/officeDocument/2006/relationships/header" Target="header2.xml" /><Relationship Id="rId60" Type="http://schemas.openxmlformats.org/officeDocument/2006/relationships/footer" Target="footer20.xml" /><Relationship Id="rId61" Type="http://schemas.openxmlformats.org/officeDocument/2006/relationships/hyperlink" Target="https://d.book118.com/835310340112011101" TargetMode="Externa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张明海</dc:creator>
  <cp:revision>0</cp:revision>
  <dcterms:created xsi:type="dcterms:W3CDTF">2024-01-29T19:48:52Z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2024-01-29T19:59:07Z</vt:filetime>
  </property>
  <property fmtid="{D5CDD505-2E9C-101B-9397-08002B2CF9AE}" pid="3" name="CRO">
    <vt:lpwstr>wqlLaW5nc29mdCBQREYgdG8gV1BTIDkw</vt:lpwstr>
  </property>
</Properties>
</file>